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CDB2D">
      <w:pPr>
        <w:tabs>
          <w:tab w:val="left" w:pos="1400"/>
        </w:tabs>
        <w:spacing w:line="240" w:lineRule="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附件</w:t>
      </w:r>
      <w:r>
        <w:rPr>
          <w:rFonts w:hint="eastAsia" w:ascii="Times New Roman" w:hAnsi="Times New Roman" w:eastAsia="黑体" w:cs="Times New Roman"/>
          <w:b w:val="0"/>
          <w:bCs w:val="0"/>
          <w:sz w:val="32"/>
          <w:szCs w:val="32"/>
          <w:lang w:val="en-US" w:eastAsia="zh-CN"/>
        </w:rPr>
        <w:t>：</w:t>
      </w:r>
    </w:p>
    <w:p w14:paraId="5CF94999">
      <w:pPr>
        <w:pStyle w:val="2"/>
        <w:keepNext w:val="0"/>
        <w:keepLines w:val="0"/>
        <w:pageBreakBefore w:val="0"/>
        <w:kinsoku/>
        <w:overflowPunct/>
        <w:topLinePunct w:val="0"/>
        <w:bidi w:val="0"/>
        <w:snapToGrid/>
        <w:spacing w:beforeAutospacing="0" w:line="560" w:lineRule="exact"/>
        <w:ind w:left="0" w:leftChars="0" w:firstLine="880" w:firstLineChars="2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采购需求</w:t>
      </w:r>
    </w:p>
    <w:p w14:paraId="0E7A38F4">
      <w:pPr>
        <w:rPr>
          <w:rFonts w:hint="default"/>
          <w:lang w:val="en-US" w:eastAsia="zh-CN"/>
        </w:rPr>
      </w:pPr>
    </w:p>
    <w:tbl>
      <w:tblPr>
        <w:tblStyle w:val="4"/>
        <w:tblW w:w="8516" w:type="dxa"/>
        <w:jc w:val="center"/>
        <w:tblLayout w:type="fixed"/>
        <w:tblCellMar>
          <w:top w:w="0" w:type="dxa"/>
          <w:left w:w="108" w:type="dxa"/>
          <w:bottom w:w="0" w:type="dxa"/>
          <w:right w:w="108" w:type="dxa"/>
        </w:tblCellMar>
      </w:tblPr>
      <w:tblGrid>
        <w:gridCol w:w="936"/>
        <w:gridCol w:w="1419"/>
        <w:gridCol w:w="711"/>
        <w:gridCol w:w="775"/>
        <w:gridCol w:w="4675"/>
      </w:tblGrid>
      <w:tr w14:paraId="0A61D549">
        <w:tblPrEx>
          <w:tblCellMar>
            <w:top w:w="0" w:type="dxa"/>
            <w:left w:w="108" w:type="dxa"/>
            <w:bottom w:w="0" w:type="dxa"/>
            <w:right w:w="108" w:type="dxa"/>
          </w:tblCellMar>
        </w:tblPrEx>
        <w:trPr>
          <w:trHeight w:val="23" w:hRule="atLeast"/>
          <w:jc w:val="center"/>
        </w:trPr>
        <w:tc>
          <w:tcPr>
            <w:tcW w:w="936" w:type="dxa"/>
            <w:tcBorders>
              <w:top w:val="single" w:color="000000" w:sz="8" w:space="0"/>
              <w:left w:val="single" w:color="000000" w:sz="8" w:space="0"/>
              <w:bottom w:val="single" w:color="000000" w:sz="8" w:space="0"/>
              <w:right w:val="single" w:color="000000" w:sz="8" w:space="0"/>
            </w:tcBorders>
            <w:noWrap w:val="0"/>
            <w:vAlign w:val="center"/>
          </w:tcPr>
          <w:p w14:paraId="1741BD21">
            <w:pPr>
              <w:jc w:val="center"/>
              <w:rPr>
                <w:rFonts w:hint="default" w:ascii="Times New Roman" w:hAnsi="Times New Roman" w:eastAsia="宋体" w:cs="Times New Roman"/>
              </w:rPr>
            </w:pPr>
            <w:r>
              <w:rPr>
                <w:rFonts w:hint="default" w:ascii="Times New Roman" w:hAnsi="Times New Roman" w:eastAsia="宋体" w:cs="Times New Roman"/>
              </w:rPr>
              <w:t>序号</w:t>
            </w:r>
          </w:p>
        </w:tc>
        <w:tc>
          <w:tcPr>
            <w:tcW w:w="1419" w:type="dxa"/>
            <w:tcBorders>
              <w:top w:val="single" w:color="000000" w:sz="8" w:space="0"/>
              <w:left w:val="single" w:color="000000" w:sz="8" w:space="0"/>
              <w:bottom w:val="single" w:color="000000" w:sz="8" w:space="0"/>
              <w:right w:val="single" w:color="000000" w:sz="8" w:space="0"/>
            </w:tcBorders>
            <w:noWrap w:val="0"/>
            <w:vAlign w:val="center"/>
          </w:tcPr>
          <w:p w14:paraId="7422F8A7">
            <w:pPr>
              <w:jc w:val="center"/>
              <w:rPr>
                <w:rFonts w:hint="default" w:ascii="Times New Roman" w:hAnsi="Times New Roman" w:eastAsia="宋体" w:cs="Times New Roman"/>
              </w:rPr>
            </w:pPr>
            <w:r>
              <w:rPr>
                <w:rFonts w:hint="default" w:ascii="Times New Roman" w:hAnsi="Times New Roman" w:eastAsia="宋体" w:cs="Times New Roman"/>
              </w:rPr>
              <w:t>设备名称</w:t>
            </w:r>
          </w:p>
        </w:tc>
        <w:tc>
          <w:tcPr>
            <w:tcW w:w="711" w:type="dxa"/>
            <w:tcBorders>
              <w:top w:val="single" w:color="000000" w:sz="8" w:space="0"/>
              <w:left w:val="nil"/>
              <w:bottom w:val="single" w:color="000000" w:sz="8" w:space="0"/>
              <w:right w:val="single" w:color="000000" w:sz="8" w:space="0"/>
            </w:tcBorders>
            <w:noWrap w:val="0"/>
            <w:vAlign w:val="center"/>
          </w:tcPr>
          <w:p w14:paraId="5752D6B6">
            <w:pPr>
              <w:jc w:val="center"/>
              <w:rPr>
                <w:rFonts w:hint="default" w:ascii="Times New Roman" w:hAnsi="Times New Roman" w:eastAsia="宋体" w:cs="Times New Roman"/>
                <w:lang w:eastAsia="zh-CN"/>
              </w:rPr>
            </w:pPr>
            <w:r>
              <w:rPr>
                <w:rFonts w:hint="default" w:ascii="Times New Roman" w:hAnsi="Times New Roman" w:eastAsia="宋体" w:cs="Times New Roman"/>
                <w:lang w:val="en-US" w:eastAsia="zh-CN"/>
              </w:rPr>
              <w:t>单位</w:t>
            </w:r>
          </w:p>
        </w:tc>
        <w:tc>
          <w:tcPr>
            <w:tcW w:w="775" w:type="dxa"/>
            <w:tcBorders>
              <w:top w:val="single" w:color="000000" w:sz="8" w:space="0"/>
              <w:left w:val="nil"/>
              <w:bottom w:val="single" w:color="000000" w:sz="8" w:space="0"/>
              <w:right w:val="single" w:color="000000" w:sz="8" w:space="0"/>
            </w:tcBorders>
            <w:noWrap w:val="0"/>
            <w:vAlign w:val="center"/>
          </w:tcPr>
          <w:p w14:paraId="0AE944E1">
            <w:pPr>
              <w:jc w:val="center"/>
              <w:rPr>
                <w:rFonts w:hint="default" w:ascii="Times New Roman" w:hAnsi="Times New Roman" w:eastAsia="宋体" w:cs="Times New Roman"/>
                <w:lang w:eastAsia="zh-CN"/>
              </w:rPr>
            </w:pPr>
            <w:r>
              <w:rPr>
                <w:rFonts w:hint="default" w:ascii="Times New Roman" w:hAnsi="Times New Roman" w:eastAsia="宋体" w:cs="Times New Roman"/>
                <w:lang w:val="en-US" w:eastAsia="zh-CN"/>
              </w:rPr>
              <w:t>数量</w:t>
            </w:r>
          </w:p>
        </w:tc>
        <w:tc>
          <w:tcPr>
            <w:tcW w:w="4675" w:type="dxa"/>
            <w:tcBorders>
              <w:top w:val="single" w:color="000000" w:sz="8" w:space="0"/>
              <w:left w:val="nil"/>
              <w:bottom w:val="single" w:color="000000" w:sz="8" w:space="0"/>
              <w:right w:val="single" w:color="000000" w:sz="8" w:space="0"/>
            </w:tcBorders>
            <w:noWrap w:val="0"/>
            <w:vAlign w:val="center"/>
          </w:tcPr>
          <w:p w14:paraId="0F4AE689">
            <w:pPr>
              <w:rPr>
                <w:rFonts w:hint="default" w:ascii="Times New Roman" w:hAnsi="Times New Roman" w:eastAsia="宋体" w:cs="Times New Roman"/>
              </w:rPr>
            </w:pPr>
            <w:r>
              <w:rPr>
                <w:rFonts w:hint="default" w:ascii="Times New Roman" w:hAnsi="Times New Roman" w:eastAsia="宋体" w:cs="Times New Roman"/>
              </w:rPr>
              <w:t>技术要求</w:t>
            </w:r>
          </w:p>
        </w:tc>
      </w:tr>
      <w:tr w14:paraId="502707E3">
        <w:tblPrEx>
          <w:tblCellMar>
            <w:top w:w="0" w:type="dxa"/>
            <w:left w:w="108" w:type="dxa"/>
            <w:bottom w:w="0" w:type="dxa"/>
            <w:right w:w="108" w:type="dxa"/>
          </w:tblCellMar>
        </w:tblPrEx>
        <w:trPr>
          <w:trHeight w:val="23" w:hRule="atLeast"/>
          <w:jc w:val="center"/>
        </w:trPr>
        <w:tc>
          <w:tcPr>
            <w:tcW w:w="936" w:type="dxa"/>
            <w:tcBorders>
              <w:top w:val="single" w:color="000000" w:sz="8" w:space="0"/>
              <w:left w:val="single" w:color="000000" w:sz="8" w:space="0"/>
              <w:bottom w:val="single" w:color="000000" w:sz="8" w:space="0"/>
              <w:right w:val="single" w:color="000000" w:sz="8" w:space="0"/>
            </w:tcBorders>
            <w:noWrap w:val="0"/>
            <w:vAlign w:val="center"/>
          </w:tcPr>
          <w:p w14:paraId="2E635BE8">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1</w:t>
            </w:r>
          </w:p>
        </w:tc>
        <w:tc>
          <w:tcPr>
            <w:tcW w:w="1419" w:type="dxa"/>
            <w:tcBorders>
              <w:top w:val="single" w:color="000000" w:sz="8" w:space="0"/>
              <w:left w:val="single" w:color="000000" w:sz="8" w:space="0"/>
              <w:bottom w:val="single" w:color="000000" w:sz="8" w:space="0"/>
              <w:right w:val="single" w:color="000000" w:sz="8" w:space="0"/>
            </w:tcBorders>
            <w:noWrap w:val="0"/>
            <w:vAlign w:val="center"/>
          </w:tcPr>
          <w:p w14:paraId="4D884B0C">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无人值守</w:t>
            </w:r>
          </w:p>
          <w:p w14:paraId="38ABC373">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机库</w:t>
            </w:r>
          </w:p>
        </w:tc>
        <w:tc>
          <w:tcPr>
            <w:tcW w:w="711" w:type="dxa"/>
            <w:tcBorders>
              <w:top w:val="single" w:color="000000" w:sz="8" w:space="0"/>
              <w:left w:val="nil"/>
              <w:bottom w:val="single" w:color="000000" w:sz="8" w:space="0"/>
              <w:right w:val="single" w:color="000000" w:sz="8" w:space="0"/>
            </w:tcBorders>
            <w:noWrap w:val="0"/>
            <w:vAlign w:val="center"/>
          </w:tcPr>
          <w:p w14:paraId="486BDD77">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套</w:t>
            </w:r>
          </w:p>
        </w:tc>
        <w:tc>
          <w:tcPr>
            <w:tcW w:w="775" w:type="dxa"/>
            <w:tcBorders>
              <w:top w:val="single" w:color="000000" w:sz="8" w:space="0"/>
              <w:left w:val="nil"/>
              <w:bottom w:val="single" w:color="000000" w:sz="8" w:space="0"/>
              <w:right w:val="single" w:color="000000" w:sz="8" w:space="0"/>
            </w:tcBorders>
            <w:noWrap w:val="0"/>
            <w:vAlign w:val="center"/>
          </w:tcPr>
          <w:p w14:paraId="3325C090">
            <w:pPr>
              <w:spacing w:line="240" w:lineRule="auto"/>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1</w:t>
            </w:r>
          </w:p>
        </w:tc>
        <w:tc>
          <w:tcPr>
            <w:tcW w:w="4675" w:type="dxa"/>
            <w:tcBorders>
              <w:top w:val="single" w:color="000000" w:sz="8" w:space="0"/>
              <w:left w:val="nil"/>
              <w:bottom w:val="single" w:color="000000" w:sz="8" w:space="0"/>
              <w:right w:val="single" w:color="000000" w:sz="8" w:space="0"/>
            </w:tcBorders>
            <w:noWrap w:val="0"/>
            <w:vAlign w:val="center"/>
          </w:tcPr>
          <w:p w14:paraId="27169B4E">
            <w:pPr>
              <w:numPr>
                <w:ilvl w:val="0"/>
                <w:numId w:val="1"/>
              </w:numPr>
              <w:bidi w:val="0"/>
              <w:spacing w:line="240" w:lineRule="auto"/>
              <w:ind w:leftChars="0"/>
              <w:jc w:val="left"/>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无人值守机库参数：</w:t>
            </w:r>
          </w:p>
          <w:p w14:paraId="0683F69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1.整机重量：</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55 千克（不包含飞行器）</w:t>
            </w:r>
          </w:p>
          <w:p w14:paraId="2FC3670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2.外形尺寸：</w:t>
            </w:r>
          </w:p>
          <w:p w14:paraId="47A977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舱盖开启：</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长 1800 毫米，宽 745 毫米，高 485 毫米</w:t>
            </w:r>
          </w:p>
          <w:p w14:paraId="689B92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舱盖闭合：</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长 700 毫米，宽 745 毫米，高 770 毫米</w:t>
            </w:r>
          </w:p>
          <w:p w14:paraId="0A9ABC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3.输入电压：</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100 伏至 240 伏（交流电），50/60 Hz</w:t>
            </w:r>
          </w:p>
          <w:p w14:paraId="482448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4.输入功率：</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 xml:space="preserve"> 800 瓦</w:t>
            </w:r>
          </w:p>
          <w:p w14:paraId="23168B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5.工作环境温度-30°C 至 50°C</w:t>
            </w:r>
          </w:p>
          <w:p w14:paraId="27785FC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6.防护等级：</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IP56</w:t>
            </w:r>
          </w:p>
          <w:p w14:paraId="5DBBDA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7.可收纳无人机数量：</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 台</w:t>
            </w:r>
          </w:p>
          <w:p w14:paraId="044ADED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8.最大允许降落风速：</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12 米/秒</w:t>
            </w:r>
          </w:p>
          <w:p w14:paraId="28A4482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9.最大运行海拔高度：</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4500 米</w:t>
            </w:r>
          </w:p>
          <w:p w14:paraId="679154D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10.RTK 基站卫星接收频率同时接收：</w:t>
            </w:r>
          </w:p>
          <w:p w14:paraId="567124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GPS：L1 C/A、L2、L5</w:t>
            </w:r>
          </w:p>
          <w:p w14:paraId="1EB4F1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BeiDou：B1l、B2l、B3l、B2a、B2b、B1C</w:t>
            </w:r>
          </w:p>
          <w:p w14:paraId="22DA86C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GLONASS：F1、F2</w:t>
            </w:r>
          </w:p>
          <w:p w14:paraId="565B57A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Galileo：E1、E5a、E5b、E6</w:t>
            </w:r>
          </w:p>
          <w:p w14:paraId="1086E72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QZSS：L1、L2、L5</w:t>
            </w:r>
          </w:p>
          <w:p w14:paraId="39B503B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11.RTK 基站定位精准度</w:t>
            </w:r>
          </w:p>
          <w:p w14:paraId="163FC33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水平：</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 厘米 + 1 ppm（RMS）</w:t>
            </w:r>
          </w:p>
          <w:p w14:paraId="1216B2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垂直：</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2 厘米 + 1 ppm（RMS）</w:t>
            </w:r>
          </w:p>
          <w:p w14:paraId="62CA8F4B">
            <w:pPr>
              <w:numPr>
                <w:ilvl w:val="0"/>
                <w:numId w:val="1"/>
              </w:numPr>
              <w:bidi w:val="0"/>
              <w:spacing w:line="240" w:lineRule="auto"/>
              <w:ind w:left="0" w:leftChars="0" w:firstLine="0" w:firstLineChars="0"/>
              <w:jc w:val="left"/>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充电性能</w:t>
            </w:r>
          </w:p>
          <w:p w14:paraId="70EEB50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1.输出电压：直流</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 xml:space="preserve"> 35 伏</w:t>
            </w:r>
          </w:p>
          <w:p w14:paraId="11F07E5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2.充电时间：</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27 分钟</w:t>
            </w:r>
          </w:p>
          <w:p w14:paraId="295EA458">
            <w:pPr>
              <w:numPr>
                <w:ilvl w:val="0"/>
                <w:numId w:val="1"/>
              </w:numPr>
              <w:bidi w:val="0"/>
              <w:spacing w:line="240" w:lineRule="auto"/>
              <w:ind w:left="0" w:leftChars="0" w:firstLine="0" w:firstLineChars="0"/>
              <w:jc w:val="left"/>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空调系统</w:t>
            </w:r>
          </w:p>
          <w:p w14:paraId="12F881D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1.工作电压：直流</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 xml:space="preserve"> 48 伏</w:t>
            </w:r>
          </w:p>
          <w:p w14:paraId="385ED3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2.空调类型：压缩机空调</w:t>
            </w:r>
          </w:p>
          <w:p w14:paraId="1A659E50">
            <w:pPr>
              <w:numPr>
                <w:ilvl w:val="0"/>
                <w:numId w:val="1"/>
              </w:numPr>
              <w:bidi w:val="0"/>
              <w:spacing w:line="240" w:lineRule="auto"/>
              <w:ind w:left="0" w:leftChars="0" w:firstLine="0" w:firstLineChars="0"/>
              <w:jc w:val="left"/>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备用电池</w:t>
            </w:r>
          </w:p>
          <w:p w14:paraId="2590A0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1.电池容量：</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12 安时</w:t>
            </w:r>
          </w:p>
          <w:p w14:paraId="2568FB6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2.输出电压：</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12 伏</w:t>
            </w:r>
          </w:p>
          <w:p w14:paraId="11D2705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3.电池类型：铅酸蓄电池</w:t>
            </w:r>
          </w:p>
          <w:p w14:paraId="10CDDF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4.续航时间：：</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 xml:space="preserve"> 4 小时</w:t>
            </w:r>
          </w:p>
          <w:p w14:paraId="0BA43DA0">
            <w:pPr>
              <w:numPr>
                <w:ilvl w:val="0"/>
                <w:numId w:val="1"/>
              </w:numPr>
              <w:bidi w:val="0"/>
              <w:spacing w:line="240" w:lineRule="auto"/>
              <w:ind w:left="0" w:leftChars="0" w:firstLine="0" w:firstLineChars="0"/>
              <w:jc w:val="left"/>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传感器</w:t>
            </w:r>
          </w:p>
          <w:p w14:paraId="72F29C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1.风速传感器：支持</w:t>
            </w:r>
          </w:p>
          <w:p w14:paraId="2D1C8E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2.雨量传感器：支持</w:t>
            </w:r>
          </w:p>
          <w:p w14:paraId="22BCFBE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3.环境温度传感器：支持</w:t>
            </w:r>
          </w:p>
          <w:p w14:paraId="268684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4.水浸传感器：支持</w:t>
            </w:r>
          </w:p>
          <w:p w14:paraId="6C55C74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5.舱内温度传感器：支持</w:t>
            </w:r>
          </w:p>
          <w:p w14:paraId="29777B3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4"/>
                <w:szCs w:val="24"/>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6.舱内湿度传感器：支持</w:t>
            </w:r>
          </w:p>
          <w:p w14:paraId="3A0F24D3">
            <w:pPr>
              <w:numPr>
                <w:ilvl w:val="0"/>
                <w:numId w:val="1"/>
              </w:numPr>
              <w:bidi w:val="0"/>
              <w:spacing w:line="240" w:lineRule="auto"/>
              <w:ind w:left="0" w:leftChars="0" w:firstLine="0" w:firstLineChars="0"/>
              <w:jc w:val="left"/>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传感器</w:t>
            </w:r>
          </w:p>
          <w:p w14:paraId="669654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1.风速传感器：支持</w:t>
            </w:r>
          </w:p>
          <w:p w14:paraId="52EC6E0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2.雨量传感器：支持</w:t>
            </w:r>
          </w:p>
          <w:p w14:paraId="2E8A800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3.环境温度传感器：支持</w:t>
            </w:r>
          </w:p>
          <w:p w14:paraId="759F9A4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4.水浸传感器：支持</w:t>
            </w:r>
          </w:p>
          <w:p w14:paraId="5250144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5.舱内温度传感器：支持</w:t>
            </w:r>
          </w:p>
          <w:p w14:paraId="085CEF5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6.舱内湿度传感器：支持</w:t>
            </w:r>
          </w:p>
          <w:p w14:paraId="77C1B108">
            <w:pPr>
              <w:numPr>
                <w:ilvl w:val="0"/>
                <w:numId w:val="1"/>
              </w:numPr>
              <w:bidi w:val="0"/>
              <w:spacing w:line="240" w:lineRule="auto"/>
              <w:ind w:left="0" w:leftChars="0" w:firstLine="0" w:firstLineChars="0"/>
              <w:jc w:val="left"/>
              <w:rPr>
                <w:rFonts w:hint="default" w:ascii="Times New Roman" w:hAnsi="Times New Roman" w:eastAsia="宋体" w:cs="Times New Roman"/>
                <w:b/>
                <w:bCs/>
                <w:kern w:val="2"/>
                <w:sz w:val="24"/>
                <w:szCs w:val="24"/>
                <w:highlight w:val="none"/>
                <w:vertAlign w:val="baseline"/>
                <w:lang w:val="en-US" w:eastAsia="zh-CN" w:bidi="ar-SA"/>
              </w:rPr>
            </w:pPr>
            <w:r>
              <w:rPr>
                <w:rFonts w:hint="default" w:ascii="Times New Roman" w:hAnsi="Times New Roman" w:eastAsia="宋体" w:cs="Times New Roman"/>
                <w:b/>
                <w:bCs/>
                <w:kern w:val="2"/>
                <w:sz w:val="24"/>
                <w:szCs w:val="24"/>
                <w:highlight w:val="none"/>
                <w:vertAlign w:val="baseline"/>
                <w:lang w:val="en-US" w:eastAsia="zh-CN" w:bidi="ar-SA"/>
              </w:rPr>
              <w:t>舱盖监控相机</w:t>
            </w:r>
          </w:p>
          <w:p w14:paraId="1304B45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1.分辨率</w:t>
            </w:r>
            <w:r>
              <w:rPr>
                <w:rFonts w:hint="default" w:ascii="Times New Roman" w:hAnsi="Times New Roman" w:eastAsia="宋体" w:cs="Times New Roman"/>
                <w:kern w:val="2"/>
                <w:sz w:val="21"/>
                <w:szCs w:val="21"/>
                <w:vertAlign w:val="baseline"/>
                <w:lang w:val="en-US" w:eastAsia="zh-CN" w:bidi="ar-SA"/>
              </w:rPr>
              <w:t>：</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highlight w:val="none"/>
                <w:vertAlign w:val="baseline"/>
                <w:lang w:val="en-US" w:eastAsia="zh-CN" w:bidi="ar-SA"/>
              </w:rPr>
              <w:t>1920 × 1080</w:t>
            </w:r>
          </w:p>
          <w:p w14:paraId="3657AE0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2.视角范围（FOV）：151°</w:t>
            </w:r>
          </w:p>
          <w:p w14:paraId="19A699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cs="Times New Roman"/>
                <w:color w:val="3B3E40"/>
                <w:sz w:val="16"/>
                <w:szCs w:val="16"/>
                <w:highlight w:val="none"/>
              </w:rPr>
            </w:pPr>
            <w:r>
              <w:rPr>
                <w:rFonts w:hint="default" w:ascii="Times New Roman" w:hAnsi="Times New Roman" w:eastAsia="宋体" w:cs="Times New Roman"/>
                <w:kern w:val="2"/>
                <w:sz w:val="21"/>
                <w:szCs w:val="21"/>
                <w:highlight w:val="none"/>
                <w:vertAlign w:val="baseline"/>
                <w:lang w:val="en-US" w:eastAsia="zh-CN" w:bidi="ar-SA"/>
              </w:rPr>
              <w:t>3.补光灯：白光补光</w:t>
            </w:r>
          </w:p>
          <w:p w14:paraId="540B0C69">
            <w:pPr>
              <w:numPr>
                <w:ilvl w:val="0"/>
                <w:numId w:val="1"/>
              </w:numPr>
              <w:bidi w:val="0"/>
              <w:spacing w:line="240" w:lineRule="auto"/>
              <w:ind w:left="0" w:leftChars="0" w:firstLine="0" w:firstLineChars="0"/>
              <w:jc w:val="left"/>
              <w:rPr>
                <w:rFonts w:hint="default" w:ascii="Times New Roman" w:hAnsi="Times New Roman" w:eastAsia="宋体" w:cs="Times New Roman"/>
                <w:b/>
                <w:bCs/>
                <w:kern w:val="2"/>
                <w:sz w:val="24"/>
                <w:szCs w:val="24"/>
                <w:highlight w:val="none"/>
                <w:vertAlign w:val="baseline"/>
                <w:lang w:val="en-US" w:eastAsia="zh-CN" w:bidi="ar-SA"/>
              </w:rPr>
            </w:pPr>
            <w:r>
              <w:rPr>
                <w:rFonts w:hint="default" w:ascii="Times New Roman" w:hAnsi="Times New Roman" w:eastAsia="宋体" w:cs="Times New Roman"/>
                <w:b/>
                <w:bCs/>
                <w:kern w:val="2"/>
                <w:sz w:val="24"/>
                <w:szCs w:val="24"/>
                <w:highlight w:val="none"/>
                <w:vertAlign w:val="baseline"/>
                <w:lang w:val="en-US" w:eastAsia="zh-CN" w:bidi="ar-SA"/>
              </w:rPr>
              <w:t>舱内监控相机</w:t>
            </w:r>
          </w:p>
          <w:p w14:paraId="4B32BC6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1.分辨率：1920 × 1080</w:t>
            </w:r>
          </w:p>
          <w:p w14:paraId="051A90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2.视角范围（FOV）：</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highlight w:val="none"/>
                <w:vertAlign w:val="baseline"/>
                <w:lang w:val="en-US" w:eastAsia="zh-CN" w:bidi="ar-SA"/>
              </w:rPr>
              <w:t>151°</w:t>
            </w:r>
          </w:p>
          <w:p w14:paraId="2EEA68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3.补光灯：白光补光</w:t>
            </w:r>
          </w:p>
          <w:p w14:paraId="4E6A1EE9">
            <w:pPr>
              <w:numPr>
                <w:ilvl w:val="0"/>
                <w:numId w:val="1"/>
              </w:numPr>
              <w:bidi w:val="0"/>
              <w:spacing w:line="240" w:lineRule="auto"/>
              <w:ind w:left="0" w:leftChars="0" w:firstLine="0" w:firstLineChars="0"/>
              <w:jc w:val="left"/>
              <w:rPr>
                <w:rFonts w:hint="default" w:ascii="Times New Roman" w:hAnsi="Times New Roman" w:eastAsia="宋体" w:cs="Times New Roman"/>
                <w:b/>
                <w:bCs/>
                <w:kern w:val="2"/>
                <w:sz w:val="24"/>
                <w:szCs w:val="24"/>
                <w:highlight w:val="none"/>
                <w:vertAlign w:val="baseline"/>
                <w:lang w:val="en-US" w:eastAsia="zh-CN" w:bidi="ar-SA"/>
              </w:rPr>
            </w:pPr>
            <w:r>
              <w:rPr>
                <w:rFonts w:hint="default" w:ascii="Times New Roman" w:hAnsi="Times New Roman" w:eastAsia="宋体" w:cs="Times New Roman"/>
                <w:b/>
                <w:bCs/>
                <w:kern w:val="2"/>
                <w:sz w:val="24"/>
                <w:szCs w:val="24"/>
                <w:highlight w:val="none"/>
                <w:vertAlign w:val="baseline"/>
                <w:lang w:val="en-US" w:eastAsia="zh-CN" w:bidi="ar-SA"/>
              </w:rPr>
              <w:t>防雷接口</w:t>
            </w:r>
          </w:p>
          <w:p w14:paraId="5C0872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1.交流电接口：20 千安防护（额定值），满足 EN 61643-11 的 Type 2 和 IEC 61643-1 的 Class Ⅱ 保护等级</w:t>
            </w:r>
          </w:p>
          <w:p w14:paraId="3BA6F7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2.以太网接口：10 千安防护（总通流值），满足 EN/IEC 61643-21 的 Category C 保护等级</w:t>
            </w:r>
          </w:p>
        </w:tc>
      </w:tr>
      <w:tr w14:paraId="1C80BDCC">
        <w:tblPrEx>
          <w:tblCellMar>
            <w:top w:w="0" w:type="dxa"/>
            <w:left w:w="108" w:type="dxa"/>
            <w:bottom w:w="0" w:type="dxa"/>
            <w:right w:w="108" w:type="dxa"/>
          </w:tblCellMar>
        </w:tblPrEx>
        <w:trPr>
          <w:trHeight w:val="654" w:hRule="atLeast"/>
          <w:jc w:val="center"/>
        </w:trPr>
        <w:tc>
          <w:tcPr>
            <w:tcW w:w="936" w:type="dxa"/>
            <w:tcBorders>
              <w:top w:val="single" w:color="000000" w:sz="8" w:space="0"/>
              <w:left w:val="single" w:color="000000" w:sz="8" w:space="0"/>
              <w:bottom w:val="single" w:color="000000" w:sz="8" w:space="0"/>
              <w:right w:val="single" w:color="000000" w:sz="8" w:space="0"/>
            </w:tcBorders>
            <w:noWrap w:val="0"/>
            <w:vAlign w:val="center"/>
          </w:tcPr>
          <w:p w14:paraId="56F92360">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2</w:t>
            </w:r>
          </w:p>
        </w:tc>
        <w:tc>
          <w:tcPr>
            <w:tcW w:w="1419" w:type="dxa"/>
            <w:tcBorders>
              <w:top w:val="single" w:color="000000" w:sz="8" w:space="0"/>
              <w:left w:val="single" w:color="000000" w:sz="8" w:space="0"/>
              <w:bottom w:val="single" w:color="000000" w:sz="8" w:space="0"/>
              <w:right w:val="single" w:color="000000" w:sz="8" w:space="0"/>
            </w:tcBorders>
            <w:noWrap w:val="0"/>
            <w:vAlign w:val="center"/>
          </w:tcPr>
          <w:p w14:paraId="3072FFB1">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内置无人机</w:t>
            </w:r>
          </w:p>
        </w:tc>
        <w:tc>
          <w:tcPr>
            <w:tcW w:w="711" w:type="dxa"/>
            <w:tcBorders>
              <w:top w:val="single" w:color="000000" w:sz="8" w:space="0"/>
              <w:left w:val="nil"/>
              <w:bottom w:val="single" w:color="000000" w:sz="8" w:space="0"/>
              <w:right w:val="single" w:color="000000" w:sz="8" w:space="0"/>
            </w:tcBorders>
            <w:noWrap w:val="0"/>
            <w:vAlign w:val="center"/>
          </w:tcPr>
          <w:p w14:paraId="282D1639">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套</w:t>
            </w:r>
          </w:p>
        </w:tc>
        <w:tc>
          <w:tcPr>
            <w:tcW w:w="775" w:type="dxa"/>
            <w:tcBorders>
              <w:top w:val="single" w:color="000000" w:sz="8" w:space="0"/>
              <w:left w:val="nil"/>
              <w:bottom w:val="single" w:color="000000" w:sz="8" w:space="0"/>
              <w:right w:val="single" w:color="000000" w:sz="8" w:space="0"/>
            </w:tcBorders>
            <w:noWrap w:val="0"/>
            <w:vAlign w:val="center"/>
          </w:tcPr>
          <w:p w14:paraId="6EFE2F79">
            <w:pPr>
              <w:spacing w:line="240" w:lineRule="auto"/>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1</w:t>
            </w:r>
          </w:p>
        </w:tc>
        <w:tc>
          <w:tcPr>
            <w:tcW w:w="4675" w:type="dxa"/>
            <w:tcBorders>
              <w:top w:val="single" w:color="000000" w:sz="8" w:space="0"/>
              <w:left w:val="nil"/>
              <w:bottom w:val="single" w:color="000000" w:sz="8" w:space="0"/>
              <w:right w:val="single" w:color="000000" w:sz="8" w:space="0"/>
            </w:tcBorders>
            <w:noWrap w:val="0"/>
            <w:vAlign w:val="center"/>
          </w:tcPr>
          <w:p w14:paraId="1474A083">
            <w:pPr>
              <w:numPr>
                <w:ilvl w:val="0"/>
                <w:numId w:val="0"/>
              </w:numPr>
              <w:bidi w:val="0"/>
              <w:spacing w:line="240" w:lineRule="auto"/>
              <w:ind w:leftChars="0"/>
              <w:jc w:val="left"/>
              <w:rPr>
                <w:rFonts w:hint="default" w:ascii="Times New Roman" w:hAnsi="Times New Roman" w:eastAsia="宋体" w:cs="Times New Roman"/>
                <w:b/>
                <w:bCs/>
                <w:kern w:val="2"/>
                <w:sz w:val="24"/>
                <w:szCs w:val="24"/>
                <w:highlight w:val="none"/>
                <w:vertAlign w:val="baseline"/>
                <w:lang w:val="en-US" w:eastAsia="zh-CN" w:bidi="ar-SA"/>
              </w:rPr>
            </w:pPr>
            <w:r>
              <w:rPr>
                <w:rFonts w:hint="default" w:ascii="Times New Roman" w:hAnsi="Times New Roman" w:eastAsia="宋体" w:cs="Times New Roman"/>
                <w:b/>
                <w:bCs/>
                <w:kern w:val="2"/>
                <w:sz w:val="24"/>
                <w:szCs w:val="24"/>
                <w:highlight w:val="none"/>
                <w:vertAlign w:val="baseline"/>
                <w:lang w:val="en-US" w:eastAsia="zh-CN" w:bidi="ar-SA"/>
              </w:rPr>
              <w:t>内置无人机：</w:t>
            </w:r>
          </w:p>
          <w:p w14:paraId="1E1D22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1.裸机重量：</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1850 克</w:t>
            </w:r>
          </w:p>
          <w:p w14:paraId="43840CF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2.最大起飞重量：</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2090 克</w:t>
            </w:r>
          </w:p>
          <w:p w14:paraId="4EE478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3.尺寸：</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长 370毫米，宽 415 毫米，高 210 毫米（不含桨叶）</w:t>
            </w:r>
          </w:p>
          <w:p w14:paraId="04EDBF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4.轴距</w:t>
            </w:r>
          </w:p>
          <w:p w14:paraId="5E3D891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对角线轴距：</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490 毫米前电机左右轴距：380 毫米</w:t>
            </w:r>
          </w:p>
          <w:p w14:paraId="28330B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后电机左右轴距：</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340 毫米前后轴距：340 毫米</w:t>
            </w:r>
          </w:p>
          <w:p w14:paraId="322468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5.最大上升速度：</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6 米/秒（普通挡），10米/秒（运动挡）</w:t>
            </w:r>
          </w:p>
          <w:p w14:paraId="1C465E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6.最大下降速度：</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6 米/秒（普通挡），8米/秒（运动挡）</w:t>
            </w:r>
          </w:p>
          <w:p w14:paraId="1C65B06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7.最大水平飞行速度（海平面附近无风）</w:t>
            </w:r>
          </w:p>
          <w:p w14:paraId="56F0807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 xml:space="preserve">普通挡，开启避障：前飞 </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15 米/秒，后飞</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 xml:space="preserve"> 12 米/秒，侧飞</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 xml:space="preserve"> 10 米/秒</w:t>
            </w:r>
          </w:p>
          <w:p w14:paraId="797686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 xml:space="preserve">运动挡：前飞 </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21 米/秒，后飞</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 xml:space="preserve"> 19 米/秒，侧飞</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 xml:space="preserve"> 15 米/秒</w:t>
            </w:r>
          </w:p>
          <w:p w14:paraId="641CE9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8.最大抗风速度：</w:t>
            </w:r>
          </w:p>
          <w:p w14:paraId="4D30A7A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作业阶段抗风能力：</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12 米/秒</w:t>
            </w:r>
          </w:p>
          <w:p w14:paraId="55006A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起降阶段抗风能力：</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12 米/秒</w:t>
            </w:r>
          </w:p>
          <w:p w14:paraId="3C45574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9.最大起飞海拔高度：</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6500 米</w:t>
            </w:r>
          </w:p>
          <w:p w14:paraId="13B4280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10.最长飞行时间：</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54 分钟</w:t>
            </w:r>
          </w:p>
          <w:p w14:paraId="3B36465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11.最长悬停时间：</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47 分钟</w:t>
            </w:r>
          </w:p>
          <w:p w14:paraId="6C4B9CA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12.最大作业半径：</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10 公里</w:t>
            </w:r>
          </w:p>
          <w:p w14:paraId="64F039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13.最大续航里程：</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43 公里</w:t>
            </w:r>
          </w:p>
          <w:p w14:paraId="4E8FE67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14.工作环境温度：-20℃ 至 50℃</w:t>
            </w:r>
          </w:p>
          <w:p w14:paraId="6A9C6DA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15.防护等级：</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IP55</w:t>
            </w:r>
          </w:p>
          <w:p w14:paraId="6C52F06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16.影像传感器</w:t>
            </w:r>
          </w:p>
          <w:p w14:paraId="453C71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广角相机:</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 xml:space="preserve"> 1/1.3 英寸 CMOS，有效像素 4800 万</w:t>
            </w:r>
          </w:p>
          <w:p w14:paraId="4CD7384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 xml:space="preserve">中长焦相机: </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1/1.3 英寸 CMOS，有效像素 4800万</w:t>
            </w:r>
          </w:p>
          <w:p w14:paraId="3714DEC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 xml:space="preserve">长焦相机: </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1/1.5 英寸 CMOS，有效像素 4800 万</w:t>
            </w:r>
          </w:p>
          <w:p w14:paraId="7589EB6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17.红外补光：FOV：5.7°±0.3°</w:t>
            </w:r>
          </w:p>
          <w:p w14:paraId="316D569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18.激光测距：</w:t>
            </w:r>
          </w:p>
          <w:p w14:paraId="3209C04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正入射量程：</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1800 米（1 HZ） @20%反射率目标</w:t>
            </w:r>
          </w:p>
          <w:p w14:paraId="46B3F3D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斜入射量程（1:5 斜距）：</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600 米（1 Hz）</w:t>
            </w:r>
          </w:p>
          <w:p w14:paraId="0DA8F15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盲区：1 米</w:t>
            </w:r>
          </w:p>
          <w:p w14:paraId="36E2F00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19.热成像传感器类型：非制冷氧化钒（VOx）</w:t>
            </w:r>
          </w:p>
          <w:p w14:paraId="078C77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微软雅黑" w:cs="Times New Roman"/>
                <w:i w:val="0"/>
                <w:iCs w:val="0"/>
                <w:caps w:val="0"/>
                <w:color w:val="3B3E40"/>
                <w:spacing w:val="0"/>
                <w:sz w:val="16"/>
                <w:szCs w:val="16"/>
                <w:shd w:val="clear" w:color="auto" w:fill="FFFFFF"/>
                <w:lang w:val="en-US" w:eastAsia="zh-CN"/>
              </w:rPr>
            </w:pPr>
            <w:r>
              <w:rPr>
                <w:rFonts w:hint="default" w:ascii="Times New Roman" w:hAnsi="Times New Roman" w:eastAsia="宋体" w:cs="Times New Roman"/>
                <w:kern w:val="2"/>
                <w:sz w:val="21"/>
                <w:szCs w:val="21"/>
                <w:vertAlign w:val="baseline"/>
                <w:lang w:val="en-US" w:eastAsia="zh-CN" w:bidi="ar-SA"/>
              </w:rPr>
              <w:t>20.感知系统类型：全向双目视觉系统，辅以机身底部三维红外传感器</w:t>
            </w:r>
            <w:r>
              <w:rPr>
                <w:rFonts w:hint="default" w:ascii="Times New Roman" w:hAnsi="Times New Roman" w:eastAsia="宋体" w:cs="Times New Roman"/>
                <w:kern w:val="2"/>
                <w:sz w:val="21"/>
                <w:szCs w:val="21"/>
                <w:vertAlign w:val="baseline"/>
                <w:lang w:val="en-US" w:eastAsia="zh-CN" w:bidi="ar-SA"/>
              </w:rPr>
              <w:tab/>
            </w:r>
          </w:p>
        </w:tc>
      </w:tr>
      <w:tr w14:paraId="50A0C359">
        <w:tblPrEx>
          <w:tblCellMar>
            <w:top w:w="0" w:type="dxa"/>
            <w:left w:w="108" w:type="dxa"/>
            <w:bottom w:w="0" w:type="dxa"/>
            <w:right w:w="108" w:type="dxa"/>
          </w:tblCellMar>
        </w:tblPrEx>
        <w:trPr>
          <w:trHeight w:val="23" w:hRule="atLeast"/>
          <w:jc w:val="center"/>
        </w:trPr>
        <w:tc>
          <w:tcPr>
            <w:tcW w:w="936" w:type="dxa"/>
            <w:tcBorders>
              <w:top w:val="single" w:color="000000" w:sz="8" w:space="0"/>
              <w:left w:val="single" w:color="000000" w:sz="8" w:space="0"/>
              <w:bottom w:val="single" w:color="000000" w:sz="8" w:space="0"/>
              <w:right w:val="single" w:color="000000" w:sz="8" w:space="0"/>
            </w:tcBorders>
            <w:noWrap w:val="0"/>
            <w:vAlign w:val="center"/>
          </w:tcPr>
          <w:p w14:paraId="7DBE6D88">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3</w:t>
            </w:r>
          </w:p>
        </w:tc>
        <w:tc>
          <w:tcPr>
            <w:tcW w:w="1419" w:type="dxa"/>
            <w:tcBorders>
              <w:top w:val="single" w:color="000000" w:sz="8" w:space="0"/>
              <w:left w:val="single" w:color="000000" w:sz="8" w:space="0"/>
              <w:bottom w:val="single" w:color="000000" w:sz="8" w:space="0"/>
              <w:right w:val="single" w:color="000000" w:sz="8" w:space="0"/>
            </w:tcBorders>
            <w:noWrap w:val="0"/>
            <w:vAlign w:val="center"/>
          </w:tcPr>
          <w:p w14:paraId="39BC4A13">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林业无人值守机库管理云平台</w:t>
            </w:r>
          </w:p>
          <w:p w14:paraId="7E1A2296">
            <w:pPr>
              <w:spacing w:line="240" w:lineRule="auto"/>
              <w:jc w:val="center"/>
              <w:rPr>
                <w:rFonts w:hint="default" w:ascii="Times New Roman" w:hAnsi="Times New Roman" w:eastAsia="宋体" w:cs="Times New Roman"/>
                <w:lang w:val="en-US" w:eastAsia="zh-CN"/>
              </w:rPr>
            </w:pPr>
          </w:p>
        </w:tc>
        <w:tc>
          <w:tcPr>
            <w:tcW w:w="711" w:type="dxa"/>
            <w:tcBorders>
              <w:top w:val="single" w:color="000000" w:sz="8" w:space="0"/>
              <w:left w:val="nil"/>
              <w:bottom w:val="single" w:color="000000" w:sz="8" w:space="0"/>
              <w:right w:val="single" w:color="000000" w:sz="8" w:space="0"/>
            </w:tcBorders>
            <w:noWrap w:val="0"/>
            <w:vAlign w:val="center"/>
          </w:tcPr>
          <w:p w14:paraId="66B478AA">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套</w:t>
            </w:r>
          </w:p>
        </w:tc>
        <w:tc>
          <w:tcPr>
            <w:tcW w:w="775" w:type="dxa"/>
            <w:tcBorders>
              <w:top w:val="single" w:color="000000" w:sz="8" w:space="0"/>
              <w:left w:val="nil"/>
              <w:bottom w:val="single" w:color="000000" w:sz="8" w:space="0"/>
              <w:right w:val="single" w:color="000000" w:sz="8" w:space="0"/>
            </w:tcBorders>
            <w:noWrap w:val="0"/>
            <w:vAlign w:val="center"/>
          </w:tcPr>
          <w:p w14:paraId="414EFAB6">
            <w:pPr>
              <w:spacing w:line="240" w:lineRule="auto"/>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1</w:t>
            </w:r>
          </w:p>
        </w:tc>
        <w:tc>
          <w:tcPr>
            <w:tcW w:w="4675" w:type="dxa"/>
            <w:tcBorders>
              <w:top w:val="single" w:color="000000" w:sz="8" w:space="0"/>
              <w:left w:val="nil"/>
              <w:bottom w:val="single" w:color="000000" w:sz="8" w:space="0"/>
              <w:right w:val="single" w:color="000000" w:sz="8" w:space="0"/>
            </w:tcBorders>
            <w:noWrap w:val="0"/>
            <w:vAlign w:val="center"/>
          </w:tcPr>
          <w:p w14:paraId="79414689">
            <w:pPr>
              <w:numPr>
                <w:ilvl w:val="0"/>
                <w:numId w:val="0"/>
              </w:numPr>
              <w:bidi w:val="0"/>
              <w:spacing w:line="240" w:lineRule="auto"/>
              <w:ind w:leftChars="0"/>
              <w:jc w:val="left"/>
              <w:rPr>
                <w:rFonts w:hint="default" w:ascii="Times New Roman" w:hAnsi="Times New Roman" w:eastAsia="宋体" w:cs="Times New Roman"/>
                <w:b/>
                <w:bCs/>
                <w:kern w:val="2"/>
                <w:sz w:val="24"/>
                <w:szCs w:val="24"/>
                <w:highlight w:val="none"/>
                <w:vertAlign w:val="baseline"/>
                <w:lang w:val="en-US" w:eastAsia="zh-CN" w:bidi="ar-SA"/>
              </w:rPr>
            </w:pPr>
            <w:r>
              <w:rPr>
                <w:rFonts w:hint="default" w:ascii="Times New Roman" w:hAnsi="Times New Roman" w:eastAsia="宋体" w:cs="Times New Roman"/>
                <w:b/>
                <w:bCs/>
                <w:kern w:val="2"/>
                <w:sz w:val="24"/>
                <w:szCs w:val="24"/>
                <w:highlight w:val="none"/>
                <w:vertAlign w:val="baseline"/>
                <w:lang w:val="en-US" w:eastAsia="zh-CN" w:bidi="ar-SA"/>
              </w:rPr>
              <w:t>林业无人值守机库管理云平台</w:t>
            </w:r>
          </w:p>
          <w:p w14:paraId="08EA842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1.支持查看无人机实时状态：经纬度、飞行高度、姿态数据、摄像头朝向等。</w:t>
            </w:r>
          </w:p>
          <w:p w14:paraId="5808367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2.支持对无人机历史画面进行回放、删除、重点内容标注操作。</w:t>
            </w:r>
          </w:p>
          <w:p w14:paraId="38023D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3.支持显示无人机实时飞行轨迹功能</w:t>
            </w:r>
          </w:p>
          <w:p w14:paraId="622307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w:t>
            </w:r>
            <w:r>
              <w:rPr>
                <w:rFonts w:hint="default" w:ascii="Times New Roman" w:hAnsi="Times New Roman" w:eastAsia="宋体" w:cs="Times New Roman"/>
                <w:kern w:val="2"/>
                <w:sz w:val="21"/>
                <w:szCs w:val="21"/>
                <w:highlight w:val="none"/>
                <w:vertAlign w:val="baseline"/>
                <w:lang w:val="en-US" w:eastAsia="zh-CN" w:bidi="ar-SA"/>
              </w:rPr>
              <w:t>4.具备机场无人机专属航线生成功能，航线类型包含：瞭望模式、区域监测、面状测绘、带状测绘、航点航线，其中瞭望模式可根据监测范围自动调整无人机飞行高度及云台旋转角度</w:t>
            </w:r>
          </w:p>
          <w:p w14:paraId="112D25D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5.支持规划二维建图任务并分配至指定无人机设备</w:t>
            </w:r>
          </w:p>
          <w:p w14:paraId="24DE1C9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w:t>
            </w:r>
            <w:r>
              <w:rPr>
                <w:rFonts w:hint="default" w:ascii="Times New Roman" w:hAnsi="Times New Roman" w:eastAsia="宋体" w:cs="Times New Roman"/>
                <w:kern w:val="2"/>
                <w:sz w:val="21"/>
                <w:szCs w:val="21"/>
                <w:highlight w:val="none"/>
                <w:vertAlign w:val="baseline"/>
                <w:lang w:val="en-US" w:eastAsia="zh-CN" w:bidi="ar-SA"/>
              </w:rPr>
              <w:t>6.支持自动生成二维正射影像图并自动发布瓦片地图服务，地图服务可同时显示于网页端和飞控APP，正射影像图可导出为tiff格式，导出数据坐标系根据当前工程自动设置为WGS84、西安80、北京54、国家2000等坐标系；</w:t>
            </w:r>
          </w:p>
          <w:p w14:paraId="02834EB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7.网页端及飞控APP支持点线面勾绘，APP勾绘数据实时同步至云端</w:t>
            </w:r>
          </w:p>
          <w:p w14:paraId="3FB8C16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8.网页端工程管理功能，并提供支持WGS84、西安80、北京54、国家2000等坐标系自由设置。</w:t>
            </w:r>
          </w:p>
          <w:p w14:paraId="79B9550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9.无人机实时画面AI人工智能林区烟雾识别，自动记录疑似烟点，并进行短信推送。</w:t>
            </w:r>
          </w:p>
          <w:p w14:paraId="0C6069D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10.支持远程控制无人机云台上、下、左、右回中操作</w:t>
            </w:r>
          </w:p>
          <w:p w14:paraId="08BE0BF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11.支持切换无人机镜头模式、热成像模式、变焦、拍照功能</w:t>
            </w:r>
          </w:p>
          <w:p w14:paraId="2175AA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12.支持无人机机场状态查看，包括：风速、降雨量、局域网状态等</w:t>
            </w:r>
          </w:p>
          <w:p w14:paraId="2BBB0AA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w:t>
            </w:r>
            <w:r>
              <w:rPr>
                <w:rFonts w:hint="default" w:ascii="Times New Roman" w:hAnsi="Times New Roman" w:eastAsia="宋体" w:cs="Times New Roman"/>
                <w:kern w:val="2"/>
                <w:sz w:val="21"/>
                <w:szCs w:val="21"/>
                <w:highlight w:val="none"/>
                <w:vertAlign w:val="baseline"/>
                <w:lang w:val="en-US" w:eastAsia="zh-CN" w:bidi="ar-SA"/>
              </w:rPr>
              <w:t>13云端拼图完成后，地图服务可同时显示于网页端、移动端APP和飞控APP，其中飞控APP和移动端APP可实现离线加载二维地图成果</w:t>
            </w:r>
          </w:p>
          <w:p w14:paraId="0022A45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14.支持控制远程控制无人机前、后、左、右，拍照录像等进行常规远程手动飞行</w:t>
            </w:r>
          </w:p>
          <w:p w14:paraId="39E5187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15.支持无人值守机库定时任务，并支持林区病虫害自动监测、林业林地变化监测等</w:t>
            </w:r>
          </w:p>
          <w:p w14:paraId="3997FB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16.支持导入tiff格式栅格影像数据作为离线飞行地图，并可单独设置地图透明度；导入数据支持WGS84坐标系，西安80坐标系、北京54坐标系、国家2000坐标系;</w:t>
            </w:r>
          </w:p>
          <w:p w14:paraId="2ED8115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17.支持图斑航拍核查功能，提供俯拍及侧拍两种拍摄模式，影像数据与矢量图斑自动关联，并记录拍摄时间、机型等信息并同步至服务端;</w:t>
            </w:r>
          </w:p>
          <w:p w14:paraId="61ADBF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18.支持无人机画面一键回传至指挥中心，并可接收指挥中心语音指令，历史视频画面自动存储，便于回放查看;</w:t>
            </w:r>
          </w:p>
          <w:p w14:paraId="7681796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19.支持导入点、线、面三种类型的shp矢量数据作为飞行参考，其中面类型元素兼容孤岛、空洞、相交等复杂拓扑关系;</w:t>
            </w:r>
          </w:p>
          <w:p w14:paraId="0669D6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w:t>
            </w:r>
            <w:r>
              <w:rPr>
                <w:rFonts w:hint="default" w:ascii="Times New Roman" w:hAnsi="Times New Roman" w:eastAsia="宋体" w:cs="Times New Roman"/>
                <w:kern w:val="2"/>
                <w:sz w:val="21"/>
                <w:szCs w:val="21"/>
                <w:highlight w:val="none"/>
                <w:vertAlign w:val="baseline"/>
                <w:lang w:val="en-US" w:eastAsia="zh-CN" w:bidi="ar-SA"/>
              </w:rPr>
              <w:t>20.支持规划二维航测建图任务、航点任务、带状测绘任务，任务可根据管理区域自动授权至对应组织</w:t>
            </w:r>
          </w:p>
          <w:p w14:paraId="1C5E30B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21.飞行任务设置、高程分析：提供测绘任务</w:t>
            </w:r>
          </w:p>
          <w:p w14:paraId="7A3B7FC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重叠度调节、 平面和防地切换、起点和终点调节、航线高程分析、起飞高 度自适应设置功能。</w:t>
            </w:r>
          </w:p>
          <w:p w14:paraId="11C60CDD">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Chars="0"/>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支持无人机值守机库自动生成生成二维、三维等数据，并实时同步到系统进行监测与测绘等。</w:t>
            </w:r>
          </w:p>
          <w:p w14:paraId="0BE9E88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23.具备上下级组织管理功能，支持新建下级组织，并修改下级组织名称、经纬度坐标、联系人及联系方式等。</w:t>
            </w:r>
          </w:p>
          <w:p w14:paraId="0679A87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24.具备组织管辖区域授权管理功能，可对下级组织指派管辖区域，无人机飞行任务和矢量数据可根据管辖区域自动分配至关联下级组织。</w:t>
            </w:r>
          </w:p>
          <w:p w14:paraId="681C32A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25.支持无人机飞行统计功能，统计内容包括飞行总架次、飞行总里程、飞行总时长、目标点总数等。</w:t>
            </w:r>
          </w:p>
          <w:p w14:paraId="741C822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w:t>
            </w:r>
            <w:r>
              <w:rPr>
                <w:rFonts w:hint="default" w:ascii="Times New Roman" w:hAnsi="Times New Roman" w:eastAsia="宋体" w:cs="Times New Roman"/>
                <w:kern w:val="2"/>
                <w:sz w:val="21"/>
                <w:szCs w:val="21"/>
                <w:highlight w:val="none"/>
                <w:vertAlign w:val="baseline"/>
                <w:lang w:val="en-US" w:eastAsia="zh-CN" w:bidi="ar-SA"/>
              </w:rPr>
              <w:t>26.支持实时预览AI识别推理画面，并在实时画面中标注识别结果，提供多种清晰度供选择，包含540P、720P、720P Hight、1080P</w:t>
            </w:r>
          </w:p>
          <w:p w14:paraId="689ED37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27.支持直接导入shape file格式矢量文件并自动生成矢量图层，单次导入矢量元素数据不低于20万，shape file格式矢量文件支持WGS84、国家2000、西安80、北京54等坐标系</w:t>
            </w:r>
          </w:p>
          <w:p w14:paraId="7270A7B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▲28.提供以1小时为间隔进行24小时内森林火灾蔓延区域推演，推演因素包含地势、降雨、风速、水源地等因素，推演结果显示至电子沙盘。</w:t>
            </w:r>
          </w:p>
          <w:p w14:paraId="5C04DC9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29.具备矢量图层自动打包、下发功能，实现移动端APP及飞控端APP自动获取离线加载。</w:t>
            </w:r>
          </w:p>
          <w:p w14:paraId="2B58A1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▲30.矢量图层支持“唯一值渲染”、“通用渲染”两种渲染模式，其中“唯一值渲染”可分别对具备相同字段属性的元素统一设置相同渲染颜色，并决定显示或隐藏。</w:t>
            </w:r>
          </w:p>
          <w:p w14:paraId="485E98F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31.支持查看并编辑矢量元素数据，数据结果自动同步至飞控端APP及移动端APP。</w:t>
            </w:r>
          </w:p>
          <w:p w14:paraId="090063C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32.支持查看、编辑来自于移动端APP及飞控端APP拍摄的图斑照片。</w:t>
            </w:r>
          </w:p>
          <w:p w14:paraId="4449686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33.具备森林病虫害AI识别功能，实现在无人机航测正射影像图自动标注病虫害枯死木坐标并生成shape file矢量文件。</w:t>
            </w:r>
          </w:p>
          <w:p w14:paraId="23CB79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34.具备林地变化监测AI识别功能，支持指定同一区域不同时间段两组正射影像数据，自动提取林地变化范围，并生成shape file矢量文件。</w:t>
            </w:r>
          </w:p>
          <w:p w14:paraId="1446B2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35.具备工程管理功能，新建工程时可根据业务需求自定义坐标系，系统内置WGS84、国家2000、北京54、西安80四种坐标系</w:t>
            </w:r>
          </w:p>
          <w:p w14:paraId="4EF1AA4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36.具备定时任务设置功能，用户可对无人机机场指定作业内容及作业时间，无人机自动开展飞行任务全程无需人员介入。定时任务重复频率分为按天重复、按周重复以及按月重复3种。</w:t>
            </w:r>
          </w:p>
          <w:p w14:paraId="633C19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37.无人机机场支持外接边缘计算设备，可实现烟雾识别、山火识别并自动预警。用户可对边缘计算设备权重文件进行远程维护，包括识别类型替换、版本升级、灵敏度调整等。</w:t>
            </w:r>
          </w:p>
          <w:p w14:paraId="37DF25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38.支持扑火指挥调度信息规划，包含：着火点、取水点、火场边界、隔离带等，并实时推送至移动端APP</w:t>
            </w:r>
          </w:p>
          <w:p w14:paraId="5CECA2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▲39.支持面积、长度属性自动关联更新功能，当元素图形发生改变后，自动更新对应面积或长度属性，并同步网页端</w:t>
            </w:r>
          </w:p>
          <w:p w14:paraId="0802076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40.支持设定搜定搜索范围，自动获取周边救援物资、人员等信息</w:t>
            </w:r>
          </w:p>
          <w:p w14:paraId="797A39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41.支持根据火灾发生时间段进行周边历史影像资料搜索</w:t>
            </w:r>
          </w:p>
          <w:p w14:paraId="670D8F0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42.提供森林防火态势感知大屏展示界面，包含三维地图展示、图层控制、烟火预警、无人机自动巡护排班、巡护记录统计展示。</w:t>
            </w:r>
          </w:p>
          <w:p w14:paraId="64F4B64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color w:val="00B050"/>
                <w:lang w:val="en-US" w:eastAsia="zh-CN"/>
              </w:rPr>
            </w:pPr>
            <w:r>
              <w:rPr>
                <w:rFonts w:hint="default" w:ascii="Times New Roman" w:hAnsi="Times New Roman" w:eastAsia="宋体" w:cs="Times New Roman"/>
                <w:kern w:val="2"/>
                <w:sz w:val="21"/>
                <w:szCs w:val="21"/>
                <w:highlight w:val="none"/>
                <w:vertAlign w:val="baseline"/>
                <w:lang w:val="en-US" w:eastAsia="zh-CN" w:bidi="ar-SA"/>
              </w:rPr>
              <w:t>▲43.无人机机场支持外接边缘计算设备，可实现烟雾识别、山火识别并自动预警。用户可对边缘计算设备权重文件进行远程维护，包括识别类型替换、版本升级、灵敏度调整（置信度、重复上报间隔时间）</w:t>
            </w:r>
          </w:p>
        </w:tc>
      </w:tr>
      <w:tr w14:paraId="4A8C2FD0">
        <w:tblPrEx>
          <w:tblCellMar>
            <w:top w:w="0" w:type="dxa"/>
            <w:left w:w="108" w:type="dxa"/>
            <w:bottom w:w="0" w:type="dxa"/>
            <w:right w:w="108" w:type="dxa"/>
          </w:tblCellMar>
        </w:tblPrEx>
        <w:trPr>
          <w:trHeight w:val="23" w:hRule="atLeast"/>
          <w:jc w:val="center"/>
        </w:trPr>
        <w:tc>
          <w:tcPr>
            <w:tcW w:w="936" w:type="dxa"/>
            <w:tcBorders>
              <w:top w:val="single" w:color="000000" w:sz="8" w:space="0"/>
              <w:left w:val="single" w:color="000000" w:sz="8" w:space="0"/>
              <w:bottom w:val="single" w:color="000000" w:sz="8" w:space="0"/>
              <w:right w:val="single" w:color="000000" w:sz="8" w:space="0"/>
            </w:tcBorders>
            <w:noWrap w:val="0"/>
            <w:vAlign w:val="center"/>
          </w:tcPr>
          <w:p w14:paraId="73F3B7FA">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4</w:t>
            </w:r>
          </w:p>
        </w:tc>
        <w:tc>
          <w:tcPr>
            <w:tcW w:w="1419" w:type="dxa"/>
            <w:tcBorders>
              <w:top w:val="single" w:color="000000" w:sz="8" w:space="0"/>
              <w:left w:val="single" w:color="000000" w:sz="8" w:space="0"/>
              <w:bottom w:val="single" w:color="000000" w:sz="8" w:space="0"/>
              <w:right w:val="single" w:color="000000" w:sz="8" w:space="0"/>
            </w:tcBorders>
            <w:noWrap w:val="0"/>
            <w:vAlign w:val="center"/>
          </w:tcPr>
          <w:p w14:paraId="05244768">
            <w:pPr>
              <w:spacing w:line="240" w:lineRule="auto"/>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动力电池</w:t>
            </w:r>
          </w:p>
        </w:tc>
        <w:tc>
          <w:tcPr>
            <w:tcW w:w="711" w:type="dxa"/>
            <w:tcBorders>
              <w:top w:val="single" w:color="000000" w:sz="8" w:space="0"/>
              <w:left w:val="nil"/>
              <w:bottom w:val="single" w:color="000000" w:sz="8" w:space="0"/>
              <w:right w:val="single" w:color="000000" w:sz="8" w:space="0"/>
            </w:tcBorders>
            <w:noWrap w:val="0"/>
            <w:vAlign w:val="center"/>
          </w:tcPr>
          <w:p w14:paraId="5C9CDA7E">
            <w:pPr>
              <w:spacing w:line="240" w:lineRule="auto"/>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颗</w:t>
            </w:r>
          </w:p>
        </w:tc>
        <w:tc>
          <w:tcPr>
            <w:tcW w:w="775" w:type="dxa"/>
            <w:tcBorders>
              <w:top w:val="single" w:color="000000" w:sz="8" w:space="0"/>
              <w:left w:val="nil"/>
              <w:bottom w:val="single" w:color="000000" w:sz="8" w:space="0"/>
              <w:right w:val="single" w:color="000000" w:sz="8" w:space="0"/>
            </w:tcBorders>
            <w:noWrap w:val="0"/>
            <w:vAlign w:val="center"/>
          </w:tcPr>
          <w:p w14:paraId="40428F3C">
            <w:pPr>
              <w:spacing w:line="240" w:lineRule="auto"/>
              <w:jc w:val="center"/>
              <w:rPr>
                <w:rFonts w:hint="default" w:ascii="Times New Roman" w:hAnsi="Times New Roman" w:eastAsia="宋体" w:cs="Times New Roman"/>
                <w:highlight w:val="none"/>
                <w:lang w:val="en-US" w:eastAsia="zh-CN"/>
              </w:rPr>
            </w:pPr>
            <w:r>
              <w:rPr>
                <w:rFonts w:hint="default" w:ascii="Times New Roman" w:hAnsi="Times New Roman" w:cs="Times New Roman"/>
                <w:sz w:val="21"/>
                <w:szCs w:val="21"/>
                <w:highlight w:val="none"/>
                <w:lang w:val="en-US" w:eastAsia="zh-CN"/>
              </w:rPr>
              <w:t>4</w:t>
            </w:r>
          </w:p>
        </w:tc>
        <w:tc>
          <w:tcPr>
            <w:tcW w:w="4675" w:type="dxa"/>
            <w:tcBorders>
              <w:top w:val="single" w:color="000000" w:sz="8" w:space="0"/>
              <w:left w:val="nil"/>
              <w:bottom w:val="single" w:color="000000" w:sz="8" w:space="0"/>
              <w:right w:val="single" w:color="000000" w:sz="8" w:space="0"/>
            </w:tcBorders>
            <w:noWrap w:val="0"/>
            <w:vAlign w:val="center"/>
          </w:tcPr>
          <w:p w14:paraId="10C6715F">
            <w:pPr>
              <w:tabs>
                <w:tab w:val="left" w:pos="1175"/>
              </w:tabs>
              <w:spacing w:line="240" w:lineRule="auto"/>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动力电池</w:t>
            </w:r>
          </w:p>
          <w:p w14:paraId="439963A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1.容量：</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6768 毫安时</w:t>
            </w:r>
          </w:p>
          <w:p w14:paraId="31C80FD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2.电压：20伏</w:t>
            </w:r>
          </w:p>
          <w:p w14:paraId="47CE2A2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3.充电限制电压：</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25伏</w:t>
            </w:r>
          </w:p>
          <w:p w14:paraId="48C46A9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4.电池类型：Li-ion 6S</w:t>
            </w:r>
          </w:p>
          <w:p w14:paraId="1370506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5.化学体系：镍钴锰酸锂</w:t>
            </w:r>
          </w:p>
          <w:p w14:paraId="35DD23F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6.能量：</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140 瓦时</w:t>
            </w:r>
          </w:p>
          <w:p w14:paraId="5F2DD4D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7.重量：</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640 克</w:t>
            </w:r>
          </w:p>
          <w:p w14:paraId="589FB6E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8.循环次数：</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400 次</w:t>
            </w:r>
          </w:p>
          <w:p w14:paraId="5BC861C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9.充电温度范围：5℃ 至 45℃</w:t>
            </w:r>
          </w:p>
          <w:p w14:paraId="62F9504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10.放电倍率：</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4C</w:t>
            </w:r>
          </w:p>
          <w:p w14:paraId="58D3855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11.最大充电功率：</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1.8C</w:t>
            </w:r>
          </w:p>
          <w:p w14:paraId="0662FF5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12.支持低温充电</w:t>
            </w:r>
          </w:p>
          <w:p w14:paraId="2AAA4AD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13.支持低温自加热充电</w:t>
            </w:r>
          </w:p>
        </w:tc>
      </w:tr>
      <w:tr w14:paraId="2CB48DE6">
        <w:tblPrEx>
          <w:tblCellMar>
            <w:top w:w="0" w:type="dxa"/>
            <w:left w:w="108" w:type="dxa"/>
            <w:bottom w:w="0" w:type="dxa"/>
            <w:right w:w="108" w:type="dxa"/>
          </w:tblCellMar>
        </w:tblPrEx>
        <w:trPr>
          <w:trHeight w:val="23" w:hRule="atLeast"/>
          <w:jc w:val="center"/>
        </w:trPr>
        <w:tc>
          <w:tcPr>
            <w:tcW w:w="936" w:type="dxa"/>
            <w:tcBorders>
              <w:top w:val="single" w:color="000000" w:sz="8" w:space="0"/>
              <w:left w:val="single" w:color="000000" w:sz="8" w:space="0"/>
              <w:bottom w:val="single" w:color="000000" w:sz="8" w:space="0"/>
              <w:right w:val="single" w:color="000000" w:sz="8" w:space="0"/>
            </w:tcBorders>
            <w:noWrap w:val="0"/>
            <w:vAlign w:val="center"/>
          </w:tcPr>
          <w:p w14:paraId="3E9251BD">
            <w:pPr>
              <w:spacing w:line="240" w:lineRule="auto"/>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rPr>
              <w:t>5</w:t>
            </w:r>
          </w:p>
        </w:tc>
        <w:tc>
          <w:tcPr>
            <w:tcW w:w="1419" w:type="dxa"/>
            <w:tcBorders>
              <w:top w:val="single" w:color="000000" w:sz="8" w:space="0"/>
              <w:left w:val="single" w:color="000000" w:sz="8" w:space="0"/>
              <w:bottom w:val="single" w:color="000000" w:sz="8" w:space="0"/>
              <w:right w:val="single" w:color="000000" w:sz="8" w:space="0"/>
            </w:tcBorders>
            <w:noWrap w:val="0"/>
            <w:vAlign w:val="center"/>
          </w:tcPr>
          <w:p w14:paraId="6CB3A0A5">
            <w:pPr>
              <w:spacing w:line="240" w:lineRule="auto"/>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rPr>
              <w:t>无</w:t>
            </w:r>
            <w:r>
              <w:rPr>
                <w:rFonts w:hint="default" w:ascii="Times New Roman" w:hAnsi="Times New Roman" w:eastAsia="宋体" w:cs="Times New Roman"/>
                <w:highlight w:val="none"/>
                <w:lang w:val="en-US" w:eastAsia="zh-CN"/>
              </w:rPr>
              <w:t>人值守</w:t>
            </w:r>
            <w:r>
              <w:rPr>
                <w:rFonts w:hint="default" w:ascii="Times New Roman" w:hAnsi="Times New Roman" w:eastAsia="宋体" w:cs="Times New Roman"/>
                <w:highlight w:val="none"/>
              </w:rPr>
              <w:t>机</w:t>
            </w:r>
            <w:r>
              <w:rPr>
                <w:rFonts w:hint="default" w:ascii="Times New Roman" w:hAnsi="Times New Roman" w:eastAsia="宋体" w:cs="Times New Roman"/>
                <w:highlight w:val="none"/>
                <w:lang w:val="en-US" w:eastAsia="zh-CN"/>
              </w:rPr>
              <w:t>库</w:t>
            </w:r>
            <w:r>
              <w:rPr>
                <w:rFonts w:hint="default" w:ascii="Times New Roman" w:hAnsi="Times New Roman" w:eastAsia="宋体" w:cs="Times New Roman"/>
                <w:highlight w:val="none"/>
              </w:rPr>
              <w:t>喊话器</w:t>
            </w:r>
          </w:p>
        </w:tc>
        <w:tc>
          <w:tcPr>
            <w:tcW w:w="711" w:type="dxa"/>
            <w:tcBorders>
              <w:top w:val="single" w:color="000000" w:sz="8" w:space="0"/>
              <w:left w:val="nil"/>
              <w:bottom w:val="single" w:color="000000" w:sz="8" w:space="0"/>
              <w:right w:val="single" w:color="000000" w:sz="8" w:space="0"/>
            </w:tcBorders>
            <w:noWrap w:val="0"/>
            <w:vAlign w:val="center"/>
          </w:tcPr>
          <w:p w14:paraId="70809694">
            <w:pPr>
              <w:spacing w:line="240" w:lineRule="auto"/>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rPr>
              <w:t>套</w:t>
            </w:r>
          </w:p>
        </w:tc>
        <w:tc>
          <w:tcPr>
            <w:tcW w:w="775" w:type="dxa"/>
            <w:tcBorders>
              <w:top w:val="single" w:color="000000" w:sz="8" w:space="0"/>
              <w:left w:val="nil"/>
              <w:bottom w:val="single" w:color="000000" w:sz="8" w:space="0"/>
              <w:right w:val="single" w:color="000000" w:sz="8" w:space="0"/>
            </w:tcBorders>
            <w:noWrap w:val="0"/>
            <w:vAlign w:val="center"/>
          </w:tcPr>
          <w:p w14:paraId="7F5976FB">
            <w:pPr>
              <w:spacing w:line="240" w:lineRule="auto"/>
              <w:jc w:val="center"/>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1</w:t>
            </w:r>
          </w:p>
        </w:tc>
        <w:tc>
          <w:tcPr>
            <w:tcW w:w="4675" w:type="dxa"/>
            <w:tcBorders>
              <w:top w:val="single" w:color="000000" w:sz="8" w:space="0"/>
              <w:left w:val="nil"/>
              <w:bottom w:val="single" w:color="000000" w:sz="8" w:space="0"/>
              <w:right w:val="single" w:color="000000" w:sz="8" w:space="0"/>
            </w:tcBorders>
            <w:noWrap w:val="0"/>
            <w:vAlign w:val="center"/>
          </w:tcPr>
          <w:p w14:paraId="690FDEBC">
            <w:pPr>
              <w:tabs>
                <w:tab w:val="left" w:pos="1175"/>
              </w:tabs>
              <w:spacing w:line="240" w:lineRule="auto"/>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无人值守机库喊话器</w:t>
            </w:r>
          </w:p>
          <w:p w14:paraId="7BFDC31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1.重量：</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100 克</w:t>
            </w:r>
          </w:p>
          <w:p w14:paraId="00EB687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2.尺寸：</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长 75 毫米，宽 70 毫米，高 55 毫米</w:t>
            </w:r>
          </w:p>
          <w:p w14:paraId="7B1EA6D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3.最大功率：</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15 瓦</w:t>
            </w:r>
          </w:p>
          <w:p w14:paraId="23B6206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4.最大响度：在 1 米处可达 114 分贝（114dB@1m）</w:t>
            </w:r>
          </w:p>
          <w:p w14:paraId="6482837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5.有效广播距离：</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1300 米</w:t>
            </w:r>
          </w:p>
          <w:p w14:paraId="5B23781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6.广播方式：实时喊话、录音喊话、媒体导入（支持边传边播）、文字转语音</w:t>
            </w:r>
          </w:p>
          <w:p w14:paraId="1AE4A14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7.工作环境温度：-20℃ 至 50℃</w:t>
            </w:r>
          </w:p>
          <w:p w14:paraId="18ADBFE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8.防护等级：</w:t>
            </w:r>
            <w:r>
              <w:rPr>
                <w:rFonts w:hint="default" w:ascii="Times New Roman" w:hAnsi="Times New Roman" w:eastAsia="仿宋" w:cs="Times New Roman"/>
                <w:color w:val="auto"/>
                <w:sz w:val="22"/>
                <w:szCs w:val="22"/>
                <w:lang w:val="en-US" w:eastAsia="zh-CN"/>
              </w:rPr>
              <w:t>≥</w:t>
            </w:r>
            <w:r>
              <w:rPr>
                <w:rFonts w:hint="default" w:ascii="Times New Roman" w:hAnsi="Times New Roman" w:eastAsia="宋体" w:cs="Times New Roman"/>
                <w:kern w:val="2"/>
                <w:sz w:val="21"/>
                <w:szCs w:val="21"/>
                <w:vertAlign w:val="baseline"/>
                <w:lang w:val="en-US" w:eastAsia="zh-CN" w:bidi="ar-SA"/>
              </w:rPr>
              <w:t>1IP55</w:t>
            </w:r>
          </w:p>
          <w:p w14:paraId="2EAA8D9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kern w:val="2"/>
                <w:sz w:val="21"/>
                <w:szCs w:val="21"/>
                <w:vertAlign w:val="baseline"/>
                <w:lang w:val="en-US" w:eastAsia="zh-CN" w:bidi="ar-SA"/>
              </w:rPr>
              <w:t>9.安装方式：快拆手拧螺丝</w:t>
            </w:r>
          </w:p>
        </w:tc>
      </w:tr>
      <w:tr w14:paraId="5A26C6E2">
        <w:tblPrEx>
          <w:tblCellMar>
            <w:top w:w="0" w:type="dxa"/>
            <w:left w:w="108" w:type="dxa"/>
            <w:bottom w:w="0" w:type="dxa"/>
            <w:right w:w="108" w:type="dxa"/>
          </w:tblCellMar>
        </w:tblPrEx>
        <w:trPr>
          <w:trHeight w:val="23" w:hRule="atLeast"/>
          <w:jc w:val="center"/>
        </w:trPr>
        <w:tc>
          <w:tcPr>
            <w:tcW w:w="936" w:type="dxa"/>
            <w:tcBorders>
              <w:top w:val="single" w:color="000000" w:sz="8" w:space="0"/>
              <w:left w:val="single" w:color="000000" w:sz="8" w:space="0"/>
              <w:bottom w:val="single" w:color="000000" w:sz="8" w:space="0"/>
              <w:right w:val="single" w:color="000000" w:sz="8" w:space="0"/>
            </w:tcBorders>
            <w:noWrap w:val="0"/>
            <w:vAlign w:val="center"/>
          </w:tcPr>
          <w:p w14:paraId="2EEEB6A8">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6</w:t>
            </w:r>
          </w:p>
        </w:tc>
        <w:tc>
          <w:tcPr>
            <w:tcW w:w="1419" w:type="dxa"/>
            <w:tcBorders>
              <w:top w:val="single" w:color="000000" w:sz="8" w:space="0"/>
              <w:left w:val="single" w:color="000000" w:sz="8" w:space="0"/>
              <w:bottom w:val="single" w:color="000000" w:sz="8" w:space="0"/>
              <w:right w:val="single" w:color="000000" w:sz="8" w:space="0"/>
            </w:tcBorders>
            <w:noWrap w:val="0"/>
            <w:vAlign w:val="center"/>
          </w:tcPr>
          <w:p w14:paraId="65376504">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无</w:t>
            </w:r>
            <w:r>
              <w:rPr>
                <w:rFonts w:hint="default" w:ascii="Times New Roman" w:hAnsi="Times New Roman" w:eastAsia="宋体" w:cs="Times New Roman"/>
                <w:lang w:val="en-US" w:eastAsia="zh-CN"/>
              </w:rPr>
              <w:t>人值守</w:t>
            </w:r>
            <w:r>
              <w:rPr>
                <w:rFonts w:hint="default" w:ascii="Times New Roman" w:hAnsi="Times New Roman" w:eastAsia="宋体" w:cs="Times New Roman"/>
              </w:rPr>
              <w:t>机</w:t>
            </w:r>
            <w:r>
              <w:rPr>
                <w:rFonts w:hint="default" w:ascii="Times New Roman" w:hAnsi="Times New Roman" w:eastAsia="宋体" w:cs="Times New Roman"/>
                <w:lang w:val="en-US" w:eastAsia="zh-CN"/>
              </w:rPr>
              <w:t>库</w:t>
            </w:r>
            <w:r>
              <w:rPr>
                <w:rFonts w:hint="default" w:ascii="Times New Roman" w:hAnsi="Times New Roman" w:eastAsia="宋体" w:cs="Times New Roman"/>
              </w:rPr>
              <w:t>保障服务</w:t>
            </w:r>
          </w:p>
        </w:tc>
        <w:tc>
          <w:tcPr>
            <w:tcW w:w="711" w:type="dxa"/>
            <w:tcBorders>
              <w:top w:val="single" w:color="000000" w:sz="8" w:space="0"/>
              <w:left w:val="nil"/>
              <w:bottom w:val="single" w:color="000000" w:sz="8" w:space="0"/>
              <w:right w:val="single" w:color="000000" w:sz="8" w:space="0"/>
            </w:tcBorders>
            <w:noWrap w:val="0"/>
            <w:vAlign w:val="center"/>
          </w:tcPr>
          <w:p w14:paraId="30D384B0">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年</w:t>
            </w:r>
          </w:p>
        </w:tc>
        <w:tc>
          <w:tcPr>
            <w:tcW w:w="775" w:type="dxa"/>
            <w:tcBorders>
              <w:top w:val="single" w:color="000000" w:sz="8" w:space="0"/>
              <w:left w:val="nil"/>
              <w:bottom w:val="single" w:color="000000" w:sz="8" w:space="0"/>
              <w:right w:val="single" w:color="000000" w:sz="8" w:space="0"/>
            </w:tcBorders>
            <w:noWrap w:val="0"/>
            <w:vAlign w:val="center"/>
          </w:tcPr>
          <w:p w14:paraId="6C91D4FA">
            <w:pPr>
              <w:numPr>
                <w:ilvl w:val="0"/>
                <w:numId w:val="0"/>
              </w:numPr>
              <w:bidi w:val="0"/>
              <w:spacing w:line="240" w:lineRule="auto"/>
              <w:ind w:leftChars="0"/>
              <w:jc w:val="center"/>
              <w:rPr>
                <w:rFonts w:hint="default" w:ascii="Times New Roman" w:hAnsi="Times New Roman" w:eastAsia="仿宋" w:cs="Times New Roman"/>
                <w:kern w:val="2"/>
                <w:sz w:val="24"/>
                <w:szCs w:val="24"/>
                <w:vertAlign w:val="baseline"/>
                <w:lang w:val="en-US" w:eastAsia="zh-CN" w:bidi="ar-SA"/>
              </w:rPr>
            </w:pPr>
            <w:r>
              <w:rPr>
                <w:rFonts w:hint="default" w:ascii="Times New Roman" w:hAnsi="Times New Roman" w:eastAsia="仿宋" w:cs="Times New Roman"/>
                <w:kern w:val="2"/>
                <w:sz w:val="24"/>
                <w:szCs w:val="24"/>
                <w:vertAlign w:val="baseline"/>
                <w:lang w:val="en-US" w:eastAsia="zh-CN" w:bidi="ar-SA"/>
              </w:rPr>
              <w:t>1</w:t>
            </w:r>
          </w:p>
        </w:tc>
        <w:tc>
          <w:tcPr>
            <w:tcW w:w="4675" w:type="dxa"/>
            <w:tcBorders>
              <w:top w:val="single" w:color="000000" w:sz="8" w:space="0"/>
              <w:left w:val="nil"/>
              <w:bottom w:val="single" w:color="000000" w:sz="8" w:space="0"/>
              <w:right w:val="single" w:color="000000" w:sz="8" w:space="0"/>
            </w:tcBorders>
            <w:noWrap w:val="0"/>
            <w:vAlign w:val="center"/>
          </w:tcPr>
          <w:p w14:paraId="4C7BECA7">
            <w:pPr>
              <w:spacing w:line="240" w:lineRule="auto"/>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无人值守机库保障服务</w:t>
            </w:r>
          </w:p>
          <w:p w14:paraId="32C178CD">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含</w:t>
            </w:r>
            <w:r>
              <w:rPr>
                <w:rFonts w:hint="default" w:ascii="Times New Roman" w:hAnsi="Times New Roman" w:cs="Times New Roman"/>
                <w:kern w:val="2"/>
                <w:sz w:val="21"/>
                <w:szCs w:val="21"/>
                <w:vertAlign w:val="baseline"/>
                <w:lang w:val="en-US" w:eastAsia="zh-CN" w:bidi="ar-SA"/>
              </w:rPr>
              <w:t>1</w:t>
            </w:r>
            <w:r>
              <w:rPr>
                <w:rFonts w:hint="default" w:ascii="Times New Roman" w:hAnsi="Times New Roman" w:eastAsia="宋体" w:cs="Times New Roman"/>
                <w:kern w:val="2"/>
                <w:sz w:val="21"/>
                <w:szCs w:val="21"/>
                <w:vertAlign w:val="baseline"/>
                <w:lang w:val="en-US" w:eastAsia="zh-CN" w:bidi="ar-SA"/>
              </w:rPr>
              <w:t>套无人值守机库</w:t>
            </w:r>
            <w:r>
              <w:rPr>
                <w:rFonts w:hint="default" w:ascii="Times New Roman" w:hAnsi="Times New Roman" w:cs="Times New Roman"/>
                <w:kern w:val="2"/>
                <w:sz w:val="21"/>
                <w:szCs w:val="21"/>
                <w:vertAlign w:val="baseline"/>
                <w:lang w:val="en-US" w:eastAsia="zh-CN" w:bidi="ar-SA"/>
              </w:rPr>
              <w:t>1</w:t>
            </w:r>
            <w:r>
              <w:rPr>
                <w:rFonts w:hint="default" w:ascii="Times New Roman" w:hAnsi="Times New Roman" w:eastAsia="宋体" w:cs="Times New Roman"/>
                <w:kern w:val="2"/>
                <w:sz w:val="21"/>
                <w:szCs w:val="21"/>
                <w:vertAlign w:val="baseline"/>
                <w:lang w:val="en-US" w:eastAsia="zh-CN" w:bidi="ar-SA"/>
              </w:rPr>
              <w:t>年保险</w:t>
            </w:r>
          </w:p>
          <w:p w14:paraId="0980DA3C">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kern w:val="2"/>
                <w:sz w:val="24"/>
                <w:szCs w:val="24"/>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含</w:t>
            </w:r>
            <w:r>
              <w:rPr>
                <w:rFonts w:hint="default" w:ascii="Times New Roman" w:hAnsi="Times New Roman" w:cs="Times New Roman"/>
                <w:kern w:val="2"/>
                <w:sz w:val="21"/>
                <w:szCs w:val="21"/>
                <w:vertAlign w:val="baseline"/>
                <w:lang w:val="en-US" w:eastAsia="zh-CN" w:bidi="ar-SA"/>
              </w:rPr>
              <w:t>1</w:t>
            </w:r>
            <w:r>
              <w:rPr>
                <w:rFonts w:hint="default" w:ascii="Times New Roman" w:hAnsi="Times New Roman" w:eastAsia="宋体" w:cs="Times New Roman"/>
                <w:kern w:val="2"/>
                <w:sz w:val="21"/>
                <w:szCs w:val="21"/>
                <w:vertAlign w:val="baseline"/>
                <w:lang w:val="en-US" w:eastAsia="zh-CN" w:bidi="ar-SA"/>
              </w:rPr>
              <w:t>套内置无人机</w:t>
            </w:r>
            <w:r>
              <w:rPr>
                <w:rFonts w:hint="default" w:ascii="Times New Roman" w:hAnsi="Times New Roman" w:cs="Times New Roman"/>
                <w:kern w:val="2"/>
                <w:sz w:val="21"/>
                <w:szCs w:val="21"/>
                <w:vertAlign w:val="baseline"/>
                <w:lang w:val="en-US" w:eastAsia="zh-CN" w:bidi="ar-SA"/>
              </w:rPr>
              <w:t>1</w:t>
            </w:r>
            <w:r>
              <w:rPr>
                <w:rFonts w:hint="default" w:ascii="Times New Roman" w:hAnsi="Times New Roman" w:eastAsia="宋体" w:cs="Times New Roman"/>
                <w:kern w:val="2"/>
                <w:sz w:val="21"/>
                <w:szCs w:val="21"/>
                <w:vertAlign w:val="baseline"/>
                <w:lang w:val="en-US" w:eastAsia="zh-CN" w:bidi="ar-SA"/>
              </w:rPr>
              <w:t>年保险</w:t>
            </w:r>
          </w:p>
        </w:tc>
      </w:tr>
      <w:tr w14:paraId="091E98FC">
        <w:tblPrEx>
          <w:tblCellMar>
            <w:top w:w="0" w:type="dxa"/>
            <w:left w:w="108" w:type="dxa"/>
            <w:bottom w:w="0" w:type="dxa"/>
            <w:right w:w="108" w:type="dxa"/>
          </w:tblCellMar>
        </w:tblPrEx>
        <w:trPr>
          <w:trHeight w:val="23" w:hRule="atLeast"/>
          <w:jc w:val="center"/>
        </w:trPr>
        <w:tc>
          <w:tcPr>
            <w:tcW w:w="936" w:type="dxa"/>
            <w:tcBorders>
              <w:top w:val="single" w:color="000000" w:sz="8" w:space="0"/>
              <w:left w:val="single" w:color="000000" w:sz="8" w:space="0"/>
              <w:bottom w:val="single" w:color="000000" w:sz="8" w:space="0"/>
              <w:right w:val="single" w:color="000000" w:sz="8" w:space="0"/>
            </w:tcBorders>
            <w:noWrap w:val="0"/>
            <w:vAlign w:val="center"/>
          </w:tcPr>
          <w:p w14:paraId="6F4D7055">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7</w:t>
            </w:r>
          </w:p>
        </w:tc>
        <w:tc>
          <w:tcPr>
            <w:tcW w:w="1419" w:type="dxa"/>
            <w:tcBorders>
              <w:top w:val="single" w:color="000000" w:sz="8" w:space="0"/>
              <w:left w:val="single" w:color="000000" w:sz="8" w:space="0"/>
              <w:bottom w:val="single" w:color="000000" w:sz="8" w:space="0"/>
              <w:right w:val="single" w:color="000000" w:sz="8" w:space="0"/>
            </w:tcBorders>
            <w:noWrap w:val="0"/>
            <w:vAlign w:val="center"/>
          </w:tcPr>
          <w:p w14:paraId="01D27A03">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无</w:t>
            </w:r>
            <w:r>
              <w:rPr>
                <w:rFonts w:hint="default" w:ascii="Times New Roman" w:hAnsi="Times New Roman" w:eastAsia="宋体" w:cs="Times New Roman"/>
                <w:lang w:val="en-US" w:eastAsia="zh-CN"/>
              </w:rPr>
              <w:t>人值守</w:t>
            </w:r>
            <w:r>
              <w:rPr>
                <w:rFonts w:hint="default" w:ascii="Times New Roman" w:hAnsi="Times New Roman" w:eastAsia="宋体" w:cs="Times New Roman"/>
              </w:rPr>
              <w:t>机</w:t>
            </w:r>
            <w:r>
              <w:rPr>
                <w:rFonts w:hint="default" w:ascii="Times New Roman" w:hAnsi="Times New Roman" w:eastAsia="宋体" w:cs="Times New Roman"/>
                <w:lang w:val="en-US" w:eastAsia="zh-CN"/>
              </w:rPr>
              <w:t>库</w:t>
            </w:r>
            <w:r>
              <w:rPr>
                <w:rFonts w:hint="default" w:ascii="Times New Roman" w:hAnsi="Times New Roman" w:eastAsia="宋体" w:cs="Times New Roman"/>
              </w:rPr>
              <w:t>三者保险</w:t>
            </w:r>
          </w:p>
        </w:tc>
        <w:tc>
          <w:tcPr>
            <w:tcW w:w="711" w:type="dxa"/>
            <w:tcBorders>
              <w:top w:val="single" w:color="000000" w:sz="8" w:space="0"/>
              <w:left w:val="nil"/>
              <w:bottom w:val="single" w:color="000000" w:sz="8" w:space="0"/>
              <w:right w:val="single" w:color="000000" w:sz="8" w:space="0"/>
            </w:tcBorders>
            <w:noWrap w:val="0"/>
            <w:vAlign w:val="center"/>
          </w:tcPr>
          <w:p w14:paraId="34CA4C2B">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年</w:t>
            </w:r>
          </w:p>
        </w:tc>
        <w:tc>
          <w:tcPr>
            <w:tcW w:w="775" w:type="dxa"/>
            <w:tcBorders>
              <w:top w:val="single" w:color="000000" w:sz="8" w:space="0"/>
              <w:left w:val="nil"/>
              <w:bottom w:val="single" w:color="000000" w:sz="8" w:space="0"/>
              <w:right w:val="single" w:color="000000" w:sz="8" w:space="0"/>
            </w:tcBorders>
            <w:noWrap w:val="0"/>
            <w:vAlign w:val="center"/>
          </w:tcPr>
          <w:p w14:paraId="713A98B8">
            <w:pPr>
              <w:spacing w:line="240" w:lineRule="auto"/>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1</w:t>
            </w:r>
          </w:p>
        </w:tc>
        <w:tc>
          <w:tcPr>
            <w:tcW w:w="4675" w:type="dxa"/>
            <w:tcBorders>
              <w:top w:val="single" w:color="000000" w:sz="8" w:space="0"/>
              <w:left w:val="nil"/>
              <w:bottom w:val="single" w:color="000000" w:sz="8" w:space="0"/>
              <w:right w:val="single" w:color="000000" w:sz="8" w:space="0"/>
            </w:tcBorders>
            <w:noWrap w:val="0"/>
            <w:vAlign w:val="center"/>
          </w:tcPr>
          <w:p w14:paraId="60B474D4">
            <w:pPr>
              <w:spacing w:line="240" w:lineRule="auto"/>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无人值守机库三者保险</w:t>
            </w:r>
          </w:p>
          <w:p w14:paraId="649A9BE9">
            <w:pPr>
              <w:spacing w:line="240" w:lineRule="auto"/>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含</w:t>
            </w:r>
            <w:r>
              <w:rPr>
                <w:rFonts w:hint="default" w:ascii="Times New Roman" w:hAnsi="Times New Roman" w:cs="Times New Roman"/>
                <w:kern w:val="2"/>
                <w:sz w:val="21"/>
                <w:szCs w:val="21"/>
                <w:vertAlign w:val="baseline"/>
                <w:lang w:val="en-US" w:eastAsia="zh-CN" w:bidi="ar-SA"/>
              </w:rPr>
              <w:t>1</w:t>
            </w:r>
            <w:r>
              <w:rPr>
                <w:rFonts w:hint="default" w:ascii="Times New Roman" w:hAnsi="Times New Roman" w:eastAsia="宋体" w:cs="Times New Roman"/>
                <w:kern w:val="2"/>
                <w:sz w:val="21"/>
                <w:szCs w:val="21"/>
                <w:vertAlign w:val="baseline"/>
                <w:lang w:val="en-US" w:eastAsia="zh-CN" w:bidi="ar-SA"/>
              </w:rPr>
              <w:t>套无人值守机库</w:t>
            </w:r>
            <w:r>
              <w:rPr>
                <w:rFonts w:hint="default" w:ascii="Times New Roman" w:hAnsi="Times New Roman" w:cs="Times New Roman"/>
                <w:kern w:val="2"/>
                <w:sz w:val="21"/>
                <w:szCs w:val="21"/>
                <w:vertAlign w:val="baseline"/>
                <w:lang w:val="en-US" w:eastAsia="zh-CN" w:bidi="ar-SA"/>
              </w:rPr>
              <w:t>1</w:t>
            </w:r>
            <w:r>
              <w:rPr>
                <w:rFonts w:hint="default" w:ascii="Times New Roman" w:hAnsi="Times New Roman" w:eastAsia="宋体" w:cs="Times New Roman"/>
                <w:kern w:val="2"/>
                <w:sz w:val="21"/>
                <w:szCs w:val="21"/>
                <w:vertAlign w:val="baseline"/>
                <w:lang w:val="en-US" w:eastAsia="zh-CN" w:bidi="ar-SA"/>
              </w:rPr>
              <w:t>年50万额度的3者险</w:t>
            </w:r>
          </w:p>
        </w:tc>
      </w:tr>
      <w:tr w14:paraId="3221F527">
        <w:tblPrEx>
          <w:tblCellMar>
            <w:top w:w="0" w:type="dxa"/>
            <w:left w:w="108" w:type="dxa"/>
            <w:bottom w:w="0" w:type="dxa"/>
            <w:right w:w="108" w:type="dxa"/>
          </w:tblCellMar>
        </w:tblPrEx>
        <w:trPr>
          <w:trHeight w:val="23" w:hRule="atLeast"/>
          <w:jc w:val="center"/>
        </w:trPr>
        <w:tc>
          <w:tcPr>
            <w:tcW w:w="936" w:type="dxa"/>
            <w:tcBorders>
              <w:top w:val="single" w:color="000000" w:sz="8" w:space="0"/>
              <w:left w:val="single" w:color="000000" w:sz="8" w:space="0"/>
              <w:bottom w:val="single" w:color="000000" w:sz="8" w:space="0"/>
              <w:right w:val="single" w:color="000000" w:sz="8" w:space="0"/>
            </w:tcBorders>
            <w:noWrap w:val="0"/>
            <w:vAlign w:val="center"/>
          </w:tcPr>
          <w:p w14:paraId="5BECA01B">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8</w:t>
            </w:r>
          </w:p>
        </w:tc>
        <w:tc>
          <w:tcPr>
            <w:tcW w:w="1419" w:type="dxa"/>
            <w:tcBorders>
              <w:top w:val="single" w:color="000000" w:sz="8" w:space="0"/>
              <w:left w:val="single" w:color="000000" w:sz="8" w:space="0"/>
              <w:bottom w:val="single" w:color="000000" w:sz="8" w:space="0"/>
              <w:right w:val="single" w:color="000000" w:sz="8" w:space="0"/>
            </w:tcBorders>
            <w:noWrap w:val="0"/>
            <w:vAlign w:val="center"/>
          </w:tcPr>
          <w:p w14:paraId="65106260">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无人值守机库安装及部署（含地基及围栏建设）</w:t>
            </w:r>
          </w:p>
        </w:tc>
        <w:tc>
          <w:tcPr>
            <w:tcW w:w="711" w:type="dxa"/>
            <w:tcBorders>
              <w:top w:val="single" w:color="000000" w:sz="8" w:space="0"/>
              <w:left w:val="nil"/>
              <w:bottom w:val="single" w:color="000000" w:sz="8" w:space="0"/>
              <w:right w:val="single" w:color="000000" w:sz="8" w:space="0"/>
            </w:tcBorders>
            <w:noWrap w:val="0"/>
            <w:vAlign w:val="center"/>
          </w:tcPr>
          <w:p w14:paraId="0B93F95C">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套</w:t>
            </w:r>
          </w:p>
        </w:tc>
        <w:tc>
          <w:tcPr>
            <w:tcW w:w="775" w:type="dxa"/>
            <w:tcBorders>
              <w:top w:val="single" w:color="000000" w:sz="8" w:space="0"/>
              <w:left w:val="nil"/>
              <w:bottom w:val="single" w:color="000000" w:sz="8" w:space="0"/>
              <w:right w:val="single" w:color="000000" w:sz="8" w:space="0"/>
            </w:tcBorders>
            <w:noWrap w:val="0"/>
            <w:vAlign w:val="center"/>
          </w:tcPr>
          <w:p w14:paraId="0E5FDE7C">
            <w:pPr>
              <w:spacing w:line="240" w:lineRule="auto"/>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1</w:t>
            </w:r>
          </w:p>
        </w:tc>
        <w:tc>
          <w:tcPr>
            <w:tcW w:w="4675" w:type="dxa"/>
            <w:tcBorders>
              <w:top w:val="single" w:color="000000" w:sz="8" w:space="0"/>
              <w:left w:val="nil"/>
              <w:bottom w:val="single" w:color="000000" w:sz="8" w:space="0"/>
              <w:right w:val="single" w:color="000000" w:sz="8" w:space="0"/>
            </w:tcBorders>
            <w:noWrap w:val="0"/>
            <w:vAlign w:val="top"/>
          </w:tcPr>
          <w:p w14:paraId="1407A398">
            <w:pPr>
              <w:spacing w:line="240" w:lineRule="auto"/>
              <w:jc w:val="both"/>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无人值守机库地基及围栏建设</w:t>
            </w:r>
          </w:p>
          <w:p w14:paraId="22559EEB">
            <w:pPr>
              <w:spacing w:line="240" w:lineRule="auto"/>
              <w:jc w:val="both"/>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地基：</w:t>
            </w:r>
          </w:p>
          <w:p w14:paraId="1D1BEB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1.设备基础尺寸为1000mm*1000mm*100mm(底座露出地面高度&gt;100mm，需根据周边排水情况确定基础高度)。</w:t>
            </w:r>
          </w:p>
          <w:p w14:paraId="0BEBDF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2.基础采用C25混凝土浇筑，内配单层双向钢筋4@150mm网片，钢筋保护层&gt;25mm。</w:t>
            </w:r>
          </w:p>
          <w:p w14:paraId="503FDF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3.混凝土原浆压光，平整度要求±4mm，倾斜度&lt;5°。</w:t>
            </w:r>
          </w:p>
          <w:p w14:paraId="3A55EE9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4.施工后需养护7天。</w:t>
            </w:r>
          </w:p>
          <w:p w14:paraId="0BEDCE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5.可在混凝土硬化后打孔装入膨胀螺栓或预埋螺栓，使用M10螺栓锁固机场。</w:t>
            </w:r>
          </w:p>
          <w:p w14:paraId="071781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6.防雷接地材料均为镀锌防锈材质。</w:t>
            </w:r>
          </w:p>
          <w:p w14:paraId="7EFB8A6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7考虑施工方便，管线可采用后期明装方案。</w:t>
            </w:r>
          </w:p>
          <w:p w14:paraId="6ABB9C3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混泥土要求</w:t>
            </w:r>
          </w:p>
          <w:p w14:paraId="6206D5F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1.基础下原土需夯实，确保基础稳定。 </w:t>
            </w:r>
          </w:p>
          <w:p w14:paraId="52F6693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2.土层上方铺150mm厚碎石层（3:7级配砂石， </w:t>
            </w:r>
          </w:p>
          <w:p w14:paraId="6A059DB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石粒径在5—40毫米之间），碎石层四周采用混凝土压边。 </w:t>
            </w:r>
          </w:p>
          <w:p w14:paraId="291651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3.碎石层上方浇筑C25混凝土。 </w:t>
            </w:r>
          </w:p>
          <w:p w14:paraId="3593D36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4.混凝土原浆压光，平整度不超过±4mm，倾 </w:t>
            </w:r>
          </w:p>
          <w:p w14:paraId="7AF7211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斜度＜5°</w:t>
            </w:r>
          </w:p>
          <w:p w14:paraId="6C8A890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5.斜面混泥土需将原混凝土基本凿毛，再进行浇注，防止产生滑移。</w:t>
            </w:r>
          </w:p>
          <w:p w14:paraId="0029C0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C25混泥土配比</w:t>
            </w:r>
          </w:p>
          <w:p w14:paraId="5A02F5A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drawing>
                <wp:inline distT="0" distB="0" distL="114300" distR="114300">
                  <wp:extent cx="2829560" cy="1078230"/>
                  <wp:effectExtent l="0" t="0" r="8890" b="7620"/>
                  <wp:docPr id="3" name="图片 1" descr="微信截图_2024050614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微信截图_20240506143627"/>
                          <pic:cNvPicPr>
                            <a:picLocks noChangeAspect="1"/>
                          </pic:cNvPicPr>
                        </pic:nvPicPr>
                        <pic:blipFill>
                          <a:blip r:embed="rId5"/>
                          <a:stretch>
                            <a:fillRect/>
                          </a:stretch>
                        </pic:blipFill>
                        <pic:spPr>
                          <a:xfrm>
                            <a:off x="0" y="0"/>
                            <a:ext cx="2829560" cy="1078230"/>
                          </a:xfrm>
                          <a:prstGeom prst="rect">
                            <a:avLst/>
                          </a:prstGeom>
                          <a:noFill/>
                          <a:ln>
                            <a:noFill/>
                          </a:ln>
                        </pic:spPr>
                      </pic:pic>
                    </a:graphicData>
                  </a:graphic>
                </wp:inline>
              </w:drawing>
            </w:r>
          </w:p>
          <w:p w14:paraId="5AB614E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混泥土基层</w:t>
            </w:r>
          </w:p>
          <w:p w14:paraId="77730A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drawing>
                <wp:inline distT="0" distB="0" distL="114300" distR="114300">
                  <wp:extent cx="2826385" cy="1002030"/>
                  <wp:effectExtent l="0" t="0" r="12065" b="7620"/>
                  <wp:docPr id="4" name="图片 2" descr="微信截图_20240506144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微信截图_20240506144248"/>
                          <pic:cNvPicPr>
                            <a:picLocks noChangeAspect="1"/>
                          </pic:cNvPicPr>
                        </pic:nvPicPr>
                        <pic:blipFill>
                          <a:blip r:embed="rId6"/>
                          <a:stretch>
                            <a:fillRect/>
                          </a:stretch>
                        </pic:blipFill>
                        <pic:spPr>
                          <a:xfrm>
                            <a:off x="0" y="0"/>
                            <a:ext cx="2826385" cy="1002030"/>
                          </a:xfrm>
                          <a:prstGeom prst="rect">
                            <a:avLst/>
                          </a:prstGeom>
                          <a:noFill/>
                          <a:ln>
                            <a:noFill/>
                          </a:ln>
                        </pic:spPr>
                      </pic:pic>
                    </a:graphicData>
                  </a:graphic>
                </wp:inline>
              </w:drawing>
            </w:r>
          </w:p>
          <w:p w14:paraId="2FCFF93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斜面混泥土基层</w:t>
            </w:r>
          </w:p>
          <w:p w14:paraId="23F7116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drawing>
                <wp:inline distT="0" distB="0" distL="114300" distR="114300">
                  <wp:extent cx="2830195" cy="1036320"/>
                  <wp:effectExtent l="0" t="0" r="8255" b="11430"/>
                  <wp:docPr id="1" name="图片 3" descr="微信截图_20240506144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微信截图_20240506144406"/>
                          <pic:cNvPicPr>
                            <a:picLocks noChangeAspect="1"/>
                          </pic:cNvPicPr>
                        </pic:nvPicPr>
                        <pic:blipFill>
                          <a:blip r:embed="rId7"/>
                          <a:stretch>
                            <a:fillRect/>
                          </a:stretch>
                        </pic:blipFill>
                        <pic:spPr>
                          <a:xfrm>
                            <a:off x="0" y="0"/>
                            <a:ext cx="2830195" cy="1036320"/>
                          </a:xfrm>
                          <a:prstGeom prst="rect">
                            <a:avLst/>
                          </a:prstGeom>
                          <a:noFill/>
                          <a:ln>
                            <a:noFill/>
                          </a:ln>
                        </pic:spPr>
                      </pic:pic>
                    </a:graphicData>
                  </a:graphic>
                </wp:inline>
              </w:drawing>
            </w:r>
          </w:p>
          <w:p w14:paraId="457CC274">
            <w:pPr>
              <w:numPr>
                <w:ilvl w:val="0"/>
                <w:numId w:val="0"/>
              </w:numPr>
              <w:bidi w:val="0"/>
              <w:spacing w:line="240" w:lineRule="auto"/>
              <w:ind w:leftChars="0"/>
              <w:jc w:val="left"/>
              <w:rPr>
                <w:rFonts w:hint="default" w:ascii="Times New Roman" w:hAnsi="Times New Roman" w:eastAsia="宋体" w:cs="Times New Roman"/>
                <w:b/>
                <w:bCs/>
                <w:color w:val="auto"/>
                <w:kern w:val="2"/>
                <w:sz w:val="24"/>
                <w:szCs w:val="24"/>
                <w:highlight w:val="none"/>
                <w:vertAlign w:val="baseline"/>
                <w:lang w:val="en-US" w:eastAsia="zh-CN" w:bidi="ar-SA"/>
              </w:rPr>
            </w:pPr>
            <w:r>
              <w:rPr>
                <w:rFonts w:hint="default" w:ascii="Times New Roman" w:hAnsi="Times New Roman" w:eastAsia="宋体" w:cs="Times New Roman"/>
                <w:b/>
                <w:bCs/>
                <w:color w:val="auto"/>
                <w:kern w:val="2"/>
                <w:sz w:val="24"/>
                <w:szCs w:val="24"/>
                <w:highlight w:val="none"/>
                <w:vertAlign w:val="baseline"/>
                <w:lang w:val="en-US" w:eastAsia="zh-CN" w:bidi="ar-SA"/>
              </w:rPr>
              <w:t>供电网络：</w:t>
            </w:r>
          </w:p>
          <w:p w14:paraId="0596C0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上级电源要求</w:t>
            </w:r>
          </w:p>
          <w:p w14:paraId="3A22F8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1. 配电连接应符合项目所在国家/地区的安装法规。 </w:t>
            </w:r>
          </w:p>
          <w:p w14:paraId="1C44B86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2. 机场部署地供电稳定无频繁停电情况。 </w:t>
            </w:r>
          </w:p>
          <w:p w14:paraId="311D743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3. 市电电压和频率需符合设备运行要求：单相交流100 -240 V，频率：50/60 Hz </w:t>
            </w:r>
          </w:p>
          <w:p w14:paraId="1A55015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4. 输入功率满足：1500 W </w:t>
            </w:r>
          </w:p>
          <w:p w14:paraId="08CE93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5. 用户配电柜内需安装独立的2P 16A漏电断路器为机场供电，同时需带40kA浪涌保护装置。 </w:t>
            </w:r>
          </w:p>
          <w:p w14:paraId="09E548E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6. 线缆长度和线缆截面积应满足线缆要求图。 </w:t>
            </w:r>
          </w:p>
          <w:p w14:paraId="4286C6F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7. 电缆长度大于50米时，考虑方便维护和其他设备取电，建议在机场附近额外安装带插座的户外防水配电箱。</w:t>
            </w:r>
          </w:p>
          <w:p w14:paraId="45B1D9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线缆要求</w:t>
            </w:r>
          </w:p>
          <w:p w14:paraId="5376239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drawing>
                <wp:inline distT="0" distB="0" distL="114300" distR="114300">
                  <wp:extent cx="2829560" cy="878205"/>
                  <wp:effectExtent l="0" t="0" r="8890" b="17145"/>
                  <wp:docPr id="2" name="图片 4" descr="微信截图_2024050615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微信截图_20240506153803"/>
                          <pic:cNvPicPr>
                            <a:picLocks noChangeAspect="1"/>
                          </pic:cNvPicPr>
                        </pic:nvPicPr>
                        <pic:blipFill>
                          <a:blip r:embed="rId8"/>
                          <a:stretch>
                            <a:fillRect/>
                          </a:stretch>
                        </pic:blipFill>
                        <pic:spPr>
                          <a:xfrm>
                            <a:off x="0" y="0"/>
                            <a:ext cx="2829560" cy="878205"/>
                          </a:xfrm>
                          <a:prstGeom prst="rect">
                            <a:avLst/>
                          </a:prstGeom>
                          <a:noFill/>
                          <a:ln>
                            <a:noFill/>
                          </a:ln>
                        </pic:spPr>
                      </pic:pic>
                    </a:graphicData>
                  </a:graphic>
                </wp:inline>
              </w:drawing>
            </w:r>
          </w:p>
          <w:p w14:paraId="7D2F3E6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线路保护</w:t>
            </w:r>
          </w:p>
          <w:p w14:paraId="2C3290F9">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室外线缆需使用PVC管敷设，线管内不得有接头。线管接头需使用专用粘接剂进行粘接处理，线管末端出需使用防火泥进行封堵处理。</w:t>
            </w:r>
          </w:p>
          <w:p w14:paraId="3FA6CCF6">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电源线与网线分开不同线管敷设，距离≥30mm， 线路铺设避免靠近水管、暖气管、煤气管。 </w:t>
            </w:r>
          </w:p>
          <w:p w14:paraId="5A0F5929">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敷设的保护管内径不应小于线缆外径（包括保护层）的1.5 倍。</w:t>
            </w:r>
          </w:p>
          <w:p w14:paraId="4CCB705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上级网络要求</w:t>
            </w:r>
          </w:p>
          <w:p w14:paraId="7AE78785">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上行带宽至少大于10Mbps。</w:t>
            </w:r>
          </w:p>
          <w:p w14:paraId="33E23AE7">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室外线缆需使用PVC管敷设，并埋地处理。</w:t>
            </w:r>
          </w:p>
          <w:p w14:paraId="2053C5C9">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电源线与网线分开不同线管敷设，线路路由避免靠近水管、暖气管等。</w:t>
            </w:r>
          </w:p>
          <w:p w14:paraId="3429A6AC">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为保证数据传输稳定和防雷要求，推荐使用超五类（cat5e）以上的屏蔽双绞线。</w:t>
            </w:r>
          </w:p>
          <w:p w14:paraId="1959826D">
            <w:pPr>
              <w:numPr>
                <w:ilvl w:val="0"/>
                <w:numId w:val="0"/>
              </w:numPr>
              <w:bidi w:val="0"/>
              <w:spacing w:line="240" w:lineRule="auto"/>
              <w:ind w:leftChars="0"/>
              <w:jc w:val="left"/>
              <w:rPr>
                <w:rFonts w:hint="default" w:ascii="Times New Roman" w:hAnsi="Times New Roman" w:eastAsia="宋体" w:cs="Times New Roman"/>
                <w:b/>
                <w:bCs/>
                <w:color w:val="auto"/>
                <w:kern w:val="2"/>
                <w:sz w:val="24"/>
                <w:szCs w:val="24"/>
                <w:highlight w:val="none"/>
                <w:vertAlign w:val="baseline"/>
                <w:lang w:val="en-US" w:eastAsia="zh-CN" w:bidi="ar-SA"/>
              </w:rPr>
            </w:pPr>
            <w:r>
              <w:rPr>
                <w:rFonts w:hint="default" w:ascii="Times New Roman" w:hAnsi="Times New Roman" w:eastAsia="宋体" w:cs="Times New Roman"/>
                <w:b/>
                <w:bCs/>
                <w:color w:val="auto"/>
                <w:kern w:val="2"/>
                <w:sz w:val="24"/>
                <w:szCs w:val="24"/>
                <w:highlight w:val="none"/>
                <w:vertAlign w:val="baseline"/>
                <w:lang w:val="en-US" w:eastAsia="zh-CN" w:bidi="ar-SA"/>
              </w:rPr>
              <w:t>接地要求</w:t>
            </w:r>
          </w:p>
          <w:p w14:paraId="7AC1F671">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材质：热镀锌钢材、铜材、铜包钢或其它新型材料。 </w:t>
            </w:r>
          </w:p>
          <w:p w14:paraId="27846FC4">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长度：垂直接地体宜采用长度1.5m~2.5m，可根据埋设地网的土质及地理情况调整。 </w:t>
            </w:r>
          </w:p>
          <w:p w14:paraId="3B9D7D68">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规格：接地体采用热镀锌钢材时，其规格应符合：钢管的壁厚不小于3.5mm、角钢不小于 </w:t>
            </w:r>
          </w:p>
          <w:p w14:paraId="6FCACFF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50mm×50mm×5mm、扁钢不小于40mm×4mm、圆钢直径不小于10mm。 </w:t>
            </w:r>
          </w:p>
          <w:p w14:paraId="2E610B2A">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埋深：一般不应小于0.7m（接地体上端距地面），在寒冷地区接地体应埋设在冻土层以下， 在土壤较薄的石山或碎石多岩地区应根据具体情况决定接地体埋深。 </w:t>
            </w:r>
          </w:p>
          <w:p w14:paraId="522162A5">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数量：根据地网大小、地理环境情况来确定。 </w:t>
            </w:r>
          </w:p>
          <w:p w14:paraId="6B9A2F5F">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地网四角的连接处应埋设垂直接地体。 </w:t>
            </w:r>
          </w:p>
          <w:p w14:paraId="5D5427A9">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制作时角钢的一端应加工成尖头的形状，一般采取斜切的方法制作而成。 </w:t>
            </w:r>
          </w:p>
          <w:p w14:paraId="5A40EF9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8.在大地土壤电阻率较高的地区，地网接地电阻值，难以满足要求时，可向外延伸辐射形接地体，采用液状长效降阻剂、专用接地棒以及外引接地等方式。</w:t>
            </w:r>
          </w:p>
          <w:p w14:paraId="175D0C08">
            <w:pPr>
              <w:numPr>
                <w:ilvl w:val="0"/>
                <w:numId w:val="0"/>
              </w:numPr>
              <w:bidi w:val="0"/>
              <w:spacing w:line="240" w:lineRule="auto"/>
              <w:ind w:leftChars="0"/>
              <w:jc w:val="left"/>
              <w:rPr>
                <w:rFonts w:hint="default" w:ascii="Times New Roman" w:hAnsi="Times New Roman" w:eastAsia="宋体" w:cs="Times New Roman"/>
                <w:b/>
                <w:bCs/>
                <w:color w:val="auto"/>
                <w:kern w:val="2"/>
                <w:sz w:val="24"/>
                <w:szCs w:val="24"/>
                <w:highlight w:val="none"/>
                <w:vertAlign w:val="baseline"/>
                <w:lang w:val="en-US" w:eastAsia="zh-CN" w:bidi="ar-SA"/>
              </w:rPr>
            </w:pPr>
            <w:r>
              <w:rPr>
                <w:rFonts w:hint="default" w:ascii="Times New Roman" w:hAnsi="Times New Roman" w:eastAsia="宋体" w:cs="Times New Roman"/>
                <w:b/>
                <w:bCs/>
                <w:color w:val="auto"/>
                <w:kern w:val="2"/>
                <w:sz w:val="24"/>
                <w:szCs w:val="24"/>
                <w:highlight w:val="none"/>
                <w:vertAlign w:val="baseline"/>
                <w:lang w:val="en-US" w:eastAsia="zh-CN" w:bidi="ar-SA"/>
              </w:rPr>
              <w:t>围栏：</w:t>
            </w:r>
          </w:p>
          <w:p w14:paraId="541EA3F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1.围栏尺寸：长宽高4000mmX4000mmX1200mm</w:t>
            </w:r>
          </w:p>
          <w:p w14:paraId="03F00C3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2.材料：外层PVC内衬镀锌钢管。</w:t>
            </w:r>
          </w:p>
          <w:p w14:paraId="188C0A6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3.PVC竖杆间距：≥12cm</w:t>
            </w:r>
          </w:p>
          <w:p w14:paraId="79A8419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4.立柱间距：200-300cm</w:t>
            </w:r>
          </w:p>
          <w:p w14:paraId="5F36230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5.围栏按照需稳固，避免倾倒，需留活动门用于人员进入检修维护，围栏上需设置警示牌。</w:t>
            </w:r>
          </w:p>
          <w:p w14:paraId="4044F0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6.固定方式：预埋式或者法兰式（根据地形选择）</w:t>
            </w:r>
          </w:p>
        </w:tc>
      </w:tr>
      <w:tr w14:paraId="00C32050">
        <w:tblPrEx>
          <w:tblCellMar>
            <w:top w:w="0" w:type="dxa"/>
            <w:left w:w="108" w:type="dxa"/>
            <w:bottom w:w="0" w:type="dxa"/>
            <w:right w:w="108" w:type="dxa"/>
          </w:tblCellMar>
        </w:tblPrEx>
        <w:trPr>
          <w:trHeight w:val="23" w:hRule="atLeast"/>
          <w:jc w:val="center"/>
        </w:trPr>
        <w:tc>
          <w:tcPr>
            <w:tcW w:w="936" w:type="dxa"/>
            <w:tcBorders>
              <w:top w:val="single" w:color="000000" w:sz="8" w:space="0"/>
              <w:left w:val="single" w:color="000000" w:sz="8" w:space="0"/>
              <w:bottom w:val="single" w:color="000000" w:sz="8" w:space="0"/>
              <w:right w:val="single" w:color="000000" w:sz="8" w:space="0"/>
            </w:tcBorders>
            <w:noWrap w:val="0"/>
            <w:vAlign w:val="center"/>
          </w:tcPr>
          <w:p w14:paraId="4C5BE00C">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9</w:t>
            </w:r>
          </w:p>
        </w:tc>
        <w:tc>
          <w:tcPr>
            <w:tcW w:w="1419" w:type="dxa"/>
            <w:tcBorders>
              <w:top w:val="single" w:color="000000" w:sz="8" w:space="0"/>
              <w:left w:val="single" w:color="000000" w:sz="8" w:space="0"/>
              <w:bottom w:val="single" w:color="000000" w:sz="8" w:space="0"/>
              <w:right w:val="single" w:color="000000" w:sz="8" w:space="0"/>
            </w:tcBorders>
            <w:noWrap w:val="0"/>
            <w:vAlign w:val="center"/>
          </w:tcPr>
          <w:p w14:paraId="03417389">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无</w:t>
            </w:r>
            <w:r>
              <w:rPr>
                <w:rFonts w:hint="default" w:ascii="Times New Roman" w:hAnsi="Times New Roman" w:eastAsia="宋体" w:cs="Times New Roman"/>
                <w:lang w:val="en-US" w:eastAsia="zh-CN"/>
              </w:rPr>
              <w:t>人值守</w:t>
            </w:r>
            <w:r>
              <w:rPr>
                <w:rFonts w:hint="default" w:ascii="Times New Roman" w:hAnsi="Times New Roman" w:eastAsia="宋体" w:cs="Times New Roman"/>
              </w:rPr>
              <w:t>机</w:t>
            </w:r>
            <w:r>
              <w:rPr>
                <w:rFonts w:hint="default" w:ascii="Times New Roman" w:hAnsi="Times New Roman" w:eastAsia="宋体" w:cs="Times New Roman"/>
                <w:lang w:val="en-US" w:eastAsia="zh-CN"/>
              </w:rPr>
              <w:t>库</w:t>
            </w:r>
            <w:r>
              <w:rPr>
                <w:rFonts w:hint="default" w:ascii="Times New Roman" w:hAnsi="Times New Roman" w:eastAsia="宋体" w:cs="Times New Roman"/>
              </w:rPr>
              <w:t>保养维护</w:t>
            </w:r>
          </w:p>
        </w:tc>
        <w:tc>
          <w:tcPr>
            <w:tcW w:w="711" w:type="dxa"/>
            <w:tcBorders>
              <w:top w:val="single" w:color="000000" w:sz="8" w:space="0"/>
              <w:left w:val="nil"/>
              <w:bottom w:val="single" w:color="000000" w:sz="8" w:space="0"/>
              <w:right w:val="single" w:color="000000" w:sz="8" w:space="0"/>
            </w:tcBorders>
            <w:noWrap w:val="0"/>
            <w:vAlign w:val="center"/>
          </w:tcPr>
          <w:p w14:paraId="39A39317">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年</w:t>
            </w:r>
          </w:p>
        </w:tc>
        <w:tc>
          <w:tcPr>
            <w:tcW w:w="775" w:type="dxa"/>
            <w:tcBorders>
              <w:top w:val="single" w:color="000000" w:sz="8" w:space="0"/>
              <w:left w:val="nil"/>
              <w:bottom w:val="single" w:color="000000" w:sz="8" w:space="0"/>
              <w:right w:val="single" w:color="000000" w:sz="8" w:space="0"/>
            </w:tcBorders>
            <w:noWrap w:val="0"/>
            <w:vAlign w:val="center"/>
          </w:tcPr>
          <w:p w14:paraId="51D97EBE">
            <w:pPr>
              <w:spacing w:line="240" w:lineRule="auto"/>
              <w:jc w:val="center"/>
              <w:rPr>
                <w:rFonts w:hint="default" w:ascii="Times New Roman" w:hAnsi="Times New Roman" w:eastAsia="宋体" w:cs="Times New Roman"/>
                <w:lang w:val="en-US" w:eastAsia="zh-CN"/>
              </w:rPr>
            </w:pPr>
            <w:r>
              <w:rPr>
                <w:rFonts w:hint="default" w:ascii="Times New Roman" w:hAnsi="Times New Roman" w:cs="Times New Roman"/>
                <w:sz w:val="24"/>
                <w:szCs w:val="24"/>
                <w:lang w:val="en-US" w:eastAsia="zh-CN"/>
              </w:rPr>
              <w:t>2</w:t>
            </w:r>
          </w:p>
        </w:tc>
        <w:tc>
          <w:tcPr>
            <w:tcW w:w="4675" w:type="dxa"/>
            <w:tcBorders>
              <w:top w:val="single" w:color="000000" w:sz="8" w:space="0"/>
              <w:left w:val="nil"/>
              <w:bottom w:val="single" w:color="000000" w:sz="8" w:space="0"/>
              <w:right w:val="single" w:color="000000" w:sz="8" w:space="0"/>
            </w:tcBorders>
            <w:noWrap w:val="0"/>
            <w:vAlign w:val="center"/>
          </w:tcPr>
          <w:p w14:paraId="4F67E296">
            <w:pPr>
              <w:spacing w:line="240" w:lineRule="auto"/>
              <w:rPr>
                <w:rFonts w:hint="default" w:ascii="Times New Roman" w:hAnsi="Times New Roman" w:eastAsia="宋体" w:cs="Times New Roman"/>
                <w:b/>
                <w:bCs/>
                <w:kern w:val="2"/>
                <w:sz w:val="24"/>
                <w:szCs w:val="24"/>
                <w:vertAlign w:val="baseline"/>
                <w:lang w:val="en-US" w:eastAsia="zh-CN" w:bidi="ar-SA"/>
              </w:rPr>
            </w:pPr>
            <w:r>
              <w:rPr>
                <w:rFonts w:hint="default" w:ascii="Times New Roman" w:hAnsi="Times New Roman" w:eastAsia="宋体" w:cs="Times New Roman"/>
                <w:b/>
                <w:bCs/>
                <w:kern w:val="2"/>
                <w:sz w:val="24"/>
                <w:szCs w:val="24"/>
                <w:vertAlign w:val="baseline"/>
                <w:lang w:val="en-US" w:eastAsia="zh-CN" w:bidi="ar-SA"/>
              </w:rPr>
              <w:t>无人值守机库保养维护</w:t>
            </w:r>
          </w:p>
          <w:p w14:paraId="07237EA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1.含</w:t>
            </w:r>
            <w:r>
              <w:rPr>
                <w:rFonts w:hint="default" w:ascii="Times New Roman" w:hAnsi="Times New Roman" w:cs="Times New Roman"/>
                <w:kern w:val="2"/>
                <w:sz w:val="21"/>
                <w:szCs w:val="21"/>
                <w:vertAlign w:val="baseline"/>
                <w:lang w:val="en-US" w:eastAsia="zh-CN" w:bidi="ar-SA"/>
              </w:rPr>
              <w:t>1</w:t>
            </w:r>
            <w:r>
              <w:rPr>
                <w:rFonts w:hint="default" w:ascii="Times New Roman" w:hAnsi="Times New Roman" w:eastAsia="宋体" w:cs="Times New Roman"/>
                <w:kern w:val="2"/>
                <w:sz w:val="21"/>
                <w:szCs w:val="21"/>
                <w:vertAlign w:val="baseline"/>
                <w:lang w:val="en-US" w:eastAsia="zh-CN" w:bidi="ar-SA"/>
              </w:rPr>
              <w:t>套机库每年到点位更换电池服务2次</w:t>
            </w:r>
          </w:p>
          <w:p w14:paraId="6A67F24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2.含</w:t>
            </w:r>
            <w:r>
              <w:rPr>
                <w:rFonts w:hint="default" w:ascii="Times New Roman" w:hAnsi="Times New Roman" w:cs="Times New Roman"/>
                <w:kern w:val="2"/>
                <w:sz w:val="21"/>
                <w:szCs w:val="21"/>
                <w:vertAlign w:val="baseline"/>
                <w:lang w:val="en-US" w:eastAsia="zh-CN" w:bidi="ar-SA"/>
              </w:rPr>
              <w:t>1</w:t>
            </w:r>
            <w:r>
              <w:rPr>
                <w:rFonts w:hint="default" w:ascii="Times New Roman" w:hAnsi="Times New Roman" w:eastAsia="宋体" w:cs="Times New Roman"/>
                <w:kern w:val="2"/>
                <w:sz w:val="21"/>
                <w:szCs w:val="21"/>
                <w:vertAlign w:val="baseline"/>
                <w:lang w:val="en-US" w:eastAsia="zh-CN" w:bidi="ar-SA"/>
              </w:rPr>
              <w:t>套机库每年上门保险服务两次</w:t>
            </w:r>
          </w:p>
          <w:p w14:paraId="4168BE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3.含</w:t>
            </w:r>
            <w:r>
              <w:rPr>
                <w:rFonts w:hint="default" w:ascii="Times New Roman" w:hAnsi="Times New Roman" w:cs="Times New Roman"/>
                <w:kern w:val="2"/>
                <w:sz w:val="21"/>
                <w:szCs w:val="21"/>
                <w:vertAlign w:val="baseline"/>
                <w:lang w:val="en-US" w:eastAsia="zh-CN" w:bidi="ar-SA"/>
              </w:rPr>
              <w:t>1</w:t>
            </w:r>
            <w:r>
              <w:rPr>
                <w:rFonts w:hint="default" w:ascii="Times New Roman" w:hAnsi="Times New Roman" w:eastAsia="宋体" w:cs="Times New Roman"/>
                <w:kern w:val="2"/>
                <w:sz w:val="21"/>
                <w:szCs w:val="21"/>
                <w:vertAlign w:val="baseline"/>
                <w:lang w:val="en-US" w:eastAsia="zh-CN" w:bidi="ar-SA"/>
              </w:rPr>
              <w:t>套机库内置无人机每年2次保养服务</w:t>
            </w:r>
          </w:p>
          <w:p w14:paraId="1DD7B6D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4.含每年应急维护上门服务不限次数</w:t>
            </w:r>
          </w:p>
          <w:p w14:paraId="2A4D5E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机场保养内容： </w:t>
            </w:r>
          </w:p>
          <w:p w14:paraId="47E910D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每12个月更换：舱盖密封胶条、拨桨片组件（LB/RB/LF/RF） </w:t>
            </w:r>
          </w:p>
          <w:p w14:paraId="40CF8B5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每24个月更换：机场蓄电池 </w:t>
            </w:r>
          </w:p>
          <w:p w14:paraId="672965B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每36个月更换：内循环风扇、推杆、外循环风扇 </w:t>
            </w:r>
          </w:p>
          <w:p w14:paraId="0985123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无人机保养内容：</w:t>
            </w:r>
          </w:p>
          <w:p w14:paraId="3ADC20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保养周期 </w:t>
            </w:r>
          </w:p>
          <w:p w14:paraId="4CE44C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基础保养：每飞行150小时或激活6个月，客户可根据实际使用情况选择 </w:t>
            </w:r>
          </w:p>
          <w:p w14:paraId="5A0B1C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常规保养：每飞行300小时或激活12个月或飞行 </w:t>
            </w:r>
          </w:p>
          <w:p w14:paraId="42BE94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1000架次 </w:t>
            </w:r>
          </w:p>
          <w:p w14:paraId="6416D7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深度保养：每飞行900小时或激活24个月或飞行 </w:t>
            </w:r>
          </w:p>
          <w:p w14:paraId="53016C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3000架次 </w:t>
            </w:r>
          </w:p>
          <w:p w14:paraId="5C9EE7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激活时间、飞行小时、架次以先到者为准 </w:t>
            </w:r>
          </w:p>
          <w:p w14:paraId="31445E3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保养内容</w:t>
            </w:r>
          </w:p>
          <w:p w14:paraId="531F0D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基础保养：深度清洁+部件检测+升级校准 </w:t>
            </w:r>
          </w:p>
          <w:p w14:paraId="75C63AF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常规保养：深度清洁+部件检测+升级校准+易损 </w:t>
            </w:r>
          </w:p>
          <w:p w14:paraId="49D2193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件更换（桨叶、减震球等） </w:t>
            </w:r>
          </w:p>
          <w:p w14:paraId="2CDF79E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深度保养：深度清洁+部件检测+升级校准+易损 </w:t>
            </w:r>
          </w:p>
          <w:p w14:paraId="446854C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 xml:space="preserve">件更换+动力系统更换（机臂、电机、桨叶、减 </w:t>
            </w:r>
          </w:p>
          <w:p w14:paraId="4B2F38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震球等）</w:t>
            </w:r>
          </w:p>
        </w:tc>
      </w:tr>
    </w:tbl>
    <w:p w14:paraId="09DF82E3">
      <w:pPr>
        <w:keepNext w:val="0"/>
        <w:keepLines w:val="0"/>
        <w:pageBreakBefore w:val="0"/>
        <w:widowControl w:val="0"/>
        <w:kinsoku/>
        <w:wordWrap/>
        <w:overflowPunct/>
        <w:topLinePunct w:val="0"/>
        <w:autoSpaceDE/>
        <w:autoSpaceDN/>
        <w:bidi w:val="0"/>
        <w:adjustRightInd/>
        <w:snapToGrid/>
        <w:ind w:firstLine="420" w:firstLineChars="200"/>
        <w:textAlignment w:val="auto"/>
      </w:pPr>
      <w:r>
        <w:rPr>
          <w:rFonts w:hint="eastAsia"/>
          <w:lang w:val="en-US" w:eastAsia="zh-CN"/>
        </w:rPr>
        <w:t>标▲的需提供第三方检测报告或承诺函，中标供应商在中标后3日内需向采购人提供投标时响应文件中一致的加盖厂家鲜章的检验报告复印件，采购人收到盖厂家鲜章的检验报告后将通过发公函的方式请对应的第三方检测机构单位协助采购人核查检验报告原件真伪，若虚假提供或承诺的，采购人将上报相关主管单位追究相关法律责任。</w:t>
      </w:r>
      <w:bookmarkStart w:id="0" w:name="_GoBack"/>
      <w:bookmarkEnd w:id="0"/>
    </w:p>
    <w:sectPr>
      <w:footerReference r:id="rId3" w:type="default"/>
      <w:pgSz w:w="11906" w:h="16838"/>
      <w:pgMar w:top="2041" w:right="1474" w:bottom="1587"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026F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C0C986">
                          <w:pPr>
                            <w:pStyle w:val="3"/>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6C0C986">
                    <w:pPr>
                      <w:pStyle w:val="3"/>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765256"/>
    <w:multiLevelType w:val="singleLevel"/>
    <w:tmpl w:val="A8765256"/>
    <w:lvl w:ilvl="0" w:tentative="0">
      <w:start w:val="1"/>
      <w:numFmt w:val="chineseCounting"/>
      <w:suff w:val="nothing"/>
      <w:lvlText w:val="%1、"/>
      <w:lvlJc w:val="left"/>
      <w:rPr>
        <w:rFonts w:hint="eastAsia"/>
      </w:rPr>
    </w:lvl>
  </w:abstractNum>
  <w:abstractNum w:abstractNumId="1">
    <w:nsid w:val="D0F6EBC3"/>
    <w:multiLevelType w:val="singleLevel"/>
    <w:tmpl w:val="D0F6EBC3"/>
    <w:lvl w:ilvl="0" w:tentative="0">
      <w:start w:val="1"/>
      <w:numFmt w:val="decimal"/>
      <w:lvlText w:val="%1."/>
      <w:lvlJc w:val="left"/>
      <w:pPr>
        <w:tabs>
          <w:tab w:val="left" w:pos="312"/>
        </w:tabs>
      </w:pPr>
    </w:lvl>
  </w:abstractNum>
  <w:abstractNum w:abstractNumId="2">
    <w:nsid w:val="D9E730C0"/>
    <w:multiLevelType w:val="singleLevel"/>
    <w:tmpl w:val="D9E730C0"/>
    <w:lvl w:ilvl="0" w:tentative="0">
      <w:start w:val="1"/>
      <w:numFmt w:val="decimal"/>
      <w:lvlText w:val="%1."/>
      <w:lvlJc w:val="left"/>
      <w:pPr>
        <w:tabs>
          <w:tab w:val="left" w:pos="312"/>
        </w:tabs>
      </w:pPr>
    </w:lvl>
  </w:abstractNum>
  <w:abstractNum w:abstractNumId="3">
    <w:nsid w:val="E827BA26"/>
    <w:multiLevelType w:val="singleLevel"/>
    <w:tmpl w:val="E827BA26"/>
    <w:lvl w:ilvl="0" w:tentative="0">
      <w:start w:val="1"/>
      <w:numFmt w:val="decimal"/>
      <w:lvlText w:val="%1."/>
      <w:lvlJc w:val="left"/>
      <w:pPr>
        <w:ind w:left="425" w:hanging="425"/>
      </w:pPr>
      <w:rPr>
        <w:rFonts w:hint="default"/>
      </w:rPr>
    </w:lvl>
  </w:abstractNum>
  <w:abstractNum w:abstractNumId="4">
    <w:nsid w:val="00AE0B1C"/>
    <w:multiLevelType w:val="singleLevel"/>
    <w:tmpl w:val="00AE0B1C"/>
    <w:lvl w:ilvl="0" w:tentative="0">
      <w:start w:val="22"/>
      <w:numFmt w:val="decimal"/>
      <w:lvlText w:val="%1."/>
      <w:lvlJc w:val="left"/>
      <w:pPr>
        <w:tabs>
          <w:tab w:val="left" w:pos="312"/>
        </w:tabs>
      </w:pPr>
    </w:lvl>
  </w:abstractNum>
  <w:abstractNum w:abstractNumId="5">
    <w:nsid w:val="1412D906"/>
    <w:multiLevelType w:val="singleLevel"/>
    <w:tmpl w:val="1412D906"/>
    <w:lvl w:ilvl="0" w:tentative="0">
      <w:start w:val="1"/>
      <w:numFmt w:val="decimal"/>
      <w:lvlText w:val="%1."/>
      <w:lvlJc w:val="left"/>
      <w:pPr>
        <w:tabs>
          <w:tab w:val="left" w:pos="312"/>
        </w:tabs>
      </w:pPr>
    </w:lvl>
  </w:abstractNum>
  <w:num w:numId="1">
    <w:abstractNumId w:val="0"/>
  </w:num>
  <w:num w:numId="2">
    <w:abstractNumId w:val="4"/>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B00B7D"/>
    <w:rsid w:val="27CF337B"/>
    <w:rsid w:val="6AB00B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宋体"/>
      <w:kern w:val="0"/>
      <w:sz w:val="34"/>
      <w:szCs w:val="22"/>
    </w:rPr>
  </w:style>
  <w:style w:type="paragraph" w:styleId="3">
    <w:name w:val="footer"/>
    <w:basedOn w:val="1"/>
    <w:unhideWhenUsed/>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5143</Words>
  <Characters>6053</Characters>
  <Lines>0</Lines>
  <Paragraphs>0</Paragraphs>
  <TotalTime>0</TotalTime>
  <ScaleCrop>false</ScaleCrop>
  <LinksUpToDate>false</LinksUpToDate>
  <CharactersWithSpaces>6257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2025-05-06T07:25:00Z</dcterms:created>
  <dc:creator>罗欢</dc:creator>
  <cp:lastModifiedBy>罗欢</cp:lastModifiedBy>
  <dcterms:modified xsi:type="dcterms:W3CDTF">2025-05-12T01:53:27Z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4144537F87CA488DB7FDB9627E3F9ADD_11</vt:lpwstr>
  </property>
  <property fmtid="{D5CDD505-2E9C-101B-9397-08002B2CF9AE}" pid="4" name="KSOTemplateDocerSaveRecord">
    <vt:lpwstr>eyJoZGlkIjoiODA5NGFjZjliZmUzMDY2Mzc5ODZjZDk0ODhkMTYyMmQiLCJ1c2VySWQiOiIzMTEyODY2ODEifQ==</vt:lpwstr>
  </property>
</Properties>
</file>