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FFE00">
      <w:pPr>
        <w:jc w:val="both"/>
        <w:rPr>
          <w:rFonts w:hint="eastAsia" w:ascii="宋体" w:hAnsi="宋体"/>
          <w:b/>
          <w:bCs/>
          <w:color w:val="000000"/>
          <w:sz w:val="32"/>
          <w:szCs w:val="32"/>
          <w:lang w:val="en-US" w:eastAsia="zh-CN"/>
        </w:rPr>
      </w:pPr>
      <w:r>
        <w:rPr>
          <w:rFonts w:hint="eastAsia" w:ascii="宋体" w:hAnsi="宋体"/>
          <w:b/>
          <w:bCs/>
          <w:color w:val="000000"/>
          <w:sz w:val="32"/>
          <w:szCs w:val="32"/>
          <w:lang w:val="en-US" w:eastAsia="zh-CN"/>
        </w:rPr>
        <w:t>附件：</w:t>
      </w:r>
    </w:p>
    <w:p w14:paraId="4E2AFB24">
      <w:pPr>
        <w:ind w:firstLine="482" w:firstLineChars="200"/>
        <w:jc w:val="both"/>
        <w:rPr>
          <w:rFonts w:hint="eastAsia" w:ascii="宋体" w:hAnsi="宋体"/>
          <w:b/>
          <w:bCs/>
          <w:color w:val="000000"/>
          <w:sz w:val="24"/>
          <w:szCs w:val="24"/>
          <w:lang w:val="en-US" w:eastAsia="zh-CN"/>
        </w:rPr>
      </w:pPr>
    </w:p>
    <w:p w14:paraId="3F677AAC">
      <w:pPr>
        <w:keepNext w:val="0"/>
        <w:keepLines w:val="0"/>
        <w:pageBreakBefore w:val="0"/>
        <w:kinsoku/>
        <w:wordWrap/>
        <w:overflowPunct/>
        <w:topLinePunct w:val="0"/>
        <w:autoSpaceDN/>
        <w:bidi w:val="0"/>
        <w:adjustRightInd/>
        <w:snapToGrid/>
        <w:spacing w:line="500" w:lineRule="exact"/>
        <w:ind w:left="284" w:firstLine="321" w:firstLineChars="100"/>
        <w:textAlignment w:val="auto"/>
        <w:rPr>
          <w:rFonts w:ascii="宋体"/>
          <w:b/>
          <w:bCs/>
          <w:color w:val="auto"/>
          <w:sz w:val="32"/>
          <w:szCs w:val="32"/>
        </w:rPr>
      </w:pPr>
      <w:r>
        <w:rPr>
          <w:rFonts w:hint="eastAsia" w:ascii="宋体" w:hAnsi="宋体"/>
          <w:b/>
          <w:bCs/>
          <w:color w:val="auto"/>
          <w:sz w:val="32"/>
          <w:szCs w:val="32"/>
          <w:lang w:val="en-US" w:eastAsia="zh-CN"/>
        </w:rPr>
        <w:t>一、采购</w:t>
      </w:r>
      <w:r>
        <w:rPr>
          <w:rFonts w:hint="eastAsia" w:ascii="宋体" w:hAnsi="宋体"/>
          <w:b/>
          <w:bCs/>
          <w:color w:val="auto"/>
          <w:sz w:val="32"/>
          <w:szCs w:val="32"/>
        </w:rPr>
        <w:t>要求（实质性要求）：</w:t>
      </w:r>
    </w:p>
    <w:p w14:paraId="7B23299A">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rPr>
        <w:t>1</w:t>
      </w:r>
      <w:r>
        <w:rPr>
          <w:rFonts w:hint="eastAsia" w:ascii="楷体" w:hAnsi="楷体" w:eastAsia="楷体" w:cs="楷体"/>
          <w:color w:val="auto"/>
          <w:sz w:val="32"/>
          <w:szCs w:val="32"/>
          <w:lang w:val="en-US" w:eastAsia="zh-CN"/>
        </w:rPr>
        <w:t>.符合项目前期咨询资质，如涉及林业勘察设计则需提供林业勘察设计资质。</w:t>
      </w:r>
    </w:p>
    <w:p w14:paraId="34818F4B">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2.项目具体内容：</w:t>
      </w:r>
    </w:p>
    <w:p w14:paraId="1DC82E76">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拟通过本项目整合保护区现有信息化基础设施，编制“智慧保护区”信息化建设方案，延伸森林草原防火野外视频监控，建设生物多样性智能化监测设施设备，完善保护区基础设施，打造数字化森林草原防火预警系统、生物多样性监测系统、林下气候监测系统、水文监测系统，推动保护区天空地人一体化监测体系建设。</w:t>
      </w:r>
    </w:p>
    <w:p w14:paraId="7BF0457A">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是完善信息化基础设施。建立微波基站，布设电力通信线路，在野外增设视频监控点位，布设带通讯功能红外相机，建设电子围栏系统，采购无人机机站系统，智能巡护系统，实现保护区重点区域信息化监测终端与通信、电力的全覆盖；</w:t>
      </w:r>
    </w:p>
    <w:p w14:paraId="566F206D">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二是建设生物多样性智能化监测设施设备。在保护区野外增设生态环境因子监测设备，建设气象观测点、水文水质监测点，及时了解大熊猫栖息地生态环境变化情况。</w:t>
      </w:r>
    </w:p>
    <w:p w14:paraId="3B5FE3A3">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是建设科研监测中心。建设森林大样地，完善野生动物红外相机网格化监测，持续完成大熊猫DNA指纹建档及可视化展示、珙桐等珍稀濒危植物种质资源库建设，加快珍稀濒危野生动植物保护和生态环境观测体系建设，打造成集科学实验、</w:t>
      </w:r>
      <w:bookmarkStart w:id="0" w:name="_GoBack"/>
      <w:bookmarkEnd w:id="0"/>
      <w:r>
        <w:rPr>
          <w:rFonts w:hint="eastAsia" w:ascii="楷体" w:hAnsi="楷体" w:eastAsia="楷体" w:cs="楷体"/>
          <w:color w:val="auto"/>
          <w:sz w:val="32"/>
          <w:szCs w:val="32"/>
          <w:lang w:val="en-US" w:eastAsia="zh-CN"/>
        </w:rPr>
        <w:t>科技交流、信息管理和宣传教育等多项功能于一体的综合科研中心。</w:t>
      </w:r>
    </w:p>
    <w:p w14:paraId="0E59BA6D">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四是建立天空地一体化监测系统。整合数字化森林草原防火预警系统、生物多样性监测系统、林下气候监测系统、水文监测系统，新建“智慧保护区”信息化系统一套（信息化服务器和信息化平台系统），实现对保护区天空地一体化全覆盖监测；</w:t>
      </w:r>
    </w:p>
    <w:p w14:paraId="4AC48848">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五持续推进基础性调查工作。围绕固定样地监测大样地建设及调查、生物多样性调查等，以及监测全球气候变暖对保护区内珍稀动植物的影响情况，为保护区进一步开展物种保护和科学研究奠定基础，</w:t>
      </w:r>
    </w:p>
    <w:p w14:paraId="719FCCA8">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计划投资6000-8000万元。</w:t>
      </w:r>
    </w:p>
    <w:p w14:paraId="1E53DE68">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color w:val="auto"/>
          <w:sz w:val="32"/>
          <w:szCs w:val="32"/>
          <w:lang w:val="en-US" w:eastAsia="zh-CN"/>
        </w:rPr>
        <w:t>2.</w:t>
      </w:r>
      <w:r>
        <w:rPr>
          <w:rFonts w:hint="eastAsia" w:ascii="楷体" w:hAnsi="楷体" w:eastAsia="楷体" w:cs="楷体"/>
          <w:sz w:val="32"/>
          <w:szCs w:val="32"/>
          <w:highlight w:val="none"/>
          <w:lang w:val="en-US" w:eastAsia="zh-CN"/>
        </w:rPr>
        <w:t>按四川省林业和草原局办公室关于转发《林业和草原建设项目可行性研究报告编制实施细则》《林业和草原建设项目初步设计编制实施细则》的通知（川林办规</w:t>
      </w:r>
      <w:r>
        <w:rPr>
          <w:rFonts w:hint="eastAsia" w:ascii="楷体" w:hAnsi="楷体" w:eastAsia="楷体" w:cs="楷体"/>
          <w:color w:val="000000"/>
          <w:kern w:val="0"/>
          <w:sz w:val="32"/>
          <w:szCs w:val="32"/>
          <w:lang w:val="en-US" w:eastAsia="zh-CN" w:bidi="ar"/>
        </w:rPr>
        <w:t>〔2023〕</w:t>
      </w:r>
      <w:r>
        <w:rPr>
          <w:rFonts w:hint="eastAsia" w:ascii="楷体" w:hAnsi="楷体" w:eastAsia="楷体" w:cs="楷体"/>
          <w:sz w:val="32"/>
          <w:szCs w:val="32"/>
          <w:highlight w:val="none"/>
          <w:lang w:val="en-US" w:eastAsia="zh-CN"/>
        </w:rPr>
        <w:t>119号）文件要求，需完成多样性监测网络体系保护监管信息平台建设项目初步技术设备规划（需实地勘查点位情况），根据保护区实际，制定设备清单，编制《项目可行性研究报告》，并符合中央预算内投资项目和专项国债项目资金投向（生态环境保护或林业），完成该《项目可行性研究报告》后，可根据实际情况变化，对项目内容进行修改以</w:t>
      </w:r>
      <w:r>
        <w:rPr>
          <w:rFonts w:hint="eastAsia" w:ascii="楷体" w:hAnsi="楷体" w:eastAsia="楷体" w:cs="楷体"/>
          <w:sz w:val="32"/>
          <w:szCs w:val="32"/>
          <w:lang w:val="en-US" w:eastAsia="zh-CN"/>
        </w:rPr>
        <w:t>符合新的申报要求，协助完成立项审批，在必要时协助通过省市审核。</w:t>
      </w:r>
    </w:p>
    <w:p w14:paraId="3C74C910">
      <w:pPr>
        <w:pStyle w:val="2"/>
        <w:keepNext w:val="0"/>
        <w:keepLines w:val="0"/>
        <w:pageBreakBefore w:val="0"/>
        <w:kinsoku/>
        <w:wordWrap/>
        <w:overflowPunct/>
        <w:topLinePunct w:val="0"/>
        <w:autoSpaceDE/>
        <w:autoSpaceDN/>
        <w:bidi w:val="0"/>
        <w:adjustRightInd/>
        <w:snapToGrid/>
        <w:spacing w:before="0" w:beforeAutospacing="0" w:line="500" w:lineRule="exact"/>
        <w:ind w:firstLine="640" w:firstLineChars="200"/>
        <w:jc w:val="both"/>
        <w:textAlignment w:val="auto"/>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3.收费标准参考：</w:t>
      </w:r>
    </w:p>
    <w:p w14:paraId="5E7456E3">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both"/>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《项目可研》参考不超出</w:t>
      </w:r>
      <w:r>
        <w:rPr>
          <w:rFonts w:hint="default" w:ascii="楷体" w:hAnsi="楷体" w:eastAsia="楷体" w:cs="楷体"/>
          <w:sz w:val="32"/>
          <w:szCs w:val="32"/>
          <w:lang w:val="en-US" w:eastAsia="zh-CN"/>
        </w:rPr>
        <w:t>四川省物价局下发的“关于印发建设项目前期工作咨询收费暂行规定的通知”（川价费字【2000】35号文件）</w:t>
      </w:r>
      <w:r>
        <w:rPr>
          <w:rFonts w:hint="eastAsia" w:ascii="楷体" w:hAnsi="楷体" w:eastAsia="楷体" w:cs="楷体"/>
          <w:sz w:val="32"/>
          <w:szCs w:val="32"/>
          <w:lang w:val="en-US" w:eastAsia="zh-CN"/>
        </w:rPr>
        <w:t>收费标准，考虑林业行业、难易程度等系数，</w:t>
      </w:r>
      <w:r>
        <w:rPr>
          <w:rFonts w:hint="default" w:ascii="楷体" w:hAnsi="楷体" w:eastAsia="楷体" w:cs="楷体"/>
          <w:sz w:val="32"/>
          <w:szCs w:val="32"/>
          <w:lang w:val="en-US" w:eastAsia="zh-CN"/>
        </w:rPr>
        <w:t>依据市场浮动定价</w:t>
      </w:r>
      <w:r>
        <w:rPr>
          <w:rFonts w:hint="eastAsia" w:ascii="楷体" w:hAnsi="楷体" w:eastAsia="楷体" w:cs="楷体"/>
          <w:sz w:val="32"/>
          <w:szCs w:val="32"/>
          <w:lang w:val="en-US" w:eastAsia="zh-CN"/>
        </w:rPr>
        <w:t>。</w:t>
      </w:r>
    </w:p>
    <w:p w14:paraId="2DB4CC44">
      <w:pPr>
        <w:pStyle w:val="2"/>
        <w:keepNext w:val="0"/>
        <w:keepLines w:val="0"/>
        <w:pageBreakBefore w:val="0"/>
        <w:kinsoku/>
        <w:wordWrap/>
        <w:overflowPunct/>
        <w:topLinePunct w:val="0"/>
        <w:autoSpaceDE/>
        <w:autoSpaceDN/>
        <w:bidi w:val="0"/>
        <w:adjustRightInd/>
        <w:snapToGrid/>
        <w:spacing w:before="0" w:beforeAutospacing="0" w:line="500" w:lineRule="exact"/>
        <w:ind w:firstLine="640" w:firstLineChars="200"/>
        <w:jc w:val="both"/>
        <w:textAlignment w:val="auto"/>
        <w:rPr>
          <w:rFonts w:hint="default"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项目可研最高限价：8万元。</w:t>
      </w:r>
    </w:p>
    <w:p w14:paraId="76AD2E1A">
      <w:pPr>
        <w:pStyle w:val="2"/>
        <w:keepNext w:val="0"/>
        <w:keepLines w:val="0"/>
        <w:pageBreakBefore w:val="0"/>
        <w:kinsoku/>
        <w:wordWrap/>
        <w:overflowPunct/>
        <w:topLinePunct w:val="0"/>
        <w:autoSpaceDE/>
        <w:autoSpaceDN/>
        <w:bidi w:val="0"/>
        <w:adjustRightInd/>
        <w:snapToGrid/>
        <w:spacing w:before="0" w:beforeAutospacing="0" w:line="500" w:lineRule="exact"/>
        <w:ind w:firstLine="640" w:firstLineChars="200"/>
        <w:jc w:val="both"/>
        <w:textAlignment w:val="auto"/>
        <w:rPr>
          <w:rFonts w:hint="default"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4.报价要求：可研报告（含项目技术规划、实地勘查点位分布图、设备清单），按低价中标。</w:t>
      </w:r>
    </w:p>
    <w:p w14:paraId="6DE03CF3">
      <w:pPr>
        <w:keepNext w:val="0"/>
        <w:keepLines w:val="0"/>
        <w:pageBreakBefore w:val="0"/>
        <w:kinsoku/>
        <w:wordWrap/>
        <w:overflowPunct/>
        <w:topLinePunct w:val="0"/>
        <w:autoSpaceDN/>
        <w:bidi w:val="0"/>
        <w:adjustRightInd/>
        <w:snapToGrid/>
        <w:spacing w:line="500" w:lineRule="exact"/>
        <w:ind w:firstLine="640" w:firstLineChars="200"/>
        <w:textAlignment w:val="auto"/>
        <w:rPr>
          <w:rFonts w:hint="default"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5.本项目报价为一次性报价，包括项目产生的野外实地勘查费、租车费、食宿等费用。</w:t>
      </w:r>
    </w:p>
    <w:p w14:paraId="78A38DBF">
      <w:pPr>
        <w:keepNext w:val="0"/>
        <w:keepLines w:val="0"/>
        <w:pageBreakBefore w:val="0"/>
        <w:kinsoku/>
        <w:wordWrap/>
        <w:overflowPunct/>
        <w:topLinePunct w:val="0"/>
        <w:autoSpaceDN/>
        <w:bidi w:val="0"/>
        <w:adjustRightInd/>
        <w:snapToGrid/>
        <w:spacing w:line="500" w:lineRule="exact"/>
        <w:ind w:left="284" w:firstLine="321" w:firstLineChars="100"/>
        <w:textAlignment w:val="auto"/>
        <w:rPr>
          <w:rFonts w:hint="eastAsia" w:ascii="宋体" w:hAnsi="宋体" w:cs="Times New Roman"/>
          <w:b/>
          <w:bCs/>
          <w:color w:val="auto"/>
          <w:sz w:val="32"/>
          <w:szCs w:val="32"/>
          <w:lang w:val="en-US" w:eastAsia="zh-CN"/>
        </w:rPr>
      </w:pPr>
      <w:r>
        <w:rPr>
          <w:rFonts w:hint="eastAsia" w:ascii="宋体" w:hAnsi="宋体" w:cs="Times New Roman"/>
          <w:b/>
          <w:bCs/>
          <w:color w:val="auto"/>
          <w:sz w:val="32"/>
          <w:szCs w:val="32"/>
          <w:lang w:val="en-US" w:eastAsia="zh-CN"/>
        </w:rPr>
        <w:t>二、商务要求（实质性要求）：</w:t>
      </w:r>
    </w:p>
    <w:p w14:paraId="6C060107">
      <w:pPr>
        <w:keepNext w:val="0"/>
        <w:keepLines w:val="0"/>
        <w:pageBreakBefore w:val="0"/>
        <w:widowControl/>
        <w:kinsoku/>
        <w:wordWrap/>
        <w:overflowPunct/>
        <w:topLinePunct w:val="0"/>
        <w:autoSpaceDN/>
        <w:bidi w:val="0"/>
        <w:adjustRightInd/>
        <w:snapToGrid/>
        <w:spacing w:line="500" w:lineRule="exact"/>
        <w:ind w:firstLine="643" w:firstLineChars="200"/>
        <w:jc w:val="left"/>
        <w:textAlignment w:val="auto"/>
        <w:rPr>
          <w:rFonts w:hint="eastAsia" w:ascii="楷体" w:hAnsi="楷体" w:eastAsia="楷体" w:cs="楷体"/>
          <w:b/>
          <w:bCs/>
          <w:color w:val="000000"/>
          <w:sz w:val="32"/>
          <w:szCs w:val="32"/>
          <w:highlight w:val="none"/>
        </w:rPr>
      </w:pPr>
      <w:r>
        <w:rPr>
          <w:rFonts w:hint="eastAsia" w:ascii="楷体" w:hAnsi="楷体" w:eastAsia="楷体" w:cs="楷体"/>
          <w:b/>
          <w:bCs/>
          <w:color w:val="000000"/>
          <w:sz w:val="32"/>
          <w:szCs w:val="32"/>
        </w:rPr>
        <w:t>（一）付款方式：</w:t>
      </w:r>
      <w:r>
        <w:rPr>
          <w:rFonts w:hint="eastAsia" w:ascii="楷体" w:hAnsi="楷体" w:eastAsia="楷体" w:cs="楷体"/>
          <w:sz w:val="32"/>
          <w:szCs w:val="32"/>
          <w:highlight w:val="none"/>
        </w:rPr>
        <w:t>按合同支付。</w:t>
      </w:r>
    </w:p>
    <w:p w14:paraId="399FA3FF">
      <w:pPr>
        <w:keepNext w:val="0"/>
        <w:keepLines w:val="0"/>
        <w:pageBreakBefore w:val="0"/>
        <w:widowControl/>
        <w:kinsoku/>
        <w:wordWrap/>
        <w:overflowPunct/>
        <w:topLinePunct w:val="0"/>
        <w:autoSpaceDN/>
        <w:bidi w:val="0"/>
        <w:adjustRightInd/>
        <w:snapToGrid/>
        <w:spacing w:line="500" w:lineRule="exact"/>
        <w:ind w:firstLine="643" w:firstLineChars="200"/>
        <w:jc w:val="left"/>
        <w:textAlignment w:val="auto"/>
        <w:rPr>
          <w:rFonts w:hint="eastAsia" w:ascii="楷体" w:hAnsi="楷体" w:eastAsia="楷体" w:cs="楷体"/>
          <w:b/>
          <w:bCs/>
          <w:color w:val="000000"/>
          <w:sz w:val="32"/>
          <w:szCs w:val="32"/>
        </w:rPr>
      </w:pPr>
      <w:r>
        <w:rPr>
          <w:rFonts w:hint="eastAsia" w:ascii="楷体" w:hAnsi="楷体" w:eastAsia="楷体" w:cs="楷体"/>
          <w:b/>
          <w:bCs/>
          <w:color w:val="000000"/>
          <w:sz w:val="32"/>
          <w:szCs w:val="32"/>
        </w:rPr>
        <w:t>（二）供货时间：</w:t>
      </w:r>
      <w:r>
        <w:rPr>
          <w:rFonts w:hint="eastAsia" w:ascii="楷体" w:hAnsi="楷体" w:eastAsia="楷体" w:cs="楷体"/>
          <w:sz w:val="32"/>
          <w:szCs w:val="32"/>
        </w:rPr>
        <w:t>合同签订后</w:t>
      </w:r>
      <w:r>
        <w:rPr>
          <w:rFonts w:hint="eastAsia" w:ascii="楷体" w:hAnsi="楷体" w:eastAsia="楷体" w:cs="楷体"/>
          <w:sz w:val="32"/>
          <w:szCs w:val="32"/>
          <w:lang w:val="en-US" w:eastAsia="zh-CN"/>
        </w:rPr>
        <w:t>30</w:t>
      </w:r>
      <w:r>
        <w:rPr>
          <w:rFonts w:hint="eastAsia" w:ascii="楷体" w:hAnsi="楷体" w:eastAsia="楷体" w:cs="楷体"/>
          <w:sz w:val="32"/>
          <w:szCs w:val="32"/>
        </w:rPr>
        <w:t>日内。</w:t>
      </w:r>
    </w:p>
    <w:p w14:paraId="35126693">
      <w:pPr>
        <w:keepNext w:val="0"/>
        <w:keepLines w:val="0"/>
        <w:pageBreakBefore w:val="0"/>
        <w:widowControl/>
        <w:kinsoku/>
        <w:wordWrap/>
        <w:overflowPunct/>
        <w:topLinePunct w:val="0"/>
        <w:autoSpaceDE w:val="0"/>
        <w:autoSpaceDN/>
        <w:bidi w:val="0"/>
        <w:adjustRightInd/>
        <w:snapToGrid/>
        <w:spacing w:line="500" w:lineRule="exact"/>
        <w:ind w:firstLine="643" w:firstLineChars="200"/>
        <w:jc w:val="left"/>
        <w:textAlignment w:val="auto"/>
        <w:rPr>
          <w:rFonts w:hint="eastAsia"/>
          <w:sz w:val="32"/>
          <w:szCs w:val="32"/>
          <w:lang w:val="en-US" w:eastAsia="zh-CN"/>
        </w:rPr>
      </w:pPr>
      <w:r>
        <w:rPr>
          <w:rFonts w:hint="eastAsia" w:ascii="楷体" w:hAnsi="楷体" w:eastAsia="楷体" w:cs="楷体"/>
          <w:b/>
          <w:bCs/>
          <w:color w:val="000000"/>
          <w:sz w:val="32"/>
          <w:szCs w:val="32"/>
        </w:rPr>
        <w:t>（</w:t>
      </w:r>
      <w:r>
        <w:rPr>
          <w:rFonts w:hint="eastAsia" w:ascii="楷体" w:hAnsi="楷体" w:eastAsia="楷体" w:cs="楷体"/>
          <w:b/>
          <w:bCs/>
          <w:color w:val="000000"/>
          <w:sz w:val="32"/>
          <w:szCs w:val="32"/>
          <w:lang w:val="en-US" w:eastAsia="zh-CN"/>
        </w:rPr>
        <w:t>三</w:t>
      </w:r>
      <w:r>
        <w:rPr>
          <w:rFonts w:hint="eastAsia" w:ascii="楷体" w:hAnsi="楷体" w:eastAsia="楷体" w:cs="楷体"/>
          <w:b/>
          <w:bCs/>
          <w:color w:val="000000"/>
          <w:sz w:val="32"/>
          <w:szCs w:val="32"/>
        </w:rPr>
        <w:t>）验收标准和方式：</w:t>
      </w:r>
      <w:r>
        <w:rPr>
          <w:rFonts w:hint="eastAsia" w:ascii="楷体" w:hAnsi="楷体" w:eastAsia="楷体" w:cs="楷体"/>
          <w:sz w:val="32"/>
          <w:szCs w:val="32"/>
        </w:rPr>
        <w:t>本项目采购人严格按照政府采购相关法律法规以及《乐山市财政局关于印发&lt;乐山市政府采购项目需求论证和履约验收管理实施细则&gt;的通知》（乐市财政采〔2018〕16号）》的要求进行验收。</w:t>
      </w:r>
    </w:p>
    <w:p w14:paraId="7E8AE619"/>
    <w:sectPr>
      <w:footerReference r:id="rId3" w:type="default"/>
      <w:pgSz w:w="11850" w:h="16783"/>
      <w:pgMar w:top="2041" w:right="1474" w:bottom="1587" w:left="1587" w:header="851" w:footer="992" w:gutter="0"/>
      <w:pgNumType w:fmt="decimal"/>
      <w:cols w:space="0" w:num="1"/>
      <w:rtlGutter w:val="0"/>
      <w:docGrid w:type="lines" w:linePitch="43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498C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51BE0E">
                          <w:pPr>
                            <w:pStyle w:val="3"/>
                            <w:keepNext w:val="0"/>
                            <w:keepLines w:val="0"/>
                            <w:pageBreakBefore w:val="0"/>
                            <w:widowControl w:val="0"/>
                            <w:kinsoku/>
                            <w:wordWrap/>
                            <w:overflowPunct/>
                            <w:topLinePunct w:val="0"/>
                            <w:bidi w:val="0"/>
                            <w:adjustRightInd/>
                            <w:snapToGrid w:val="0"/>
                            <w:ind w:left="320" w:leftChars="100" w:right="320" w:rightChars="100"/>
                            <w:textAlignment w:val="auto"/>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F51BE0E">
                    <w:pPr>
                      <w:pStyle w:val="3"/>
                      <w:keepNext w:val="0"/>
                      <w:keepLines w:val="0"/>
                      <w:pageBreakBefore w:val="0"/>
                      <w:widowControl w:val="0"/>
                      <w:kinsoku/>
                      <w:wordWrap/>
                      <w:overflowPunct/>
                      <w:topLinePunct w:val="0"/>
                      <w:bidi w:val="0"/>
                      <w:adjustRightInd/>
                      <w:snapToGrid w:val="0"/>
                      <w:ind w:left="320" w:leftChars="100" w:right="320" w:rightChars="100"/>
                      <w:textAlignment w:val="auto"/>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A0DF4"/>
    <w:rsid w:val="1E1A0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before="100" w:beforeAutospacing="1"/>
    </w:pPr>
    <w:rPr>
      <w:rFonts w:ascii="Times New Roman" w:hAnsi="Times New Roman" w:eastAsia="宋体" w:cs="Times New Roman"/>
      <w:szCs w:val="21"/>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2025-04-21T07:04:00Z</dcterms:created>
  <dc:creator>罗欢</dc:creator>
  <cp:lastModifiedBy>罗欢</cp:lastModifiedBy>
  <dcterms:modified xsi:type="dcterms:W3CDTF">2025-04-21T07:06:13Z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8E7B1FA89B144C6FBA360141B1FDC468_11</vt:lpwstr>
  </property>
  <property fmtid="{D5CDD505-2E9C-101B-9397-08002B2CF9AE}" pid="4" name="KSOTemplateDocerSaveRecord">
    <vt:lpwstr>eyJoZGlkIjoiODA5NGFjZjliZmUzMDY2Mzc5ODZjZDk0ODhkMTYyMmQiLCJ1c2VySWQiOiIzMTEyODY2ODEifQ==</vt:lpwstr>
  </property>
</Properties>
</file>