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tbl>
      <w:tblPr>
        <w:tblStyle w:val="style105"/>
        <w:tblW w:w="9045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6"/>
        <w:gridCol w:w="1821"/>
        <w:gridCol w:w="3723"/>
        <w:gridCol w:w="1260"/>
        <w:gridCol w:w="872"/>
        <w:gridCol w:w="913"/>
      </w:tblGrid>
      <w:tr>
        <w:trPr>
          <w:trHeight w:val="445" w:hRule="atLeast"/>
        </w:trPr>
        <w:tc>
          <w:tcPr>
            <w:tcW w:w="904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b/>
                <w:bCs/>
                <w:kern w:val="0"/>
                <w:sz w:val="32"/>
                <w:szCs w:val="32"/>
              </w:rPr>
            </w:pPr>
            <w:r>
              <w:rPr>
                <w:rFonts w:ascii="仿宋_GB2312" w:cs="宋体" w:eastAsia="仿宋_GB2312" w:hAnsi="华文仿宋" w:hint="eastAsia"/>
                <w:b/>
                <w:bCs/>
                <w:kern w:val="0"/>
                <w:sz w:val="32"/>
                <w:szCs w:val="32"/>
              </w:rPr>
              <w:t>乐山市202</w:t>
            </w:r>
            <w:r>
              <w:rPr>
                <w:rFonts w:ascii="仿宋_GB2312" w:cs="宋体" w:eastAsia="仿宋_GB2312" w:hAnsi="华文仿宋" w:hint="eastAsia"/>
                <w:b/>
                <w:bCs/>
                <w:kern w:val="0"/>
                <w:sz w:val="32"/>
                <w:szCs w:val="32"/>
                <w:lang w:val="en-US" w:eastAsia="zh-CN"/>
              </w:rPr>
              <w:t>2</w:t>
            </w:r>
            <w:r>
              <w:rPr>
                <w:rFonts w:ascii="仿宋_GB2312" w:cs="宋体" w:eastAsia="仿宋_GB2312" w:hAnsi="华文仿宋" w:hint="eastAsia"/>
                <w:b/>
                <w:bCs/>
                <w:kern w:val="0"/>
                <w:sz w:val="32"/>
                <w:szCs w:val="32"/>
              </w:rPr>
              <w:t>年</w:t>
            </w:r>
            <w:r>
              <w:rPr>
                <w:rFonts w:ascii="仿宋_GB2312" w:cs="宋体" w:eastAsia="仿宋_GB2312" w:hAnsi="华文仿宋" w:hint="eastAsia"/>
                <w:b/>
                <w:bCs/>
                <w:kern w:val="0"/>
                <w:sz w:val="32"/>
                <w:szCs w:val="32"/>
                <w:lang w:eastAsia="zh-CN"/>
              </w:rPr>
              <w:t>元旦</w:t>
            </w:r>
            <w:r>
              <w:rPr>
                <w:rFonts w:ascii="仿宋_GB2312" w:cs="宋体" w:eastAsia="仿宋_GB2312" w:hAnsi="华文仿宋" w:hint="eastAsia"/>
                <w:b/>
                <w:bCs/>
                <w:kern w:val="0"/>
                <w:sz w:val="32"/>
                <w:szCs w:val="32"/>
              </w:rPr>
              <w:t>期间相关商品价格监测表</w:t>
            </w:r>
          </w:p>
        </w:tc>
      </w:tr>
      <w:tr>
        <w:tblPrEx/>
        <w:trPr>
          <w:trHeight w:val="301" w:hRule="atLeast"/>
        </w:trPr>
        <w:tc>
          <w:tcPr>
            <w:tcW w:w="600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>
            <w:pPr>
              <w:pStyle w:val="style0"/>
              <w:widowControl/>
              <w:jc w:val="left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填报单位：马边彝族自治县发改局</w:t>
            </w:r>
          </w:p>
        </w:tc>
        <w:tc>
          <w:tcPr>
            <w:tcW w:w="304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>
            <w:pPr>
              <w:pStyle w:val="style0"/>
              <w:widowControl/>
              <w:jc w:val="left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 xml:space="preserve">      202</w:t>
            </w: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  <w:lang w:val="en-US" w:eastAsia="zh-CN"/>
              </w:rPr>
              <w:t>2</w:t>
            </w: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年</w:t>
            </w: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  <w:lang w:val="en-US" w:eastAsia="zh-CN"/>
              </w:rPr>
              <w:t>1</w:t>
            </w: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月</w:t>
            </w:r>
            <w:r>
              <w:rPr>
                <w:rFonts w:ascii="仿宋_GB2312" w:cs="宋体" w:eastAsia="仿宋_GB2312" w:hAnsi="华文仿宋" w:hint="default"/>
                <w:kern w:val="0"/>
                <w:sz w:val="24"/>
                <w:szCs w:val="24"/>
                <w:lang w:val="en-US"/>
              </w:rPr>
              <w:t>3</w:t>
            </w: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日</w:t>
            </w:r>
          </w:p>
        </w:tc>
      </w:tr>
      <w:tr>
        <w:tblPrEx/>
        <w:trPr>
          <w:trHeight w:val="292" w:hRule="atLeast"/>
        </w:trPr>
        <w:tc>
          <w:tcPr>
            <w:tcW w:w="2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品种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规格等级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单位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价格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备注</w:t>
            </w:r>
          </w:p>
        </w:tc>
      </w:tr>
      <w:tr>
        <w:tblPrEx/>
        <w:trPr>
          <w:trHeight w:val="340" w:hRule="exact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籼米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left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二级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</w:rPr>
            </w:pPr>
            <w:r>
              <w:rPr>
                <w:rFonts w:ascii="仿宋_GB2312" w:cs="宋体" w:eastAsia="仿宋_GB2312" w:hAnsi="华文仿宋" w:hint="eastAsia"/>
                <w:kern w:val="0"/>
              </w:rPr>
              <w:t>元/500克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2.8　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</w:p>
        </w:tc>
      </w:tr>
      <w:tr>
        <w:tblPrEx/>
        <w:trPr>
          <w:trHeight w:val="340" w:hRule="exact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面粉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left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特一粉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</w:rPr>
            </w:pPr>
            <w:r>
              <w:rPr>
                <w:rFonts w:ascii="仿宋_GB2312" w:cs="宋体" w:eastAsia="仿宋_GB2312" w:hAnsi="华文仿宋" w:hint="eastAsia"/>
                <w:kern w:val="0"/>
              </w:rPr>
              <w:t>元/500克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2.3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</w:p>
        </w:tc>
      </w:tr>
      <w:tr>
        <w:tblPrEx/>
        <w:trPr>
          <w:trHeight w:val="340" w:hRule="exact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菜籽油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left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桶装一级压榨，当地主销品牌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</w:rPr>
            </w:pPr>
            <w:r>
              <w:rPr>
                <w:rFonts w:ascii="仿宋_GB2312" w:cs="宋体" w:eastAsia="仿宋_GB2312" w:hAnsi="华文仿宋" w:hint="eastAsia"/>
                <w:kern w:val="0"/>
              </w:rPr>
              <w:t>元/5升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100</w:t>
            </w:r>
            <w:r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  <w:t>　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</w:p>
        </w:tc>
      </w:tr>
      <w:tr>
        <w:tblPrEx/>
        <w:trPr>
          <w:trHeight w:val="340" w:hRule="exact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调和油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left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大豆调和油，桶装一级，当地主销品牌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</w:rPr>
            </w:pPr>
            <w:r>
              <w:rPr>
                <w:rFonts w:ascii="仿宋_GB2312" w:cs="宋体" w:eastAsia="仿宋_GB2312" w:hAnsi="华文仿宋" w:hint="eastAsia"/>
                <w:kern w:val="0"/>
              </w:rPr>
              <w:t>元/5升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69.6　6906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</w:p>
        </w:tc>
      </w:tr>
      <w:tr>
        <w:tblPrEx/>
        <w:trPr>
          <w:trHeight w:val="340" w:hRule="exact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猪肉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left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带皮后腿肉，鲜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</w:rPr>
            </w:pPr>
            <w:r>
              <w:rPr>
                <w:rFonts w:ascii="仿宋_GB2312" w:cs="宋体" w:eastAsia="仿宋_GB2312" w:hAnsi="华文仿宋" w:hint="eastAsia"/>
                <w:kern w:val="0"/>
              </w:rPr>
              <w:t>元/500克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 w:hint="default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  <w:lang w:val="en-US" w:eastAsia="zh-CN"/>
              </w:rPr>
              <w:t>15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</w:p>
        </w:tc>
      </w:tr>
      <w:tr>
        <w:tblPrEx/>
        <w:trPr>
          <w:trHeight w:val="340" w:hRule="exact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仔猪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left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25公斤左右，收购（销售、成交）价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</w:rPr>
            </w:pPr>
            <w:r>
              <w:rPr>
                <w:rFonts w:ascii="仿宋_GB2312" w:cs="宋体" w:eastAsia="仿宋_GB2312" w:hAnsi="华文仿宋" w:hint="eastAsia"/>
                <w:kern w:val="0"/>
              </w:rPr>
              <w:t>元/千克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 w:hint="default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8</w:t>
            </w: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  <w:lang w:val="en-US" w:eastAsia="zh-CN"/>
              </w:rPr>
              <w:t>.0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</w:p>
        </w:tc>
      </w:tr>
      <w:tr>
        <w:tblPrEx/>
        <w:trPr>
          <w:trHeight w:val="340" w:hRule="exact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7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生猪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left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出栏肥猪，收购（出场）价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</w:rPr>
            </w:pPr>
            <w:r>
              <w:rPr>
                <w:rFonts w:ascii="仿宋_GB2312" w:cs="宋体" w:eastAsia="仿宋_GB2312" w:hAnsi="华文仿宋" w:hint="eastAsia"/>
                <w:kern w:val="0"/>
              </w:rPr>
              <w:t>元/50千克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both"/>
              <w:rPr>
                <w:rFonts w:ascii="仿宋_GB2312" w:cs="宋体" w:eastAsia="仿宋_GB2312" w:hAnsi="华文仿宋" w:hint="default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  <w:lang w:val="en-US" w:eastAsia="zh-CN"/>
              </w:rPr>
              <w:t xml:space="preserve"> 9.0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</w:p>
        </w:tc>
      </w:tr>
      <w:tr>
        <w:tblPrEx/>
        <w:trPr>
          <w:trHeight w:val="340" w:hRule="exact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玉米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left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混等，颗粒状，饲料用，批发价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</w:rPr>
            </w:pPr>
            <w:r>
              <w:rPr>
                <w:rFonts w:ascii="仿宋_GB2312" w:cs="宋体" w:eastAsia="仿宋_GB2312" w:hAnsi="华文仿宋" w:hint="eastAsia"/>
                <w:kern w:val="0"/>
              </w:rPr>
              <w:t>元/千克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3.5　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</w:p>
        </w:tc>
      </w:tr>
      <w:tr>
        <w:tblPrEx/>
        <w:trPr>
          <w:trHeight w:val="340" w:hRule="exact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9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猪饲料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left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饲养 育肥猪配合饲料，批发价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</w:rPr>
            </w:pPr>
            <w:r>
              <w:rPr>
                <w:rFonts w:ascii="仿宋_GB2312" w:cs="宋体" w:eastAsia="仿宋_GB2312" w:hAnsi="华文仿宋" w:hint="eastAsia"/>
                <w:kern w:val="0"/>
              </w:rPr>
              <w:t>元/千克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3.8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</w:p>
        </w:tc>
      </w:tr>
      <w:tr>
        <w:tblPrEx/>
        <w:trPr>
          <w:trHeight w:val="340" w:hRule="exact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10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鸭肉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left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白条鸭，开膛，鸭场鸭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</w:rPr>
            </w:pPr>
            <w:r>
              <w:rPr>
                <w:rFonts w:ascii="仿宋_GB2312" w:cs="宋体" w:eastAsia="仿宋_GB2312" w:hAnsi="华文仿宋" w:hint="eastAsia"/>
                <w:kern w:val="0"/>
              </w:rPr>
              <w:t>元/500克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 w:hint="default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  <w:lang w:val="en-US" w:eastAsia="zh-CN"/>
              </w:rPr>
              <w:t>14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</w:p>
        </w:tc>
      </w:tr>
      <w:tr>
        <w:tblPrEx/>
        <w:trPr>
          <w:trHeight w:val="340" w:hRule="exact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11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鸡肉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left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白条鸡，开膛，鸡场鸡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</w:rPr>
            </w:pPr>
            <w:r>
              <w:rPr>
                <w:rFonts w:ascii="仿宋_GB2312" w:cs="宋体" w:eastAsia="仿宋_GB2312" w:hAnsi="华文仿宋" w:hint="eastAsia"/>
                <w:kern w:val="0"/>
              </w:rPr>
              <w:t>元/500克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 w:hint="default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  <w:lang w:val="en-US" w:eastAsia="zh-CN"/>
              </w:rPr>
              <w:t>18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</w:p>
        </w:tc>
      </w:tr>
      <w:tr>
        <w:tblPrEx/>
        <w:trPr>
          <w:trHeight w:val="340" w:hRule="exact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12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鸡蛋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left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鸡场蛋，普通鸡蛋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</w:rPr>
            </w:pPr>
            <w:r>
              <w:rPr>
                <w:rFonts w:ascii="仿宋_GB2312" w:cs="宋体" w:eastAsia="仿宋_GB2312" w:hAnsi="华文仿宋" w:hint="eastAsia"/>
                <w:kern w:val="0"/>
              </w:rPr>
              <w:t>元/500克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 w:hint="default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  <w:lang w:val="en-US" w:eastAsia="zh-CN"/>
              </w:rPr>
              <w:t>5.8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</w:p>
        </w:tc>
      </w:tr>
      <w:tr>
        <w:tblPrEx/>
        <w:trPr>
          <w:trHeight w:val="340" w:hRule="exact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13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牛奶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left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纯牛奶，盒装250ml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</w:rPr>
            </w:pPr>
            <w:r>
              <w:rPr>
                <w:rFonts w:ascii="仿宋_GB2312" w:cs="宋体" w:eastAsia="仿宋_GB2312" w:hAnsi="华文仿宋" w:hint="eastAsia"/>
                <w:kern w:val="0"/>
              </w:rPr>
              <w:t>元/盒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 w:hint="default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3</w:t>
            </w: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  <w:lang w:val="en-US" w:eastAsia="zh-CN"/>
              </w:rPr>
              <w:t>.0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</w:p>
        </w:tc>
      </w:tr>
      <w:tr>
        <w:tblPrEx/>
        <w:trPr>
          <w:trHeight w:val="340" w:hRule="exact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14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芹菜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left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新鲜一级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</w:rPr>
            </w:pPr>
            <w:r>
              <w:rPr>
                <w:rFonts w:ascii="仿宋_GB2312" w:cs="宋体" w:eastAsia="仿宋_GB2312" w:hAnsi="华文仿宋" w:hint="eastAsia"/>
                <w:kern w:val="0"/>
              </w:rPr>
              <w:t>元/500克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 w:hint="default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  <w:lang w:val="en-US" w:eastAsia="zh-CN"/>
              </w:rPr>
              <w:t>3.0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</w:p>
        </w:tc>
      </w:tr>
      <w:tr>
        <w:tblPrEx/>
        <w:trPr>
          <w:trHeight w:val="340" w:hRule="exact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15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大白菜</w:t>
            </w:r>
          </w:p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left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新鲜一级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</w:rPr>
            </w:pPr>
            <w:r>
              <w:rPr>
                <w:rFonts w:ascii="仿宋_GB2312" w:cs="宋体" w:eastAsia="仿宋_GB2312" w:hAnsi="华文仿宋" w:hint="eastAsia"/>
                <w:kern w:val="0"/>
              </w:rPr>
              <w:t>元/500克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1.5　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</w:p>
        </w:tc>
      </w:tr>
      <w:tr>
        <w:tblPrEx/>
        <w:trPr>
          <w:trHeight w:val="340" w:hRule="exact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16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白油菜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left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新鲜一级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</w:rPr>
            </w:pPr>
            <w:r>
              <w:rPr>
                <w:rFonts w:ascii="仿宋_GB2312" w:cs="宋体" w:eastAsia="仿宋_GB2312" w:hAnsi="华文仿宋" w:hint="eastAsia"/>
                <w:kern w:val="0"/>
              </w:rPr>
              <w:t>元/500克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/　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</w:p>
        </w:tc>
      </w:tr>
      <w:tr>
        <w:tblPrEx/>
        <w:trPr>
          <w:trHeight w:val="340" w:hRule="exact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17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黄瓜</w:t>
            </w:r>
          </w:p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left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新鲜一级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</w:rPr>
            </w:pPr>
            <w:r>
              <w:rPr>
                <w:rFonts w:ascii="仿宋_GB2312" w:cs="宋体" w:eastAsia="仿宋_GB2312" w:hAnsi="华文仿宋" w:hint="eastAsia"/>
                <w:kern w:val="0"/>
              </w:rPr>
              <w:t>元/500克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 w:hint="default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  <w:lang w:val="en-US" w:eastAsia="zh-CN"/>
              </w:rPr>
              <w:t>4.0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</w:p>
        </w:tc>
      </w:tr>
      <w:tr>
        <w:tblPrEx/>
        <w:trPr>
          <w:trHeight w:val="340" w:hRule="exact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18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白萝卜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left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新鲜一级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</w:rPr>
            </w:pPr>
            <w:r>
              <w:rPr>
                <w:rFonts w:ascii="仿宋_GB2312" w:cs="宋体" w:eastAsia="仿宋_GB2312" w:hAnsi="华文仿宋" w:hint="eastAsia"/>
                <w:kern w:val="0"/>
              </w:rPr>
              <w:t>元/500克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ascii="仿宋_GB2312" w:eastAsia="仿宋_GB2312" w:hint="eastAsia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1.</w:t>
            </w:r>
            <w:r>
              <w:rPr>
                <w:rFonts w:ascii="仿宋_GB2312" w:eastAsia="仿宋_GB2312" w:hint="eastAsia"/>
                <w:color w:val="00000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</w:p>
        </w:tc>
      </w:tr>
      <w:tr>
        <w:tblPrEx/>
        <w:trPr>
          <w:trHeight w:val="340" w:hRule="exact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19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西红柿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left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新鲜一级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</w:rPr>
            </w:pPr>
            <w:r>
              <w:rPr>
                <w:rFonts w:ascii="仿宋_GB2312" w:cs="宋体" w:eastAsia="仿宋_GB2312" w:hAnsi="华文仿宋" w:hint="eastAsia"/>
                <w:kern w:val="0"/>
              </w:rPr>
              <w:t>元/500克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ascii="仿宋_GB2312" w:eastAsia="仿宋_GB2312" w:hint="default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  <w:lang w:val="en-US" w:eastAsia="zh-CN"/>
              </w:rPr>
              <w:t>6.0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</w:p>
        </w:tc>
      </w:tr>
      <w:tr>
        <w:tblPrEx/>
        <w:trPr>
          <w:trHeight w:val="340" w:hRule="exact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20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土豆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left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新鲜一级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</w:rPr>
            </w:pPr>
            <w:r>
              <w:rPr>
                <w:rFonts w:ascii="仿宋_GB2312" w:cs="宋体" w:eastAsia="仿宋_GB2312" w:hAnsi="华文仿宋" w:hint="eastAsia"/>
                <w:kern w:val="0"/>
              </w:rPr>
              <w:t>元/500克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2.0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</w:p>
        </w:tc>
      </w:tr>
      <w:tr>
        <w:tblPrEx/>
        <w:trPr>
          <w:trHeight w:val="340" w:hRule="exact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21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青椒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left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新鲜一级，柿子椒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</w:rPr>
            </w:pPr>
            <w:r>
              <w:rPr>
                <w:rFonts w:ascii="仿宋_GB2312" w:cs="宋体" w:eastAsia="仿宋_GB2312" w:hAnsi="华文仿宋" w:hint="eastAsia"/>
                <w:kern w:val="0"/>
              </w:rPr>
              <w:t>元/500克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ascii="仿宋_GB2312" w:eastAsia="宋体" w:hint="default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仿宋_GB2312" w:hint="eastAsia"/>
                <w:color w:val="000000"/>
                <w:sz w:val="24"/>
                <w:szCs w:val="24"/>
                <w:lang w:val="en-US" w:eastAsia="zh-CN"/>
              </w:rPr>
              <w:t>5.0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</w:p>
        </w:tc>
      </w:tr>
      <w:tr>
        <w:tblPrEx/>
        <w:trPr>
          <w:trHeight w:val="369" w:hRule="exact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22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圆白菜（莲白）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left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新鲜一级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</w:rPr>
            </w:pPr>
            <w:r>
              <w:rPr>
                <w:rFonts w:ascii="仿宋_GB2312" w:cs="宋体" w:eastAsia="仿宋_GB2312" w:hAnsi="华文仿宋" w:hint="eastAsia"/>
                <w:kern w:val="0"/>
              </w:rPr>
              <w:t>元/500克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ascii="仿宋_GB2312" w:eastAsia="仿宋_GB2312" w:hint="default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  <w:lang w:val="en-US" w:eastAsia="zh-CN"/>
              </w:rPr>
              <w:t>2.0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</w:p>
        </w:tc>
      </w:tr>
      <w:tr>
        <w:tblPrEx/>
        <w:trPr>
          <w:trHeight w:val="340" w:hRule="exact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23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莴笋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left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新鲜一级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</w:rPr>
            </w:pPr>
            <w:r>
              <w:rPr>
                <w:rFonts w:ascii="仿宋_GB2312" w:cs="宋体" w:eastAsia="仿宋_GB2312" w:hAnsi="华文仿宋" w:hint="eastAsia"/>
                <w:kern w:val="0"/>
              </w:rPr>
              <w:t>元/500克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tabs>
                <w:tab w:val="left" w:leader="none" w:pos="460"/>
              </w:tabs>
              <w:jc w:val="center"/>
              <w:rPr>
                <w:rFonts w:ascii="仿宋_GB2312"/>
                <w:color w:val="000000"/>
                <w:sz w:val="24"/>
                <w:szCs w:val="24"/>
              </w:rPr>
            </w:pPr>
            <w:r>
              <w:rPr>
                <w:rFonts w:ascii="仿宋_GB2312" w:hint="eastAsia"/>
                <w:color w:val="000000"/>
                <w:sz w:val="24"/>
                <w:szCs w:val="24"/>
              </w:rPr>
              <w:t>3.0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</w:p>
        </w:tc>
      </w:tr>
      <w:tr>
        <w:tblPrEx/>
        <w:trPr>
          <w:trHeight w:val="340" w:hRule="exact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24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四季豆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>
            <w:pPr>
              <w:pStyle w:val="style0"/>
              <w:widowControl/>
              <w:jc w:val="left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新鲜一级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</w:rPr>
            </w:pPr>
            <w:r>
              <w:rPr>
                <w:rFonts w:ascii="仿宋_GB2312" w:cs="宋体" w:eastAsia="仿宋_GB2312" w:hAnsi="华文仿宋" w:hint="eastAsia"/>
                <w:kern w:val="0"/>
              </w:rPr>
              <w:t>元/500克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 w:hint="default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  <w:lang w:val="en-US" w:eastAsia="zh-CN"/>
              </w:rPr>
              <w:t>6.0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</w:p>
        </w:tc>
      </w:tr>
      <w:tr>
        <w:tblPrEx/>
        <w:trPr>
          <w:trHeight w:val="340" w:hRule="exact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25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  <w:lang w:val="en-US" w:bidi="ar-SA" w:eastAsia="zh-CN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汽油②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>
            <w:pPr>
              <w:pStyle w:val="style0"/>
              <w:widowControl/>
              <w:jc w:val="left"/>
              <w:rPr>
                <w:rFonts w:ascii="仿宋_GB2312" w:cs="宋体" w:eastAsia="仿宋_GB2312" w:hAnsi="华文仿宋"/>
                <w:kern w:val="0"/>
                <w:sz w:val="24"/>
                <w:szCs w:val="24"/>
                <w:lang w:val="en-US" w:bidi="ar-SA" w:eastAsia="zh-CN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92号清洁，零售价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21"/>
                <w:szCs w:val="21"/>
                <w:lang w:val="en-US" w:bidi="ar-SA" w:eastAsia="zh-CN"/>
              </w:rPr>
            </w:pPr>
            <w:r>
              <w:rPr>
                <w:rFonts w:ascii="仿宋_GB2312" w:cs="宋体" w:eastAsia="仿宋_GB2312" w:hAnsi="华文仿宋" w:hint="eastAsia"/>
                <w:kern w:val="0"/>
              </w:rPr>
              <w:t>元/升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 w:hint="default"/>
                <w:kern w:val="0"/>
                <w:sz w:val="24"/>
                <w:szCs w:val="24"/>
                <w:lang w:val="en-US" w:bidi="ar-SA" w:eastAsia="zh-CN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7.</w:t>
            </w:r>
            <w:r>
              <w:rPr>
                <w:rFonts w:ascii="仿宋_GB2312" w:cs="宋体" w:eastAsia="仿宋_GB2312" w:hAnsi="华文仿宋" w:hint="default"/>
                <w:kern w:val="0"/>
                <w:sz w:val="24"/>
                <w:szCs w:val="24"/>
                <w:lang w:val="en-US"/>
              </w:rPr>
              <w:t>24</w:t>
            </w: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　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</w:p>
        </w:tc>
      </w:tr>
      <w:tr>
        <w:tblPrEx/>
        <w:trPr>
          <w:trHeight w:val="340" w:hRule="exact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26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  <w:lang w:val="en-US" w:bidi="ar-SA" w:eastAsia="zh-CN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汽油③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>
            <w:pPr>
              <w:pStyle w:val="style0"/>
              <w:widowControl/>
              <w:jc w:val="left"/>
              <w:rPr>
                <w:rFonts w:ascii="仿宋_GB2312" w:cs="宋体" w:eastAsia="仿宋_GB2312" w:hAnsi="华文仿宋"/>
                <w:kern w:val="0"/>
                <w:sz w:val="24"/>
                <w:szCs w:val="24"/>
                <w:lang w:val="en-US" w:bidi="ar-SA" w:eastAsia="zh-CN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95号清洁，零售价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21"/>
                <w:szCs w:val="21"/>
                <w:lang w:val="en-US" w:bidi="ar-SA" w:eastAsia="zh-CN"/>
              </w:rPr>
            </w:pPr>
            <w:r>
              <w:rPr>
                <w:rFonts w:ascii="仿宋_GB2312" w:cs="宋体" w:eastAsia="仿宋_GB2312" w:hAnsi="华文仿宋" w:hint="eastAsia"/>
                <w:kern w:val="0"/>
              </w:rPr>
              <w:t>元/升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  <w:lang w:val="en-US" w:bidi="ar-SA" w:eastAsia="zh-CN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7.</w:t>
            </w:r>
            <w:r>
              <w:rPr>
                <w:rFonts w:ascii="仿宋_GB2312" w:cs="宋体" w:eastAsia="仿宋_GB2312" w:hAnsi="华文仿宋" w:hint="default"/>
                <w:kern w:val="0"/>
                <w:sz w:val="24"/>
                <w:szCs w:val="24"/>
                <w:lang w:val="en-US"/>
              </w:rPr>
              <w:t>74</w:t>
            </w: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　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</w:p>
        </w:tc>
      </w:tr>
      <w:tr>
        <w:tblPrEx/>
        <w:trPr>
          <w:trHeight w:val="340" w:hRule="exact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27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  <w:lang w:val="en-US" w:bidi="ar-SA" w:eastAsia="zh-CN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柴  油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>
            <w:pPr>
              <w:pStyle w:val="style0"/>
              <w:widowControl/>
              <w:jc w:val="left"/>
              <w:rPr>
                <w:rFonts w:ascii="仿宋_GB2312" w:cs="宋体" w:eastAsia="仿宋_GB2312" w:hAnsi="华文仿宋"/>
                <w:kern w:val="0"/>
                <w:sz w:val="24"/>
                <w:szCs w:val="24"/>
                <w:lang w:val="en-US" w:bidi="ar-SA" w:eastAsia="zh-CN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0号，零售价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21"/>
                <w:szCs w:val="21"/>
                <w:lang w:val="en-US" w:bidi="ar-SA" w:eastAsia="zh-CN"/>
              </w:rPr>
            </w:pPr>
            <w:r>
              <w:rPr>
                <w:rFonts w:ascii="仿宋_GB2312" w:cs="宋体" w:eastAsia="仿宋_GB2312" w:hAnsi="华文仿宋" w:hint="eastAsia"/>
                <w:kern w:val="0"/>
              </w:rPr>
              <w:t>元/升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  <w:lang w:val="en-US" w:bidi="ar-SA" w:eastAsia="zh-CN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6.</w:t>
            </w:r>
            <w:r>
              <w:rPr>
                <w:rFonts w:ascii="仿宋_GB2312" w:cs="宋体" w:eastAsia="仿宋_GB2312" w:hAnsi="华文仿宋" w:hint="default"/>
                <w:kern w:val="0"/>
                <w:sz w:val="24"/>
                <w:szCs w:val="24"/>
                <w:lang w:val="en-US"/>
              </w:rPr>
              <w:t>84</w:t>
            </w: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　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</w:p>
        </w:tc>
      </w:tr>
      <w:tr>
        <w:tblPrEx/>
        <w:trPr>
          <w:trHeight w:val="336" w:hRule="exact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28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宋体"/>
                <w:kern w:val="0"/>
                <w:sz w:val="24"/>
                <w:szCs w:val="24"/>
                <w:lang w:val="en-US" w:bidi="ar-SA" w:eastAsia="zh-CN"/>
              </w:rPr>
            </w:pPr>
            <w:r>
              <w:rPr>
                <w:rFonts w:ascii="仿宋_GB2312" w:cs="宋体" w:eastAsia="仿宋_GB2312" w:hAnsi="宋体" w:hint="eastAsia"/>
                <w:kern w:val="0"/>
                <w:sz w:val="24"/>
                <w:szCs w:val="24"/>
              </w:rPr>
              <w:t>液化石油气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>
            <w:pPr>
              <w:pStyle w:val="style0"/>
              <w:widowControl/>
              <w:jc w:val="left"/>
              <w:rPr>
                <w:rFonts w:ascii="仿宋_GB2312" w:cs="宋体" w:eastAsia="仿宋_GB2312" w:hAnsi="宋体"/>
                <w:kern w:val="0"/>
                <w:sz w:val="24"/>
                <w:szCs w:val="24"/>
                <w:lang w:val="en-US" w:bidi="ar-SA" w:eastAsia="zh-CN"/>
              </w:rPr>
            </w:pPr>
            <w:r>
              <w:rPr>
                <w:rFonts w:ascii="仿宋_GB2312" w:cs="宋体" w:eastAsia="仿宋_GB2312" w:hAnsi="宋体" w:hint="eastAsia"/>
                <w:kern w:val="0"/>
                <w:sz w:val="24"/>
                <w:szCs w:val="24"/>
              </w:rPr>
              <w:t>——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宋体"/>
                <w:kern w:val="0"/>
                <w:sz w:val="21"/>
                <w:szCs w:val="21"/>
                <w:lang w:val="en-US" w:bidi="ar-SA" w:eastAsia="zh-CN"/>
              </w:rPr>
            </w:pPr>
            <w:r>
              <w:rPr>
                <w:rFonts w:ascii="仿宋_GB2312" w:cs="宋体" w:eastAsia="仿宋_GB2312" w:hAnsi="宋体" w:hint="eastAsia"/>
                <w:kern w:val="0"/>
              </w:rPr>
              <w:t>元/千克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  <w:lang w:val="en-US" w:bidi="ar-SA" w:eastAsia="zh-CN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</w:p>
        </w:tc>
      </w:tr>
      <w:tr>
        <w:tblPrEx/>
        <w:trPr>
          <w:trHeight w:val="309" w:hRule="exact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29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  <w:lang w:val="en-US" w:bidi="ar-SA" w:eastAsia="zh-CN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长途客运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left"/>
              <w:rPr>
                <w:rFonts w:ascii="仿宋_GB2312" w:cs="宋体" w:eastAsia="仿宋_GB2312" w:hAnsi="华文仿宋"/>
                <w:kern w:val="0"/>
                <w:sz w:val="21"/>
                <w:szCs w:val="21"/>
                <w:lang w:val="en-US" w:bidi="ar-SA" w:eastAsia="zh-CN"/>
              </w:rPr>
            </w:pPr>
            <w:r>
              <w:rPr>
                <w:rFonts w:ascii="仿宋_GB2312" w:cs="宋体" w:eastAsia="仿宋_GB2312" w:hAnsi="华文仿宋" w:hint="eastAsia"/>
                <w:kern w:val="0"/>
              </w:rPr>
              <w:t>省内线路（高速公路，没有的按高等级公路）道路班车，中型高一级车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21"/>
                <w:szCs w:val="21"/>
                <w:lang w:val="en-US" w:bidi="ar-SA" w:eastAsia="zh-CN"/>
              </w:rPr>
            </w:pPr>
            <w:r>
              <w:rPr>
                <w:rFonts w:ascii="仿宋_GB2312" w:cs="宋体" w:eastAsia="仿宋_GB2312" w:hAnsi="华文仿宋" w:hint="eastAsia"/>
                <w:kern w:val="0"/>
              </w:rPr>
              <w:t>元/人公里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  <w:lang w:val="en-US" w:bidi="ar-SA" w:eastAsia="zh-CN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0.21　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</w:p>
        </w:tc>
      </w:tr>
      <w:tr>
        <w:tblPrEx/>
        <w:trPr>
          <w:trHeight w:val="580" w:hRule="exact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30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  <w:lang w:val="en-US" w:bidi="ar-SA" w:eastAsia="zh-CN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停车费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left"/>
              <w:rPr>
                <w:rFonts w:ascii="仿宋_GB2312" w:cs="宋体" w:eastAsia="仿宋_GB2312" w:hAnsi="华文仿宋"/>
                <w:kern w:val="0"/>
                <w:sz w:val="24"/>
                <w:szCs w:val="24"/>
                <w:lang w:val="en-US" w:bidi="ar-SA" w:eastAsia="zh-CN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景区露天，白天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21"/>
                <w:szCs w:val="21"/>
                <w:lang w:val="en-US" w:bidi="ar-SA" w:eastAsia="zh-CN"/>
              </w:rPr>
            </w:pPr>
            <w:r>
              <w:rPr>
                <w:rFonts w:ascii="仿宋_GB2312" w:cs="宋体" w:eastAsia="仿宋_GB2312" w:hAnsi="华文仿宋" w:hint="eastAsia"/>
                <w:kern w:val="0"/>
              </w:rPr>
              <w:t>元/天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  <w:lang w:val="en-US" w:bidi="ar-SA" w:eastAsia="zh-CN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/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</w:p>
        </w:tc>
      </w:tr>
      <w:tr>
        <w:tblPrEx/>
        <w:trPr>
          <w:trHeight w:val="340" w:hRule="exact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31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  <w:lang w:val="en-US" w:bidi="ar-SA" w:eastAsia="zh-CN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景区住宿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left"/>
              <w:rPr>
                <w:rFonts w:ascii="仿宋_GB2312" w:cs="宋体" w:eastAsia="仿宋_GB2312" w:hAnsi="华文仿宋"/>
                <w:kern w:val="0"/>
                <w:sz w:val="24"/>
                <w:szCs w:val="24"/>
                <w:lang w:val="en-US" w:bidi="ar-SA" w:eastAsia="zh-CN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景区三星级标准间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21"/>
                <w:szCs w:val="21"/>
                <w:lang w:val="en-US" w:bidi="ar-SA" w:eastAsia="zh-CN"/>
              </w:rPr>
            </w:pPr>
            <w:r>
              <w:rPr>
                <w:rFonts w:ascii="仿宋_GB2312" w:cs="宋体" w:eastAsia="仿宋_GB2312" w:hAnsi="华文仿宋" w:hint="eastAsia"/>
                <w:kern w:val="0"/>
              </w:rPr>
              <w:t>元/间日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  <w:lang w:val="en-US" w:bidi="ar-SA" w:eastAsia="zh-CN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/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</w:p>
        </w:tc>
      </w:tr>
      <w:tr>
        <w:tblPrEx/>
        <w:trPr>
          <w:trHeight w:val="340" w:hRule="exact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32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  <w:lang w:val="en-US" w:bidi="ar-SA" w:eastAsia="zh-CN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景点门票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left"/>
              <w:rPr>
                <w:rFonts w:ascii="仿宋_GB2312" w:cs="宋体" w:eastAsia="仿宋_GB2312" w:hAnsi="华文仿宋"/>
                <w:kern w:val="0"/>
                <w:sz w:val="24"/>
                <w:szCs w:val="24"/>
                <w:lang w:val="en-US" w:bidi="ar-SA" w:eastAsia="zh-CN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当地著名旅游景点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21"/>
                <w:szCs w:val="21"/>
                <w:lang w:val="en-US" w:bidi="ar-SA" w:eastAsia="zh-CN"/>
              </w:rPr>
            </w:pPr>
            <w:r>
              <w:rPr>
                <w:rFonts w:ascii="仿宋_GB2312" w:cs="宋体" w:eastAsia="仿宋_GB2312" w:hAnsi="华文仿宋" w:hint="eastAsia"/>
                <w:kern w:val="0"/>
              </w:rPr>
              <w:t>元/张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18"/>
                <w:szCs w:val="18"/>
                <w:lang w:val="en-US" w:bidi="ar-SA" w:eastAsia="zh-CN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18"/>
                <w:szCs w:val="18"/>
              </w:rPr>
              <w:t>/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</w:p>
        </w:tc>
      </w:tr>
    </w:tbl>
    <w:p>
      <w:pPr>
        <w:pStyle w:val="style0"/>
        <w:rPr/>
      </w:pPr>
      <w:r>
        <w:rPr>
          <w:rFonts w:ascii="仿宋_GB2312" w:eastAsia="仿宋_GB2312" w:hAnsi="华文仿宋" w:hint="eastAsia"/>
          <w:b/>
          <w:szCs w:val="21"/>
        </w:rPr>
        <w:t>注：在系统报表最后一栏“提前填报原因”中，填报商贸餐饮市场价格监测情况及变动原因。（因各地以上价格差异性较大，故不统一设定监测品种和等级标准）</w:t>
      </w:r>
      <w:bookmarkStart w:id="0" w:name="_GoBack"/>
      <w:bookmarkEnd w:id="0"/>
    </w:p>
    <w:sectPr>
      <w:headerReference w:type="even" r:id="rId2"/>
      <w:headerReference w:type="default" r:id="rId3"/>
      <w:footerReference w:type="even" r:id="rId4"/>
      <w:footerReference w:type="default" r:id="rId5"/>
      <w:headerReference w:type="first" r:id="rId6"/>
      <w:pgSz w:w="11906" w:h="16838" w:orient="portrait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0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宋体"/>
    <w:panose1 w:val="02010600030000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Wingding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000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000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000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000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Calibri"/>
    <w:panose1 w:val="020f0502020000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_GB2312"/>
    <w:panose1 w:val="02010609030000010101"/>
    <w:charset w:val="86"/>
    <w:family w:val="modern"/>
    <w:pitch w:val="default"/>
    <w:sig w:usb0="00000001" w:usb1="080E0000" w:usb2="00000000" w:usb3="00000000" w:csb0="00040000" w:csb1="00000000"/>
  </w:font>
  <w:font w:name="华文仿宋">
    <w:altName w:val="仿宋"/>
    <w:panose1 w:val="00000000000000000000"/>
    <w:charset w:val="00"/>
    <w:family w:val="auto"/>
    <w:pitch w:val="default"/>
    <w:sig w:usb0="00000000" w:usb1="00000000" w:usb2="00000000" w:usb3="00000000" w:csb0="0004009F" w:csb1="DFD70000"/>
  </w:font>
  <w:font w:name="仿宋">
    <w:altName w:val="仿宋"/>
    <w:panose1 w:val="02010609060000010101"/>
    <w:charset w:val="86"/>
    <w:family w:val="auto"/>
    <w:pitch w:val="default"/>
    <w:sig w:usb0="800002BF" w:usb1="38CF7CFA" w:usb2="00000016" w:usb3="00000000" w:csb0="00040001" w:csb1="00000000"/>
  </w:font>
</w:fonts>
</file>

<file path=word/footer3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2"/>
      <w:rPr/>
    </w:pPr>
  </w:p>
</w:ftr>
</file>

<file path=word/footer4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2"/>
      <w:jc w:val="center"/>
      <w:rPr/>
    </w:pPr>
    <w:r>
      <w:rPr/>
      <w:fldChar w:fldCharType="begin"/>
    </w:r>
    <w:r>
      <w:instrText xml:space="preserve"> PAGE   \* MERGEFORMAT </w:instrText>
    </w:r>
    <w:r>
      <w:rPr/>
      <w:fldChar w:fldCharType="separate"/>
    </w:r>
    <w:r>
      <w:rPr>
        <w:lang w:val="zh-CN"/>
      </w:rPr>
      <w:t>1</w:t>
    </w:r>
    <w:r>
      <w:rPr>
        <w:lang w:val="zh-CN"/>
      </w:rPr>
      <w:fldChar w:fldCharType="end"/>
    </w:r>
  </w:p>
  <w:p>
    <w:pPr>
      <w:pStyle w:val="style32"/>
      <w:rPr/>
    </w:pPr>
  </w:p>
</w:ftr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1"/>
      <w:rPr/>
    </w:pPr>
  </w:p>
</w:hdr>
</file>

<file path=word/header2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1"/>
      <w:pBdr>
        <w:bottom w:val="none" w:sz="0" w:space="0" w:color="auto"/>
      </w:pBdr>
      <w:rPr/>
    </w:pPr>
  </w:p>
</w:hdr>
</file>

<file path=word/header5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1"/>
      <w:rPr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bordersDoNotSurroundHeader/>
  <w:bordersDoNotSurroundFooter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宋体" w:hAnsi="Times New Roman"/>
      </w:rPr>
    </w:rPrDefault>
    <w:pPrDefault>
      <w:pPr/>
    </w:pPrDefault>
  </w:docDefaults>
  <w:style w:type="paragraph" w:default="1" w:styleId="style0">
    <w:name w:val="Normal"/>
    <w:next w:val="style0"/>
    <w:qFormat/>
    <w:uiPriority w:val="0"/>
    <w:pPr>
      <w:widowControl w:val="false"/>
      <w:jc w:val="both"/>
    </w:pPr>
    <w:rPr>
      <w:rFonts w:ascii="Times New Roman" w:cs="Times New Roman" w:eastAsia="宋体" w:hAnsi="Times New Roman"/>
      <w:kern w:val="2"/>
      <w:sz w:val="21"/>
      <w:szCs w:val="21"/>
      <w:lang w:val="en-US" w:bidi="ar-SA" w:eastAsia="zh-CN"/>
    </w:rPr>
  </w:style>
  <w:style w:type="character" w:default="1" w:styleId="style65">
    <w:name w:val="Default Paragraph Font"/>
    <w:next w:val="style65"/>
    <w:qFormat/>
    <w:uiPriority w:val="1"/>
  </w:style>
  <w:style w:type="table" w:default="1" w:styleId="style105">
    <w:name w:val="Normal Table"/>
    <w:next w:val="style105"/>
    <w:qFormat/>
    <w:uiPriority w:val="99"/>
    <w:pPr/>
    <w:rPr/>
    <w:tblPr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styleId="style32">
    <w:name w:val="footer"/>
    <w:basedOn w:val="style0"/>
    <w:next w:val="style32"/>
    <w:link w:val="style4098"/>
    <w:qFormat/>
    <w:uiPriority w:val="99"/>
    <w:pPr>
      <w:tabs>
        <w:tab w:val="center" w:leader="none" w:pos="4153"/>
        <w:tab w:val="right" w:leader="none" w:pos="8306"/>
      </w:tabs>
      <w:snapToGrid w:val="false"/>
      <w:jc w:val="left"/>
    </w:pPr>
    <w:rPr>
      <w:sz w:val="18"/>
      <w:szCs w:val="18"/>
    </w:rPr>
  </w:style>
  <w:style w:type="paragraph" w:styleId="style31">
    <w:name w:val="header"/>
    <w:basedOn w:val="style0"/>
    <w:next w:val="style31"/>
    <w:link w:val="style4097"/>
    <w:qFormat/>
    <w:uiPriority w:val="99"/>
    <w:pPr>
      <w:pBdr>
        <w:bottom w:val="single" w:sz="6" w:space="1" w:color="auto"/>
      </w:pBdr>
      <w:tabs>
        <w:tab w:val="center" w:leader="none" w:pos="4153"/>
        <w:tab w:val="right" w:leader="none" w:pos="8306"/>
      </w:tabs>
      <w:snapToGrid w:val="false"/>
      <w:jc w:val="center"/>
    </w:pPr>
    <w:rPr>
      <w:sz w:val="18"/>
      <w:szCs w:val="18"/>
    </w:rPr>
  </w:style>
  <w:style w:type="character" w:styleId="style85">
    <w:name w:val="Hyperlink"/>
    <w:basedOn w:val="style65"/>
    <w:next w:val="style85"/>
    <w:qFormat/>
    <w:uiPriority w:val="99"/>
    <w:rPr>
      <w:rFonts w:cs="Times New Roman"/>
      <w:color w:val="0000ff"/>
      <w:u w:val="single"/>
    </w:rPr>
  </w:style>
  <w:style w:type="character" w:customStyle="1" w:styleId="style4097">
    <w:name w:val="页眉 Char"/>
    <w:basedOn w:val="style65"/>
    <w:next w:val="style4097"/>
    <w:link w:val="style31"/>
    <w:qFormat/>
    <w:uiPriority w:val="99"/>
    <w:rPr>
      <w:rFonts w:cs="Times New Roman"/>
      <w:kern w:val="2"/>
      <w:sz w:val="18"/>
      <w:szCs w:val="18"/>
    </w:rPr>
  </w:style>
  <w:style w:type="character" w:customStyle="1" w:styleId="style4098">
    <w:name w:val="页脚 Char"/>
    <w:basedOn w:val="style65"/>
    <w:next w:val="style4098"/>
    <w:link w:val="style32"/>
    <w:qFormat/>
    <w:uiPriority w:val="99"/>
    <w:rPr>
      <w:rFonts w:cs="Times New Roman"/>
      <w:kern w:val="2"/>
      <w:sz w:val="18"/>
      <w:szCs w:val="18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oter" Target="footer3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9" Type="http://schemas.openxmlformats.org/officeDocument/2006/relationships/settings" Target="settings.xml"/><Relationship Id="rId5" Type="http://schemas.openxmlformats.org/officeDocument/2006/relationships/footer" Target="footer4.xml"/><Relationship Id="rId6" Type="http://schemas.openxmlformats.org/officeDocument/2006/relationships/header" Target="header5.xml"/><Relationship Id="rId7" Type="http://schemas.openxmlformats.org/officeDocument/2006/relationships/styles" Target="styles.xml"/><Relationship Id="rId8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637</Words>
  <Pages>1</Pages>
  <Characters>789</Characters>
  <Application>WPS Office</Application>
  <DocSecurity>0</DocSecurity>
  <Paragraphs>249</Paragraphs>
  <ScaleCrop>false</ScaleCrop>
  <Company>Microsoft China</Company>
  <LinksUpToDate>false</LinksUpToDate>
  <CharactersWithSpaces>809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2020-09-30T10:41:00Z</dcterms:created>
  <dc:creator>徐烨</dc:creator>
  <lastModifiedBy>M2102K1AC</lastModifiedBy>
  <lastPrinted>2021-12-31T03:09:48Z</lastPrinted>
  <dcterms:modified xsi:type="dcterms:W3CDTF">2022-01-03T01:21:57Z</dcterms:modified>
  <revision>11</revision>
  <dc:title>乐山市成本调查监审工作周期小结</dc:title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2052-11.8.2.10321</vt:lpwstr>
  </property>
  <property fmtid="{D5CDD505-2E9C-101B-9397-08002B2CF9AE}" pid="3" name="ICV">
    <vt:lpwstr>5405654e25d14d89b674521d9288b1bd</vt:lpwstr>
  </property>
</Properties>
</file>