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C0A9A">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425"/>
      <w:bookmarkStart w:id="2" w:name="_Toc15377193"/>
      <w:bookmarkStart w:id="3" w:name="_Toc15378441"/>
      <w:bookmarkStart w:id="4" w:name="_Toc15396597"/>
      <w:bookmarkStart w:id="5" w:name="_Toc15306267"/>
    </w:p>
    <w:p w14:paraId="418DAC08">
      <w:pPr>
        <w:pStyle w:val="2"/>
        <w:jc w:val="center"/>
        <w:rPr>
          <w:rFonts w:hint="eastAsia" w:ascii="Times New Roman" w:eastAsia="方正小标宋简体" w:cs="Times New Roman"/>
          <w:color w:val="auto"/>
          <w:kern w:val="2"/>
          <w:sz w:val="44"/>
          <w:szCs w:val="44"/>
          <w:highlight w:val="none"/>
          <w:lang w:val="en-US" w:eastAsia="zh-CN" w:bidi="ar-SA"/>
        </w:rPr>
      </w:pPr>
      <w:bookmarkStart w:id="61" w:name="_GoBack"/>
      <w:bookmarkEnd w:id="61"/>
      <w:r>
        <w:rPr>
          <w:rFonts w:hint="eastAsia" w:ascii="Times New Roman" w:eastAsia="方正小标宋简体" w:cs="Times New Roman"/>
          <w:color w:val="auto"/>
          <w:kern w:val="2"/>
          <w:sz w:val="44"/>
          <w:szCs w:val="44"/>
          <w:highlight w:val="none"/>
          <w:lang w:val="en-US" w:eastAsia="zh-CN" w:bidi="ar-SA"/>
        </w:rPr>
        <w:t>2025年度</w:t>
      </w:r>
    </w:p>
    <w:p w14:paraId="17C629A3">
      <w:pPr>
        <w:pStyle w:val="2"/>
        <w:jc w:val="center"/>
        <w:rPr>
          <w:rFonts w:hint="default"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四川省马边彝族自治县三河口镇中心校   决算公开报告</w:t>
      </w:r>
    </w:p>
    <w:p w14:paraId="4C0AFDD7">
      <w:pPr>
        <w:spacing w:line="600" w:lineRule="exact"/>
        <w:jc w:val="center"/>
        <w:outlineLvl w:val="0"/>
        <w:rPr>
          <w:rFonts w:ascii="Times New Roman" w:hAnsi="Times New Roman" w:eastAsia="方正小标宋简体"/>
          <w:color w:val="auto"/>
          <w:sz w:val="72"/>
          <w:szCs w:val="72"/>
          <w:highlight w:val="none"/>
        </w:rPr>
      </w:pPr>
    </w:p>
    <w:p w14:paraId="5DE6AC8F">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7F4D9933">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w:t>
      </w:r>
      <w:r>
        <w:rPr>
          <w:rFonts w:hint="eastAsia" w:eastAsia="黑体"/>
          <w:color w:val="auto"/>
          <w:sz w:val="48"/>
          <w:szCs w:val="48"/>
          <w:highlight w:val="none"/>
          <w:lang w:val="en-US" w:eastAsia="zh-CN"/>
        </w:rPr>
        <w:t xml:space="preserve">   </w:t>
      </w:r>
      <w:r>
        <w:rPr>
          <w:rFonts w:hint="eastAsia" w:ascii="Times New Roman" w:hAnsi="Times New Roman" w:eastAsia="黑体"/>
          <w:color w:val="auto"/>
          <w:sz w:val="48"/>
          <w:szCs w:val="48"/>
          <w:highlight w:val="none"/>
        </w:rPr>
        <w:t>录</w:t>
      </w:r>
    </w:p>
    <w:p w14:paraId="56A1BD07">
      <w:pPr>
        <w:pStyle w:val="12"/>
        <w:rPr>
          <w:color w:val="auto"/>
          <w:highlight w:val="none"/>
        </w:rPr>
      </w:pPr>
      <w:bookmarkStart w:id="6" w:name="_Toc15377196"/>
      <w:bookmarkStart w:id="7" w:name="_Toc15396599"/>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11</w:t>
      </w:r>
      <w:r>
        <w:rPr>
          <w:rFonts w:hint="eastAsia"/>
          <w:color w:val="auto"/>
          <w:highlight w:val="none"/>
        </w:rPr>
        <w:t>月</w:t>
      </w:r>
      <w:r>
        <w:rPr>
          <w:rFonts w:hint="eastAsia"/>
          <w:color w:val="auto"/>
          <w:highlight w:val="none"/>
          <w:lang w:val="en-US" w:eastAsia="zh-CN"/>
        </w:rPr>
        <w:t>2</w:t>
      </w:r>
      <w:r>
        <w:rPr>
          <w:rFonts w:hint="eastAsia"/>
          <w:color w:val="auto"/>
          <w:highlight w:val="none"/>
        </w:rPr>
        <w:t>日</w:t>
      </w:r>
    </w:p>
    <w:p w14:paraId="48936120">
      <w:pPr>
        <w:pStyle w:val="12"/>
        <w:pageBreakBefore w:val="0"/>
        <w:kinsoku/>
        <w:wordWrap/>
        <w:overflowPunct/>
        <w:topLinePunct w:val="0"/>
        <w:bidi w:val="0"/>
        <w:adjustRightInd w:val="0"/>
        <w:snapToGrid w:val="0"/>
        <w:spacing w:before="0" w:line="440" w:lineRule="exact"/>
        <w:ind w:left="0" w:leftChars="0" w:right="0"/>
        <w:jc w:val="left"/>
        <w:rPr>
          <w:rFonts w:hint="eastAsia" w:ascii="仿宋_GB2312" w:hAnsi="仿宋_GB2312" w:eastAsia="仿宋" w:cs="仿宋_GB2312"/>
          <w:sz w:val="24"/>
          <w:szCs w:val="24"/>
          <w:lang w:val="en-US" w:eastAsia="zh-CN"/>
        </w:rPr>
      </w:pPr>
      <w:r>
        <w:rPr>
          <w:rFonts w:hint="eastAsia" w:ascii="仿宋_GB2312" w:hAnsi="仿宋_GB2312" w:eastAsia="仿宋_GB2312" w:cs="仿宋_GB2312"/>
          <w:sz w:val="24"/>
          <w:szCs w:val="24"/>
        </w:rPr>
        <w:t>第一部分 单位概况</w:t>
      </w:r>
      <w:r>
        <w:rPr>
          <w:rFonts w:ascii="仿宋" w:hAnsi="仿宋" w:eastAsia="仿宋"/>
          <w:sz w:val="24"/>
          <w:szCs w:val="24"/>
        </w:rPr>
        <w:tab/>
      </w:r>
      <w:r>
        <w:rPr>
          <w:rFonts w:hint="eastAsia"/>
          <w:sz w:val="24"/>
          <w:szCs w:val="24"/>
          <w:lang w:val="en-US" w:eastAsia="zh-CN"/>
        </w:rPr>
        <w:t>1</w:t>
      </w:r>
    </w:p>
    <w:p w14:paraId="7D56F96E">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 w:cs="仿宋_GB2312"/>
          <w:sz w:val="24"/>
          <w:szCs w:val="24"/>
          <w:lang w:val="en-US" w:eastAsia="zh-CN"/>
        </w:rPr>
      </w:pPr>
      <w:r>
        <w:rPr>
          <w:rFonts w:hint="eastAsia" w:ascii="仿宋_GB2312" w:hAnsi="仿宋_GB2312" w:eastAsia="仿宋_GB2312" w:cs="仿宋_GB2312"/>
          <w:sz w:val="24"/>
          <w:szCs w:val="24"/>
        </w:rPr>
        <w:t>一、职能简介</w:t>
      </w:r>
      <w:r>
        <w:rPr>
          <w:rFonts w:ascii="仿宋" w:hAnsi="仿宋" w:eastAsia="仿宋"/>
          <w:sz w:val="24"/>
          <w:szCs w:val="24"/>
        </w:rPr>
        <w:tab/>
      </w:r>
      <w:r>
        <w:rPr>
          <w:rFonts w:hint="eastAsia" w:ascii="仿宋" w:hAnsi="仿宋" w:eastAsia="仿宋"/>
          <w:sz w:val="24"/>
          <w:szCs w:val="24"/>
          <w:lang w:val="en-US" w:eastAsia="zh-CN"/>
        </w:rPr>
        <w:t>1</w:t>
      </w:r>
    </w:p>
    <w:p w14:paraId="35492925">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 w:cs="仿宋_GB2312"/>
          <w:sz w:val="24"/>
          <w:szCs w:val="24"/>
          <w:lang w:val="en-US" w:eastAsia="zh-CN"/>
        </w:rPr>
      </w:pPr>
      <w:r>
        <w:rPr>
          <w:rFonts w:hint="eastAsia" w:ascii="仿宋_GB2312" w:hAnsi="仿宋_GB2312" w:eastAsia="仿宋_GB2312" w:cs="仿宋_GB2312"/>
          <w:sz w:val="24"/>
          <w:szCs w:val="24"/>
        </w:rPr>
        <w:t>二、</w:t>
      </w:r>
      <w:r>
        <w:rPr>
          <w:rFonts w:hint="eastAsia" w:ascii="仿宋_GB2312" w:hAnsi="仿宋_GB2312" w:eastAsia="仿宋_GB2312" w:cs="仿宋_GB2312"/>
          <w:sz w:val="24"/>
          <w:szCs w:val="24"/>
          <w:lang w:eastAsia="zh-CN"/>
        </w:rPr>
        <w:t>机构设置</w:t>
      </w:r>
      <w:r>
        <w:rPr>
          <w:rFonts w:ascii="仿宋" w:hAnsi="仿宋" w:eastAsia="仿宋"/>
          <w:sz w:val="24"/>
          <w:szCs w:val="24"/>
        </w:rPr>
        <w:tab/>
      </w:r>
      <w:r>
        <w:rPr>
          <w:rFonts w:hint="eastAsia" w:ascii="仿宋" w:hAnsi="仿宋" w:eastAsia="仿宋"/>
          <w:sz w:val="24"/>
          <w:szCs w:val="24"/>
          <w:lang w:val="en-US" w:eastAsia="zh-CN"/>
        </w:rPr>
        <w:t>1</w:t>
      </w:r>
    </w:p>
    <w:p w14:paraId="6EEF0117">
      <w:pPr>
        <w:pStyle w:val="12"/>
        <w:pageBreakBefore w:val="0"/>
        <w:kinsoku/>
        <w:wordWrap/>
        <w:overflowPunct/>
        <w:topLinePunct w:val="0"/>
        <w:bidi w:val="0"/>
        <w:adjustRightInd w:val="0"/>
        <w:snapToGrid w:val="0"/>
        <w:spacing w:before="0" w:line="440" w:lineRule="exact"/>
        <w:ind w:left="0" w:leftChars="0" w:right="0"/>
        <w:jc w:val="left"/>
        <w:rPr>
          <w:rFonts w:hint="default" w:ascii="仿宋_GB2312" w:hAnsi="仿宋_GB2312" w:eastAsia="仿宋" w:cs="仿宋_GB2312"/>
          <w:sz w:val="24"/>
          <w:szCs w:val="24"/>
          <w:lang w:val="en-US" w:eastAsia="zh-CN"/>
        </w:rPr>
      </w:pPr>
      <w:r>
        <w:rPr>
          <w:rFonts w:hint="eastAsia" w:ascii="仿宋_GB2312" w:hAnsi="仿宋_GB2312" w:eastAsia="仿宋_GB2312" w:cs="仿宋_GB2312"/>
          <w:sz w:val="24"/>
          <w:szCs w:val="24"/>
        </w:rPr>
        <w:t>第二部分 202</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年度单位决算情况说明</w:t>
      </w:r>
      <w:r>
        <w:rPr>
          <w:rFonts w:ascii="仿宋" w:hAnsi="仿宋" w:eastAsia="仿宋"/>
          <w:sz w:val="24"/>
          <w:szCs w:val="24"/>
        </w:rPr>
        <w:tab/>
      </w:r>
      <w:r>
        <w:rPr>
          <w:rFonts w:hint="eastAsia"/>
          <w:sz w:val="24"/>
          <w:szCs w:val="24"/>
          <w:lang w:val="en-US" w:eastAsia="zh-CN"/>
        </w:rPr>
        <w:t>8</w:t>
      </w:r>
    </w:p>
    <w:p w14:paraId="18C79CBD">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 w:cs="仿宋_GB2312"/>
          <w:sz w:val="24"/>
          <w:szCs w:val="24"/>
          <w:lang w:val="en-US" w:eastAsia="zh-CN"/>
        </w:rPr>
      </w:pPr>
      <w:r>
        <w:rPr>
          <w:rFonts w:hint="eastAsia" w:ascii="仿宋_GB2312" w:hAnsi="仿宋_GB2312" w:eastAsia="仿宋_GB2312" w:cs="仿宋_GB2312"/>
          <w:sz w:val="24"/>
          <w:szCs w:val="24"/>
        </w:rPr>
        <w:t>一、收入支出决算总体情况说明</w:t>
      </w:r>
      <w:r>
        <w:rPr>
          <w:rFonts w:ascii="仿宋" w:hAnsi="仿宋" w:eastAsia="仿宋"/>
          <w:sz w:val="24"/>
          <w:szCs w:val="24"/>
        </w:rPr>
        <w:tab/>
      </w:r>
      <w:r>
        <w:rPr>
          <w:rFonts w:hint="eastAsia" w:ascii="仿宋" w:hAnsi="仿宋" w:eastAsia="仿宋"/>
          <w:sz w:val="24"/>
          <w:szCs w:val="24"/>
          <w:lang w:val="en-US" w:eastAsia="zh-CN"/>
        </w:rPr>
        <w:t>8</w:t>
      </w:r>
    </w:p>
    <w:p w14:paraId="2D8EB862">
      <w:pPr>
        <w:pStyle w:val="14"/>
        <w:pageBreakBefore w:val="0"/>
        <w:kinsoku/>
        <w:wordWrap/>
        <w:overflowPunct/>
        <w:topLinePunct w:val="0"/>
        <w:bidi w:val="0"/>
        <w:adjustRightInd w:val="0"/>
        <w:snapToGrid w:val="0"/>
        <w:spacing w:line="440" w:lineRule="exact"/>
        <w:ind w:left="0" w:leftChars="0" w:right="0"/>
        <w:jc w:val="left"/>
        <w:rPr>
          <w:rFonts w:hint="eastAsia" w:ascii="仿宋" w:hAnsi="仿宋" w:eastAsia="仿宋"/>
          <w:sz w:val="24"/>
          <w:szCs w:val="24"/>
          <w:lang w:val="en-US" w:eastAsia="zh-CN"/>
        </w:rPr>
      </w:pPr>
      <w:r>
        <w:rPr>
          <w:rFonts w:hint="eastAsia" w:ascii="仿宋_GB2312" w:hAnsi="仿宋_GB2312" w:eastAsia="仿宋_GB2312" w:cs="仿宋_GB2312"/>
          <w:sz w:val="24"/>
          <w:szCs w:val="24"/>
        </w:rPr>
        <w:t>二、收入决算情况说明</w:t>
      </w:r>
      <w:r>
        <w:rPr>
          <w:rFonts w:ascii="仿宋" w:hAnsi="仿宋" w:eastAsia="仿宋"/>
          <w:sz w:val="24"/>
          <w:szCs w:val="24"/>
        </w:rPr>
        <w:tab/>
      </w:r>
      <w:r>
        <w:rPr>
          <w:rFonts w:hint="eastAsia" w:ascii="仿宋" w:hAnsi="仿宋" w:eastAsia="仿宋"/>
          <w:sz w:val="24"/>
          <w:szCs w:val="24"/>
          <w:lang w:val="en-US" w:eastAsia="zh-CN"/>
        </w:rPr>
        <w:t>8</w:t>
      </w:r>
    </w:p>
    <w:p w14:paraId="26025823">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 w:cs="仿宋_GB2312"/>
          <w:sz w:val="24"/>
          <w:szCs w:val="24"/>
          <w:lang w:val="en-US" w:eastAsia="zh-CN"/>
        </w:rPr>
      </w:pPr>
      <w:r>
        <w:rPr>
          <w:rFonts w:hint="eastAsia" w:ascii="仿宋_GB2312" w:hAnsi="仿宋_GB2312" w:eastAsia="仿宋_GB2312" w:cs="仿宋_GB2312"/>
          <w:sz w:val="24"/>
          <w:szCs w:val="24"/>
        </w:rPr>
        <w:t>三、支出决算情况说明</w:t>
      </w:r>
      <w:r>
        <w:rPr>
          <w:rFonts w:ascii="仿宋" w:hAnsi="仿宋" w:eastAsia="仿宋"/>
          <w:sz w:val="24"/>
          <w:szCs w:val="24"/>
        </w:rPr>
        <w:tab/>
      </w:r>
      <w:r>
        <w:rPr>
          <w:rFonts w:hint="eastAsia" w:ascii="仿宋" w:hAnsi="仿宋" w:eastAsia="仿宋"/>
          <w:sz w:val="24"/>
          <w:szCs w:val="24"/>
          <w:lang w:val="en-US" w:eastAsia="zh-CN"/>
        </w:rPr>
        <w:t>9</w:t>
      </w:r>
    </w:p>
    <w:p w14:paraId="14934609">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 w:cs="仿宋_GB2312"/>
          <w:sz w:val="24"/>
          <w:szCs w:val="24"/>
          <w:lang w:val="en-US" w:eastAsia="zh-CN"/>
        </w:rPr>
      </w:pPr>
      <w:r>
        <w:rPr>
          <w:rFonts w:hint="eastAsia" w:ascii="仿宋_GB2312" w:hAnsi="仿宋_GB2312" w:eastAsia="仿宋_GB2312" w:cs="仿宋_GB2312"/>
          <w:sz w:val="24"/>
          <w:szCs w:val="24"/>
        </w:rPr>
        <w:t>四、财政拨款收入支出决算总体情况说明</w:t>
      </w:r>
      <w:r>
        <w:rPr>
          <w:rFonts w:ascii="仿宋" w:hAnsi="仿宋" w:eastAsia="仿宋"/>
          <w:sz w:val="24"/>
          <w:szCs w:val="24"/>
        </w:rPr>
        <w:tab/>
      </w:r>
      <w:r>
        <w:rPr>
          <w:rFonts w:hint="eastAsia" w:ascii="仿宋" w:hAnsi="仿宋" w:eastAsia="仿宋"/>
          <w:sz w:val="24"/>
          <w:szCs w:val="24"/>
          <w:lang w:val="en-US" w:eastAsia="zh-CN"/>
        </w:rPr>
        <w:t>10</w:t>
      </w:r>
    </w:p>
    <w:p w14:paraId="080DC0F7">
      <w:pPr>
        <w:pStyle w:val="14"/>
        <w:pageBreakBefore w:val="0"/>
        <w:kinsoku/>
        <w:wordWrap/>
        <w:overflowPunct/>
        <w:topLinePunct w:val="0"/>
        <w:bidi w:val="0"/>
        <w:adjustRightInd w:val="0"/>
        <w:snapToGrid w:val="0"/>
        <w:spacing w:line="440" w:lineRule="exact"/>
        <w:ind w:left="0" w:leftChars="0" w:right="0"/>
        <w:jc w:val="left"/>
        <w:rPr>
          <w:rFonts w:hint="default" w:ascii="仿宋" w:hAnsi="仿宋" w:eastAsia="仿宋"/>
          <w:sz w:val="24"/>
          <w:szCs w:val="24"/>
          <w:lang w:val="en-US" w:eastAsia="zh-CN"/>
        </w:rPr>
      </w:pPr>
      <w:r>
        <w:rPr>
          <w:rFonts w:hint="eastAsia" w:ascii="仿宋_GB2312" w:hAnsi="仿宋_GB2312" w:eastAsia="仿宋_GB2312" w:cs="仿宋_GB2312"/>
          <w:sz w:val="24"/>
          <w:szCs w:val="24"/>
        </w:rPr>
        <w:t>五、一般公共预算财政拨款支出决算情况说明</w:t>
      </w:r>
      <w:r>
        <w:rPr>
          <w:rFonts w:ascii="仿宋" w:hAnsi="仿宋" w:eastAsia="仿宋"/>
          <w:sz w:val="24"/>
          <w:szCs w:val="24"/>
        </w:rPr>
        <w:tab/>
      </w:r>
      <w:r>
        <w:rPr>
          <w:rFonts w:hint="eastAsia" w:ascii="仿宋" w:hAnsi="仿宋" w:eastAsia="仿宋"/>
          <w:sz w:val="24"/>
          <w:szCs w:val="24"/>
          <w:lang w:val="en-US" w:eastAsia="zh-CN"/>
        </w:rPr>
        <w:t>10</w:t>
      </w:r>
    </w:p>
    <w:p w14:paraId="3DBAA748">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 w:cs="仿宋_GB2312"/>
          <w:sz w:val="24"/>
          <w:szCs w:val="24"/>
          <w:lang w:val="en-US" w:eastAsia="zh-CN"/>
        </w:rPr>
      </w:pPr>
      <w:r>
        <w:rPr>
          <w:rFonts w:hint="eastAsia" w:ascii="仿宋_GB2312" w:hAnsi="仿宋_GB2312" w:eastAsia="仿宋_GB2312" w:cs="仿宋_GB2312"/>
          <w:sz w:val="24"/>
          <w:szCs w:val="24"/>
        </w:rPr>
        <w:t>六、一般公共预算财政拨款基本支出决算情况说明</w:t>
      </w:r>
      <w:r>
        <w:rPr>
          <w:rFonts w:ascii="仿宋" w:hAnsi="仿宋" w:eastAsia="仿宋"/>
          <w:sz w:val="24"/>
          <w:szCs w:val="24"/>
        </w:rPr>
        <w:tab/>
      </w:r>
      <w:r>
        <w:rPr>
          <w:rFonts w:hint="eastAsia" w:ascii="仿宋" w:hAnsi="仿宋" w:eastAsia="仿宋"/>
          <w:sz w:val="24"/>
          <w:szCs w:val="24"/>
          <w:lang w:val="en-US" w:eastAsia="zh-CN"/>
        </w:rPr>
        <w:t>13</w:t>
      </w:r>
    </w:p>
    <w:p w14:paraId="594BF45D">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 w:cs="仿宋_GB2312"/>
          <w:sz w:val="24"/>
          <w:szCs w:val="24"/>
          <w:lang w:val="en-US" w:eastAsia="zh-CN"/>
        </w:rPr>
      </w:pPr>
      <w:r>
        <w:rPr>
          <w:rFonts w:hint="eastAsia" w:ascii="仿宋_GB2312" w:hAnsi="仿宋_GB2312" w:eastAsia="仿宋_GB2312" w:cs="仿宋_GB2312"/>
          <w:sz w:val="24"/>
          <w:szCs w:val="24"/>
        </w:rPr>
        <w:t>七、“三公”经费财政拨款支出决算情况说明</w:t>
      </w:r>
      <w:r>
        <w:rPr>
          <w:rFonts w:ascii="仿宋" w:hAnsi="仿宋" w:eastAsia="仿宋"/>
          <w:sz w:val="24"/>
          <w:szCs w:val="24"/>
        </w:rPr>
        <w:tab/>
      </w:r>
      <w:r>
        <w:rPr>
          <w:rFonts w:hint="eastAsia" w:ascii="仿宋" w:hAnsi="仿宋" w:eastAsia="仿宋"/>
          <w:sz w:val="24"/>
          <w:szCs w:val="24"/>
          <w:lang w:val="en-US" w:eastAsia="zh-CN"/>
        </w:rPr>
        <w:t>14</w:t>
      </w:r>
    </w:p>
    <w:p w14:paraId="4EFEB72C">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 w:cs="仿宋_GB2312"/>
          <w:sz w:val="24"/>
          <w:szCs w:val="24"/>
          <w:lang w:val="en-US" w:eastAsia="zh-CN"/>
        </w:rPr>
      </w:pPr>
      <w:r>
        <w:rPr>
          <w:rFonts w:hint="eastAsia" w:ascii="仿宋_GB2312" w:hAnsi="仿宋_GB2312" w:eastAsia="仿宋_GB2312" w:cs="仿宋_GB2312"/>
          <w:sz w:val="24"/>
          <w:szCs w:val="24"/>
        </w:rPr>
        <w:t>八、政府性基金预算支出决算情况说明</w:t>
      </w:r>
      <w:r>
        <w:rPr>
          <w:rFonts w:ascii="仿宋" w:hAnsi="仿宋" w:eastAsia="仿宋"/>
          <w:sz w:val="24"/>
          <w:szCs w:val="24"/>
        </w:rPr>
        <w:tab/>
      </w:r>
      <w:r>
        <w:rPr>
          <w:rFonts w:hint="eastAsia" w:ascii="仿宋" w:hAnsi="仿宋" w:eastAsia="仿宋"/>
          <w:sz w:val="24"/>
          <w:szCs w:val="24"/>
          <w:lang w:val="en-US" w:eastAsia="zh-CN"/>
        </w:rPr>
        <w:t>15</w:t>
      </w:r>
    </w:p>
    <w:p w14:paraId="50AAC596">
      <w:pPr>
        <w:pStyle w:val="14"/>
        <w:pageBreakBefore w:val="0"/>
        <w:kinsoku/>
        <w:wordWrap/>
        <w:overflowPunct/>
        <w:topLinePunct w:val="0"/>
        <w:bidi w:val="0"/>
        <w:adjustRightInd w:val="0"/>
        <w:snapToGrid w:val="0"/>
        <w:spacing w:line="440" w:lineRule="exact"/>
        <w:ind w:left="0" w:leftChars="0" w:right="0"/>
        <w:jc w:val="left"/>
        <w:rPr>
          <w:rFonts w:hint="eastAsia" w:ascii="仿宋" w:hAnsi="仿宋" w:eastAsia="仿宋"/>
          <w:sz w:val="24"/>
          <w:szCs w:val="24"/>
          <w:lang w:val="en-US" w:eastAsia="zh-CN"/>
        </w:rPr>
      </w:pPr>
      <w:r>
        <w:rPr>
          <w:rFonts w:hint="eastAsia" w:ascii="仿宋_GB2312" w:hAnsi="仿宋_GB2312" w:eastAsia="仿宋_GB2312" w:cs="仿宋_GB2312"/>
          <w:sz w:val="24"/>
          <w:szCs w:val="24"/>
        </w:rPr>
        <w:t>九、国有资本经营预算支出决算情况说明</w:t>
      </w:r>
      <w:r>
        <w:rPr>
          <w:rFonts w:ascii="仿宋" w:hAnsi="仿宋" w:eastAsia="仿宋"/>
          <w:sz w:val="24"/>
          <w:szCs w:val="24"/>
        </w:rPr>
        <w:tab/>
      </w:r>
      <w:r>
        <w:rPr>
          <w:rFonts w:hint="eastAsia" w:ascii="仿宋" w:hAnsi="仿宋" w:eastAsia="仿宋"/>
          <w:sz w:val="24"/>
          <w:szCs w:val="24"/>
          <w:lang w:val="en-US" w:eastAsia="zh-CN"/>
        </w:rPr>
        <w:t>15</w:t>
      </w:r>
    </w:p>
    <w:p w14:paraId="58DB15C6">
      <w:pPr>
        <w:pStyle w:val="14"/>
        <w:pageBreakBefore w:val="0"/>
        <w:kinsoku/>
        <w:wordWrap/>
        <w:overflowPunct/>
        <w:topLinePunct w:val="0"/>
        <w:bidi w:val="0"/>
        <w:adjustRightInd w:val="0"/>
        <w:snapToGrid w:val="0"/>
        <w:spacing w:line="440" w:lineRule="exact"/>
        <w:ind w:left="0" w:leftChars="0" w:right="0"/>
        <w:jc w:val="left"/>
        <w:rPr>
          <w:rFonts w:hint="eastAsia" w:ascii="仿宋" w:hAnsi="仿宋" w:eastAsia="仿宋"/>
          <w:sz w:val="24"/>
          <w:szCs w:val="24"/>
          <w:lang w:val="en-US" w:eastAsia="zh-CN"/>
        </w:rPr>
      </w:pPr>
      <w:r>
        <w:rPr>
          <w:rFonts w:hint="eastAsia" w:ascii="仿宋_GB2312" w:hAnsi="仿宋_GB2312" w:eastAsia="仿宋_GB2312" w:cs="仿宋_GB2312"/>
          <w:sz w:val="24"/>
          <w:szCs w:val="24"/>
        </w:rPr>
        <w:t>十、其他重要事项的情况说明</w:t>
      </w:r>
      <w:r>
        <w:rPr>
          <w:rFonts w:ascii="仿宋" w:hAnsi="仿宋" w:eastAsia="仿宋"/>
          <w:sz w:val="24"/>
          <w:szCs w:val="24"/>
        </w:rPr>
        <w:tab/>
      </w:r>
      <w:r>
        <w:rPr>
          <w:rFonts w:hint="eastAsia" w:ascii="仿宋" w:hAnsi="仿宋" w:eastAsia="仿宋"/>
          <w:sz w:val="24"/>
          <w:szCs w:val="24"/>
          <w:lang w:val="en-US" w:eastAsia="zh-CN"/>
        </w:rPr>
        <w:t>16</w:t>
      </w:r>
    </w:p>
    <w:p w14:paraId="43660C5D">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第三部分 名词解释</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lang w:val="en-US" w:eastAsia="zh-CN"/>
        </w:rPr>
        <w:t>18</w:t>
      </w:r>
    </w:p>
    <w:p w14:paraId="28F8C5AE">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第四部分 附件</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lang w:val="en-US" w:eastAsia="zh-CN"/>
        </w:rPr>
        <w:t>19</w:t>
      </w:r>
    </w:p>
    <w:p w14:paraId="68015385">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第五部分 附表</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lang w:val="en-US" w:eastAsia="zh-CN"/>
        </w:rPr>
        <w:t>35</w:t>
      </w:r>
    </w:p>
    <w:p w14:paraId="49579BCE">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一、收入支出决算总表</w:t>
      </w:r>
    </w:p>
    <w:p w14:paraId="0CBA358F">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二、收入决算表</w:t>
      </w:r>
    </w:p>
    <w:p w14:paraId="64DDE257">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三、支出决算表</w:t>
      </w:r>
    </w:p>
    <w:p w14:paraId="14C2D720">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四、财政拨款收入支出决算总表</w:t>
      </w:r>
      <w:r>
        <w:rPr>
          <w:rFonts w:hint="eastAsia" w:ascii="仿宋_GB2312" w:hAnsi="仿宋_GB2312" w:eastAsia="仿宋_GB2312" w:cs="仿宋_GB2312"/>
          <w:sz w:val="24"/>
          <w:szCs w:val="24"/>
          <w:lang w:eastAsia="zh-CN"/>
        </w:rPr>
        <w:t>。</w:t>
      </w:r>
    </w:p>
    <w:p w14:paraId="73A613DD">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五、财政拨款支出决算明细</w:t>
      </w:r>
    </w:p>
    <w:p w14:paraId="63BCAB01">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六、一般公共预算财政拨款支出决算表</w:t>
      </w:r>
    </w:p>
    <w:p w14:paraId="65178D38">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七、一般公共预算财政拨款支出决算明细表</w:t>
      </w:r>
    </w:p>
    <w:p w14:paraId="6CF8FB08">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八、</w:t>
      </w:r>
      <w:r>
        <w:rPr>
          <w:rFonts w:hint="eastAsia" w:ascii="仿宋_GB2312" w:hAnsi="仿宋_GB2312" w:eastAsia="仿宋_GB2312" w:cs="仿宋_GB2312"/>
          <w:sz w:val="24"/>
          <w:szCs w:val="24"/>
        </w:rPr>
        <w:t>一般公共预算财政拨款基本支出决算</w:t>
      </w:r>
      <w:r>
        <w:rPr>
          <w:rFonts w:hint="eastAsia" w:ascii="仿宋_GB2312" w:hAnsi="仿宋_GB2312" w:eastAsia="仿宋_GB2312" w:cs="仿宋_GB2312"/>
          <w:sz w:val="24"/>
          <w:szCs w:val="24"/>
          <w:lang w:eastAsia="zh-CN"/>
        </w:rPr>
        <w:t>明细</w:t>
      </w:r>
      <w:r>
        <w:rPr>
          <w:rFonts w:hint="eastAsia" w:ascii="仿宋_GB2312" w:hAnsi="仿宋_GB2312" w:eastAsia="仿宋_GB2312" w:cs="仿宋_GB2312"/>
          <w:sz w:val="24"/>
          <w:szCs w:val="24"/>
        </w:rPr>
        <w:t>表</w:t>
      </w:r>
    </w:p>
    <w:p w14:paraId="1E8263BA">
      <w:pPr>
        <w:pStyle w:val="14"/>
        <w:pageBreakBefore w:val="0"/>
        <w:kinsoku/>
        <w:wordWrap/>
        <w:overflowPunct/>
        <w:topLinePunct w:val="0"/>
        <w:bidi w:val="0"/>
        <w:adjustRightInd w:val="0"/>
        <w:snapToGrid w:val="0"/>
        <w:spacing w:line="440" w:lineRule="exact"/>
        <w:ind w:left="0" w:leftChars="0" w:right="0"/>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九、一般公共预算财政拨款项目支出决算表</w:t>
      </w:r>
    </w:p>
    <w:p w14:paraId="1762697E">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十、政府性基金预算财政拨款收入支出决算表</w:t>
      </w:r>
    </w:p>
    <w:p w14:paraId="261780DD">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十一、国有资本经营预算财政拨款收入支出决算表</w:t>
      </w:r>
    </w:p>
    <w:p w14:paraId="7A866E03">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十二、</w:t>
      </w:r>
      <w:r>
        <w:rPr>
          <w:rFonts w:hint="eastAsia" w:ascii="仿宋_GB2312" w:hAnsi="仿宋_GB2312" w:eastAsia="仿宋_GB2312" w:cs="仿宋_GB2312"/>
          <w:sz w:val="24"/>
          <w:szCs w:val="24"/>
          <w:lang w:val="en-US" w:eastAsia="zh-CN"/>
        </w:rPr>
        <w:t>国有资本经营预算财政拨款支出决算表</w:t>
      </w:r>
    </w:p>
    <w:p w14:paraId="5DFD3104">
      <w:pPr>
        <w:pStyle w:val="14"/>
        <w:pageBreakBefore w:val="0"/>
        <w:kinsoku/>
        <w:wordWrap/>
        <w:overflowPunct/>
        <w:topLinePunct w:val="0"/>
        <w:bidi w:val="0"/>
        <w:adjustRightInd w:val="0"/>
        <w:snapToGrid w:val="0"/>
        <w:spacing w:line="440" w:lineRule="exact"/>
        <w:ind w:left="0" w:leftChars="0" w:righ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十三、财政拨款“三公”经费支出决算表</w:t>
      </w:r>
    </w:p>
    <w:p w14:paraId="07E3613F">
      <w:pPr>
        <w:pStyle w:val="3"/>
        <w:pageBreakBefore w:val="0"/>
        <w:kinsoku/>
        <w:wordWrap/>
        <w:overflowPunct/>
        <w:topLinePunct w:val="0"/>
        <w:bidi w:val="0"/>
        <w:ind w:left="0" w:leftChars="0" w:right="0"/>
        <w:jc w:val="center"/>
        <w:rPr>
          <w:rFonts w:hint="eastAsia" w:ascii="黑体" w:hAnsi="黑体" w:eastAsia="黑体"/>
          <w:b w:val="0"/>
          <w:color w:val="auto"/>
          <w:highlight w:val="none"/>
        </w:rPr>
        <w:sectPr>
          <w:headerReference r:id="rId5" w:type="default"/>
          <w:footerReference r:id="rId6" w:type="default"/>
          <w:pgSz w:w="11906" w:h="16838"/>
          <w:pgMar w:top="1440" w:right="1800" w:bottom="898" w:left="1800" w:header="851" w:footer="992" w:gutter="0"/>
          <w:pgNumType w:fmt="decimal"/>
          <w:cols w:space="720" w:num="1"/>
          <w:docGrid w:type="lines" w:linePitch="312" w:charSpace="0"/>
        </w:sectPr>
      </w:pPr>
    </w:p>
    <w:p w14:paraId="45E2B573">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531B51DD">
      <w:pPr>
        <w:pStyle w:val="4"/>
        <w:pageBreakBefore w:val="0"/>
        <w:widowControl w:val="0"/>
        <w:kinsoku/>
        <w:overflowPunct/>
        <w:topLinePunct w:val="0"/>
        <w:autoSpaceDE/>
        <w:autoSpaceDN/>
        <w:bidi w:val="0"/>
        <w:adjustRightInd/>
        <w:spacing w:line="440" w:lineRule="exact"/>
        <w:textAlignment w:val="auto"/>
        <w:rPr>
          <w:rFonts w:hint="eastAsia" w:ascii="Times New Roman" w:hAnsi="Times New Roman" w:eastAsia="黑体"/>
          <w:b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47229B9A">
      <w:pPr>
        <w:pageBreakBefore w:val="0"/>
        <w:widowControl w:val="0"/>
        <w:kinsoku/>
        <w:wordWrap w:val="0"/>
        <w:overflowPunct/>
        <w:topLinePunct w:val="0"/>
        <w:autoSpaceDE/>
        <w:autoSpaceDN/>
        <w:bidi w:val="0"/>
        <w:adjustRightInd/>
        <w:spacing w:line="440" w:lineRule="exact"/>
        <w:ind w:firstLine="640" w:firstLineChars="200"/>
        <w:jc w:val="left"/>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rPr>
        <w:t>马边彝族自治县三河口</w:t>
      </w:r>
      <w:r>
        <w:rPr>
          <w:rFonts w:hint="eastAsia" w:ascii="仿宋_GB2312" w:hAnsi="仿宋_GB2312" w:eastAsia="仿宋_GB2312" w:cs="仿宋_GB2312"/>
          <w:color w:val="000000"/>
          <w:sz w:val="32"/>
          <w:szCs w:val="32"/>
          <w:u w:val="none"/>
          <w:lang w:val="en-US" w:eastAsia="zh-CN"/>
        </w:rPr>
        <w:t>镇</w:t>
      </w:r>
      <w:r>
        <w:rPr>
          <w:rFonts w:hint="eastAsia" w:ascii="仿宋_GB2312" w:hAnsi="仿宋_GB2312" w:eastAsia="仿宋_GB2312" w:cs="仿宋_GB2312"/>
          <w:color w:val="000000"/>
          <w:sz w:val="32"/>
          <w:szCs w:val="32"/>
          <w:u w:val="none"/>
        </w:rPr>
        <w:t>中心校是一所彝族地区全日制乡镇寄宿制小学。（统一社会信用代码</w:t>
      </w:r>
      <w:r>
        <w:rPr>
          <w:rFonts w:hint="eastAsia" w:ascii="仿宋_GB2312" w:hAnsi="仿宋_GB2312" w:eastAsia="仿宋_GB2312" w:cs="仿宋_GB2312"/>
          <w:color w:val="000000"/>
          <w:sz w:val="32"/>
          <w:szCs w:val="32"/>
          <w:u w:val="none"/>
          <w:lang w:val="en-US" w:eastAsia="zh-CN"/>
        </w:rPr>
        <w:t>125110337891100030</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学校全面贯彻国家教育方针政策、法规，培养学生的创新精神与实践能力，使之成为社会主义事业的建设者和接班人。</w:t>
      </w:r>
    </w:p>
    <w:p w14:paraId="7346F72B">
      <w:pPr>
        <w:pageBreakBefore w:val="0"/>
        <w:widowControl w:val="0"/>
        <w:kinsoku/>
        <w:wordWrap/>
        <w:overflowPunct/>
        <w:topLinePunct w:val="0"/>
        <w:autoSpaceDE/>
        <w:autoSpaceDN/>
        <w:bidi w:val="0"/>
        <w:adjustRightInd/>
        <w:spacing w:line="44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（2）主要宗旨：</w:t>
      </w:r>
      <w:r>
        <w:rPr>
          <w:rFonts w:hint="eastAsia" w:ascii="仿宋_GB2312" w:hAnsi="仿宋_GB2312" w:eastAsia="仿宋_GB2312" w:cs="仿宋_GB2312"/>
          <w:color w:val="000000"/>
          <w:sz w:val="32"/>
          <w:szCs w:val="32"/>
          <w:u w:val="none"/>
        </w:rPr>
        <w:t>负责三河口</w:t>
      </w:r>
      <w:r>
        <w:rPr>
          <w:rFonts w:hint="eastAsia" w:ascii="仿宋_GB2312" w:hAnsi="仿宋_GB2312" w:eastAsia="仿宋_GB2312" w:cs="仿宋_GB2312"/>
          <w:color w:val="000000"/>
          <w:sz w:val="32"/>
          <w:szCs w:val="32"/>
          <w:u w:val="none"/>
          <w:lang w:val="en-US" w:eastAsia="zh-CN"/>
        </w:rPr>
        <w:t>镇</w:t>
      </w:r>
      <w:r>
        <w:rPr>
          <w:rFonts w:hint="eastAsia" w:ascii="仿宋_GB2312" w:hAnsi="仿宋_GB2312" w:eastAsia="仿宋_GB2312" w:cs="仿宋_GB2312"/>
          <w:color w:val="000000"/>
          <w:sz w:val="32"/>
          <w:szCs w:val="32"/>
          <w:u w:val="none"/>
        </w:rPr>
        <w:t>辖区内学生义务教育阶段小学阶段教育教学和学前双语教育工作。</w:t>
      </w:r>
    </w:p>
    <w:p w14:paraId="0DE2807C">
      <w:pPr>
        <w:pStyle w:val="4"/>
        <w:pageBreakBefore w:val="0"/>
        <w:widowControl w:val="0"/>
        <w:kinsoku/>
        <w:wordWrap/>
        <w:overflowPunct/>
        <w:topLinePunct w:val="0"/>
        <w:autoSpaceDE/>
        <w:autoSpaceDN/>
        <w:bidi w:val="0"/>
        <w:adjustRightInd/>
        <w:spacing w:line="440" w:lineRule="exact"/>
        <w:textAlignment w:val="auto"/>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p>
    <w:p w14:paraId="3D7A88ED">
      <w:pPr>
        <w:pageBreakBefore w:val="0"/>
        <w:widowControl w:val="0"/>
        <w:numPr>
          <w:ilvl w:val="0"/>
          <w:numId w:val="0"/>
        </w:numPr>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马边彝族自治县三河口镇中心校下属二级</w:t>
      </w:r>
      <w:r>
        <w:rPr>
          <w:rFonts w:hint="eastAsia" w:ascii="仿宋_GB2312" w:hAnsi="仿宋" w:eastAsia="仿宋_GB2312" w:cs="Times New Roman"/>
          <w:sz w:val="32"/>
          <w:szCs w:val="32"/>
          <w:lang w:eastAsia="zh-CN"/>
        </w:rPr>
        <w:t>预算</w:t>
      </w:r>
      <w:r>
        <w:rPr>
          <w:rFonts w:hint="eastAsia" w:ascii="仿宋_GB2312" w:hAnsi="仿宋" w:eastAsia="仿宋_GB2312" w:cs="Times New Roman"/>
          <w:sz w:val="32"/>
          <w:szCs w:val="32"/>
        </w:rPr>
        <w:t>单位</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个，其中行政单位</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个，参照公务员法管理的事业单位</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个，其他事业单位</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个。</w:t>
      </w:r>
    </w:p>
    <w:p w14:paraId="68988073">
      <w:pPr>
        <w:pageBreakBefore w:val="0"/>
        <w:widowControl w:val="0"/>
        <w:numPr>
          <w:ilvl w:val="0"/>
          <w:numId w:val="0"/>
        </w:numPr>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纳入马边彝族自治县三河口镇中心校</w:t>
      </w:r>
      <w:r>
        <w:rPr>
          <w:rFonts w:hint="eastAsia" w:ascii="仿宋_GB2312" w:hAnsi="仿宋" w:eastAsia="仿宋_GB2312" w:cs="Times New Roman"/>
          <w:sz w:val="32"/>
          <w:szCs w:val="32"/>
          <w:lang w:eastAsia="zh-CN"/>
        </w:rPr>
        <w:t>2025年度</w:t>
      </w:r>
      <w:r>
        <w:rPr>
          <w:rFonts w:hint="eastAsia" w:ascii="仿宋_GB2312" w:hAnsi="仿宋" w:eastAsia="仿宋_GB2312" w:cs="Times New Roman"/>
          <w:sz w:val="32"/>
          <w:szCs w:val="32"/>
        </w:rPr>
        <w:t>部门决算编制范围的二级预算单位包括：</w:t>
      </w:r>
    </w:p>
    <w:p w14:paraId="7FFB5E90">
      <w:pPr>
        <w:pageBreakBefore w:val="0"/>
        <w:widowControl w:val="0"/>
        <w:numPr>
          <w:ilvl w:val="0"/>
          <w:numId w:val="0"/>
        </w:numPr>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我校为独立编制机构，独立核算机构。</w:t>
      </w:r>
    </w:p>
    <w:p w14:paraId="245450F9">
      <w:pPr>
        <w:pageBreakBefore w:val="0"/>
        <w:widowControl w:val="0"/>
        <w:numPr>
          <w:ilvl w:val="0"/>
          <w:numId w:val="0"/>
        </w:numPr>
        <w:kinsoku/>
        <w:wordWrap/>
        <w:overflowPunct/>
        <w:topLinePunct w:val="0"/>
        <w:autoSpaceDE/>
        <w:autoSpaceDN/>
        <w:bidi w:val="0"/>
        <w:adjustRightInd/>
        <w:snapToGrid w:val="0"/>
        <w:spacing w:line="440" w:lineRule="exact"/>
        <w:ind w:firstLine="640" w:firstLineChars="200"/>
        <w:textAlignment w:val="auto"/>
        <w:rPr>
          <w:rFonts w:hint="eastAsia"/>
        </w:rPr>
      </w:pPr>
      <w:r>
        <w:rPr>
          <w:rFonts w:hint="eastAsia" w:ascii="仿宋_GB2312" w:hAnsi="仿宋" w:eastAsia="仿宋_GB2312"/>
          <w:sz w:val="32"/>
          <w:szCs w:val="32"/>
        </w:rPr>
        <w:t>学校为公益一类、全额拨款事业单位。我校领导职数：领导正职1人，实有校长1名；内设机构6个：教务处、总务处、德育处、行政办公室、财务室、少队室。实有教导主任1名，总务主任1名，德育主任1名，财务室报账员1名，办公室主任1名，少先队大队辅导员1名。</w:t>
      </w:r>
    </w:p>
    <w:p w14:paraId="5AD2C4C7">
      <w:pPr>
        <w:pageBreakBefore w:val="0"/>
        <w:widowControl w:val="0"/>
        <w:numPr>
          <w:ilvl w:val="0"/>
          <w:numId w:val="0"/>
        </w:numPr>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人员情况，包括当年变动情况及原因。</w:t>
      </w:r>
    </w:p>
    <w:p w14:paraId="4F4255D1">
      <w:pPr>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截至</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年年末实有在职职工</w:t>
      </w:r>
      <w:r>
        <w:rPr>
          <w:rFonts w:hint="eastAsia" w:ascii="仿宋_GB2312" w:hAnsi="仿宋_GB2312" w:eastAsia="仿宋_GB2312" w:cs="仿宋_GB2312"/>
          <w:sz w:val="32"/>
          <w:szCs w:val="32"/>
          <w:lang w:val="en-US" w:eastAsia="zh-CN"/>
        </w:rPr>
        <w:t>56</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val="en-US" w:eastAsia="zh-CN"/>
        </w:rPr>
        <w:t>在编在岗教师49</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“三支一扶”教师</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新招聘正式在编教师2人，调出在编在岗2人，调进1人，退休0人，“三支一扶”教师辞职4人，新参加工作“三支一扶”2人。</w:t>
      </w:r>
    </w:p>
    <w:p w14:paraId="3D793BA3">
      <w:pPr>
        <w:numPr>
          <w:ilvl w:val="0"/>
          <w:numId w:val="1"/>
        </w:numPr>
        <w:snapToGrid w:val="0"/>
        <w:spacing w:line="520" w:lineRule="exact"/>
        <w:ind w:firstLine="643"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当年取得的主要事业成效。</w:t>
      </w:r>
    </w:p>
    <w:p w14:paraId="131F7A56">
      <w:pPr>
        <w:ind w:firstLine="643" w:firstLineChars="200"/>
        <w:rPr>
          <w:rFonts w:hint="eastAsia"/>
          <w:b/>
          <w:bCs/>
          <w:sz w:val="32"/>
          <w:szCs w:val="32"/>
        </w:rPr>
      </w:pPr>
      <w:r>
        <w:rPr>
          <w:rFonts w:hint="eastAsia"/>
          <w:b/>
          <w:bCs/>
          <w:sz w:val="32"/>
          <w:szCs w:val="32"/>
        </w:rPr>
        <w:t>一、抓好党建工作，筑牢育人根本</w:t>
      </w:r>
    </w:p>
    <w:p w14:paraId="37C622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党建是办学治校的根本保证，我校始终坚持党建引领教育发展，以标准化党支部建设为抓手，推动党建与教育教学深度融合，为学校高质量发展筑牢政治根基。</w:t>
      </w:r>
    </w:p>
    <w:p w14:paraId="5C58F45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强化理论武装：组织全体党员教师开展政治理论学习6次、主题党日活动1</w:t>
      </w:r>
      <w:r>
        <w:rPr>
          <w:rFonts w:hint="eastAsia" w:ascii="仿宋_GB2312" w:hAnsi="仿宋_GB2312" w:eastAsia="仿宋_GB2312" w:cs="仿宋_GB2312"/>
          <w:sz w:val="32"/>
          <w:szCs w:val="32"/>
          <w:lang w:val="en-US" w:eastAsia="zh-CN"/>
        </w:rPr>
        <w:t>0次，深入学习贯彻党的二十大精神</w:t>
      </w:r>
      <w:r>
        <w:rPr>
          <w:rFonts w:hint="eastAsia" w:ascii="仿宋_GB2312" w:hAnsi="仿宋_GB2312" w:eastAsia="仿宋_GB2312" w:cs="仿宋_GB2312"/>
          <w:sz w:val="32"/>
          <w:szCs w:val="32"/>
        </w:rPr>
        <w:t>及教育领域重要政策文件；同步开展师德师风专题教育2场，引导教师严守师德底线，争做“四有”好老师。</w:t>
      </w:r>
    </w:p>
    <w:p w14:paraId="488442E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夯实组织建设：严格落实“三会一课”制度，顺利完成党支部换届选举工作，发展入党积极分子2名；加强党风廉政建设，开展廉政警示教育2次，组织57名教师签订师德师风承诺书，全年无教师违反师德师风情况。</w:t>
      </w:r>
    </w:p>
    <w:p w14:paraId="660E6AF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深化先锋引领：组建“党员教师先锋队”，带头参与控辍保学、送教上门、家访、民族文化进校园等重点工作；组织党员干部慰问退休教师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人次、看望生病教职工3人次，切实为教职工排忧解难，充分发挥党员先锋模范作用。</w:t>
      </w:r>
    </w:p>
    <w:p w14:paraId="52E79C6E">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 聚焦课堂教学，提升办学质量</w:t>
      </w:r>
    </w:p>
    <w:p w14:paraId="4F090BB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校始终将教学质量视为学校生命线，聚焦“让每一个孩子在家门口享受到优质教育”的目标，多维度发力推动教学工作稳步前行。本学年，学校教学质量显著提升，多个班级学科成绩位居全县前列。为进一步巩固提质成果、构建长效育人机制，我校从目标引领、制度保障、过程监控、课堂改革、师资赋能五个维度精准施策，具体举措如下：</w:t>
      </w:r>
    </w:p>
    <w:p w14:paraId="1A7FB5C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构建四级目标驱动体系：学校层面明确“保底线、促均衡、创特色”总体目标；教师层面将教学成效细化为“学生进步率、家长满意度、学科贡献值”三项指标并与奖惩挂钩；学生层面设立多元激励奖项，覆盖不同层次学生；家校层面推行《家校共育目标卡》，凝聚育人合力。</w:t>
      </w:r>
    </w:p>
    <w:p w14:paraId="6DEBFA0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完善核心管理制度：落实每月“备课、作业、听课”三查制度并公示整改；推行“基础+弹性”作业模式，切实落实“双减”要求；建立住校生生活德育</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rPr>
        <w:t>，通过内务评比、校园责任岗，实现“生活即教育”。</w:t>
      </w:r>
    </w:p>
    <w:p w14:paraId="5F090EC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落实三级过程监控机制：实行校长每周推门听课不少于2节的蹲点制；推行薄弱学科“靶向教研”的教研组集体诊断制；执行“月评估、季通报、年奖惩”的教务处考核制；创新“双师陪伴制”，保障寄宿制学生24小时成长链条不断线。</w:t>
      </w:r>
    </w:p>
    <w:p w14:paraId="052AD5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深化课堂教学改革：抓实课前“三定”、课中“问题导学+小组合作”（精讲15分钟、留白10分钟）、课后“错题档案+个性化辅导”三个关键环节；与县教师进修学校合作开展“订单式”培训，切实提升教师课堂教学实操能力。</w:t>
      </w:r>
    </w:p>
    <w:p w14:paraId="1421218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强化师资专业赋能：实施“铸魂、强能、暖心”三项行动，通过教育故事分享会坚定教师扎根乡村信念；依托“青蓝工程”助力青年教师快速成长；改善教师办公住宿条件、设立子女入学绿色通道，切实解决教师后顾之忧。</w:t>
      </w:r>
    </w:p>
    <w:p w14:paraId="0C0F4F1A">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 推进德育文化，守护学生成长</w:t>
      </w:r>
    </w:p>
    <w:p w14:paraId="55B9943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育人之本，在于立德铸魂。我校坚持德育为首、文化育人，结合</w:t>
      </w:r>
      <w:r>
        <w:rPr>
          <w:rFonts w:hint="eastAsia" w:ascii="仿宋_GB2312" w:hAnsi="仿宋_GB2312" w:eastAsia="仿宋_GB2312" w:cs="仿宋_GB2312"/>
          <w:sz w:val="32"/>
          <w:szCs w:val="32"/>
          <w:lang w:val="en-US" w:eastAsia="zh-CN"/>
        </w:rPr>
        <w:t>彝</w:t>
      </w:r>
      <w:r>
        <w:rPr>
          <w:rFonts w:hint="eastAsia" w:ascii="仿宋_GB2312" w:hAnsi="仿宋_GB2312" w:eastAsia="仿宋_GB2312" w:cs="仿宋_GB2312"/>
          <w:sz w:val="32"/>
          <w:szCs w:val="32"/>
        </w:rPr>
        <w:t>族地区学生身心发展特点，构建全方位、多层次的育人体系，为学生健康成长保驾护航。</w:t>
      </w:r>
    </w:p>
    <w:p w14:paraId="1F081F3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深化民族文化融合：实施“双语浸润计划”，破解少数民族儿童语言壁垒；开设学习常规训练营，将习惯养成与实践活动深度融合；组织教师学习民族习俗与日常用语，以文化认同构建和谐师生关系，让民族团结的种子在校园生根发芽。</w:t>
      </w:r>
    </w:p>
    <w:p w14:paraId="7AA5452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筑牢校园安全防线：常态化开展防溺水、防火、交通、食品安全等专题教育4次，组织应急演练9次；落实教师就餐监督制度，全年无食品安全事故；排查整改安全隐患16处，实现校园安全零事故。</w:t>
      </w:r>
    </w:p>
    <w:p w14:paraId="35D4750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关爱特殊群体成长：为7名残疾学生建立专属关爱档案，常态化开展心理辅导与学业帮扶；严格落实营养餐改善计划，保障学生营养均衡，切实提升学生在校幸福感。</w:t>
      </w:r>
    </w:p>
    <w:p w14:paraId="2A3CAF90">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 落实五育并举，打造办学特色</w:t>
      </w:r>
    </w:p>
    <w:p w14:paraId="0AD6FFB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在夯实教学质量的基础上，我校坚持“五育并举”育人方针，立足民族地区特色，以艺体教育为重要载体，促进学生全面发展，着力打造具有辨识度的办学品牌。</w:t>
      </w:r>
    </w:p>
    <w:p w14:paraId="5DCEF37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丰富艺体活动载体：组织学生积极参与艺术节、篮球比赛、足球比赛、演讲比赛等赛事活动，师生均取得优异成绩，充分展现全校师生积极向上的精神风貌。</w:t>
      </w:r>
    </w:p>
    <w:p w14:paraId="672FF55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做强特色社团建设：开设“篮球训练营”“校园足球队”等特色社团，覆盖全校85%的学生。其中篮球训练营队员在片区及县级比赛中表现突出，篮球运动成为学生课间热门活动，有效促进学生身心健康发展。</w:t>
      </w:r>
    </w:p>
    <w:p w14:paraId="141ECFAB">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 做好后勤保障，服务学校发展</w:t>
      </w:r>
    </w:p>
    <w:p w14:paraId="1C71A30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后勤工作是学校各项事业发展的坚实后盾。我校立足乡镇中心校职能定位，不断优化后勤管理、提升服务保障能力，同时以“中心校集中办学+一村一幼”模式为抓手，全力带动区域教育均衡发展。</w:t>
      </w:r>
    </w:p>
    <w:p w14:paraId="12A8CCE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改善办学硬件条件：积极争取专项资金，修缮学生宿舍楼门窗、洗手池，安装师生热水器56台，硬化校园操场；采购学生课桌凳730套、教师电脑15台、打印机5台、复印件2台，升级多媒体教室设备，为16个班级配备智慧黑板；更新食堂烹饪及消毒设备5套、更换学生餐桌36张，改造食品储藏间30平方米，规范食材储存流程，切实提升教学信息化水平与餐饮服务质量。</w:t>
      </w:r>
    </w:p>
    <w:p w14:paraId="23E0BA3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规范学校内部管理：严格执行财务制度，坚持专款专用，规范报销流程；加强学校资产台账管理，定期盘点校产，确保资产账实相符。</w:t>
      </w:r>
    </w:p>
    <w:p w14:paraId="6A3013B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统筹乡镇教育资源：自2024年9月起，统筹推进辖区内教育资源整合工作，将所有村小撤并至中心校集中办学，实行全寄宿制管理，各村仅保留“一村一幼”</w:t>
      </w:r>
      <w:r>
        <w:rPr>
          <w:rFonts w:hint="eastAsia" w:ascii="仿宋_GB2312" w:hAnsi="仿宋_GB2312" w:eastAsia="仿宋_GB2312" w:cs="仿宋_GB2312"/>
          <w:sz w:val="32"/>
          <w:szCs w:val="32"/>
          <w:lang w:val="en-US" w:eastAsia="zh-CN"/>
        </w:rPr>
        <w:t>教</w:t>
      </w:r>
      <w:r>
        <w:rPr>
          <w:rFonts w:hint="eastAsia" w:ascii="仿宋_GB2312" w:hAnsi="仿宋_GB2312" w:eastAsia="仿宋_GB2312" w:cs="仿宋_GB2312"/>
          <w:sz w:val="32"/>
          <w:szCs w:val="32"/>
        </w:rPr>
        <w:t>学点。通过资源整合，实现师资、设备、课程等教育资源的集中调配与高效利用，有效缩小区域内教育差距，推动全镇教育质量整体提升。</w:t>
      </w:r>
    </w:p>
    <w:p w14:paraId="12E991E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、明确努力方向，规划</w:t>
      </w:r>
      <w:r>
        <w:rPr>
          <w:rFonts w:hint="eastAsia" w:ascii="仿宋_GB2312" w:hAnsi="仿宋_GB2312" w:eastAsia="仿宋_GB2312" w:cs="仿宋_GB2312"/>
          <w:b/>
          <w:bCs/>
          <w:sz w:val="32"/>
          <w:szCs w:val="32"/>
          <w:lang w:eastAsia="zh-CN"/>
        </w:rPr>
        <w:t>下一</w:t>
      </w:r>
      <w:r>
        <w:rPr>
          <w:rFonts w:hint="eastAsia" w:ascii="仿宋_GB2312" w:hAnsi="仿宋_GB2312" w:eastAsia="仿宋_GB2312" w:cs="仿宋_GB2312"/>
          <w:b/>
          <w:bCs/>
          <w:sz w:val="32"/>
          <w:szCs w:val="32"/>
        </w:rPr>
        <w:t>步思路</w:t>
      </w:r>
    </w:p>
    <w:p w14:paraId="4BFA459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新学年，我校将以问题为导向、以发展为目标，继续立足民族地区办学实际，凝心聚力、锐意进取，重点推进以下工作，奋力开创学校教育事业发展新局面：</w:t>
      </w:r>
    </w:p>
    <w:p w14:paraId="58457C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深化党建引领作用：持续推动党建与安全、德育、教学、教研、控辍保学等中心工作深度融合，常态化开展慰问帮扶活动，充分发挥党支部战斗堡垒和党员先锋模范作用。</w:t>
      </w:r>
    </w:p>
    <w:p w14:paraId="27EE40C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持续优化教学管理：加大骨干教师培养力度，申报</w:t>
      </w:r>
      <w:r>
        <w:rPr>
          <w:rFonts w:hint="eastAsia" w:ascii="仿宋_GB2312" w:hAnsi="仿宋_GB2312" w:eastAsia="仿宋_GB2312" w:cs="仿宋_GB2312"/>
          <w:sz w:val="32"/>
          <w:szCs w:val="32"/>
          <w:lang w:val="en-US" w:eastAsia="zh-CN"/>
        </w:rPr>
        <w:t>民</w:t>
      </w:r>
      <w:r>
        <w:rPr>
          <w:rFonts w:hint="eastAsia" w:ascii="仿宋_GB2312" w:hAnsi="仿宋_GB2312" w:eastAsia="仿宋_GB2312" w:cs="仿宋_GB2312"/>
          <w:sz w:val="32"/>
          <w:szCs w:val="32"/>
        </w:rPr>
        <w:t>族地区教育教学专项课题，推动教研成果转化；深化课堂改革，优化个性化辅导模式，针对六年级学生开展专项培优工作，集中培养有望考入县昌群励志班、巴蜀云班的拔尖学生，全面提升教学工作实效。</w:t>
      </w:r>
    </w:p>
    <w:p w14:paraId="6FFBB9B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完善家校协同机制：搭建多元化家校沟通平台，开展家长课堂、亲子活动等，引导家长主动参与家校共育，形成教育合力。</w:t>
      </w:r>
    </w:p>
    <w:p w14:paraId="138A2AF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改善办学硬件条件：积极争取项目资金，新建学生综合楼，更新功能室设备，扩大信息化教学覆盖面，推动教育数字化转型；重点解决教师住宿紧张、学生住宿床位不足的问题，切实改善师生在校居住条件。</w:t>
      </w:r>
    </w:p>
    <w:p w14:paraId="4B9E677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推进特色贯通培养：构建“基础培养+特长提升”的贯通式育人模式，重点加强篮球、足球、摔跤等特色艺体项目建设，完善梯队培养体系，促进学生特长发展。</w:t>
      </w:r>
    </w:p>
    <w:p w14:paraId="03FCD6BD">
      <w:pPr>
        <w:ind w:firstLine="640" w:firstLineChars="200"/>
        <w:rPr>
          <w:rFonts w:hint="eastAsia"/>
        </w:rPr>
      </w:pPr>
      <w:r>
        <w:rPr>
          <w:rFonts w:hint="eastAsia" w:ascii="仿宋_GB2312" w:hAnsi="仿宋_GB2312" w:eastAsia="仿宋_GB2312" w:cs="仿宋_GB2312"/>
          <w:sz w:val="32"/>
          <w:szCs w:val="32"/>
        </w:rPr>
        <w:t>民族教育，道阻且长，行则将至；育人初心，步履不停，未来可期。新学年，我们将以此次会议为新的起点，秉持办好民族地区教育的初心，携手全体师生，以“时不我待、只争朝夕”的干劲，以“脚踏实地、精益求精”的作风，深耕质量立校之路，打造民族特色品牌，让每一个孩子都能在家门口绽放光彩，为三河口镇教育事业的高质量发展贡献力量！</w:t>
      </w:r>
    </w:p>
    <w:p w14:paraId="374B8F9A">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065FD5D0">
      <w:pPr>
        <w:pStyle w:val="3"/>
        <w:numPr>
          <w:ilvl w:val="0"/>
          <w:numId w:val="2"/>
        </w:numPr>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bookmarkStart w:id="12" w:name="_Toc15377205"/>
      <w:bookmarkStart w:id="13" w:name="_Toc15396603"/>
    </w:p>
    <w:p w14:paraId="06EA0B19">
      <w:pPr>
        <w:pStyle w:val="3"/>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Style w:val="30"/>
          <w:rFonts w:hint="eastAsia" w:ascii="Times New Roman" w:hAnsi="Times New Roman" w:eastAsia="黑体"/>
          <w:b w:val="0"/>
          <w:bCs/>
          <w:color w:val="auto"/>
          <w:highlight w:val="none"/>
        </w:rPr>
      </w:pPr>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bCs/>
          <w:color w:val="auto"/>
          <w:highlight w:val="none"/>
        </w:rPr>
        <w:t>入支出决算总体情况说明</w:t>
      </w:r>
      <w:bookmarkEnd w:id="12"/>
      <w:bookmarkEnd w:id="13"/>
    </w:p>
    <w:p w14:paraId="383D046C">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1286.97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总计各增加29.73万元，增加2.51%。主要变动原因是工资福利、住房公</w:t>
      </w:r>
      <w:r>
        <w:rPr>
          <w:rFonts w:hint="eastAsia" w:eastAsia="仿宋_GB2312" w:cs="仿宋_GB2312"/>
          <w:color w:val="auto"/>
          <w:sz w:val="32"/>
          <w:szCs w:val="32"/>
          <w:highlight w:val="none"/>
          <w:lang w:eastAsia="zh-CN"/>
        </w:rPr>
        <w:t>积金</w:t>
      </w:r>
      <w:r>
        <w:rPr>
          <w:rFonts w:hint="eastAsia" w:ascii="Times New Roman" w:hAnsi="Times New Roman" w:eastAsia="仿宋_GB2312" w:cs="仿宋_GB2312"/>
          <w:color w:val="auto"/>
          <w:sz w:val="32"/>
          <w:szCs w:val="32"/>
          <w:highlight w:val="none"/>
        </w:rPr>
        <w:t>、社保费增加等。幼儿园增加一村一幼劳务费增加，另外先家普小学学生住宿楼新</w:t>
      </w:r>
      <w:r>
        <w:rPr>
          <w:rFonts w:hint="eastAsia" w:eastAsia="仿宋_GB2312" w:cs="仿宋_GB2312"/>
          <w:color w:val="auto"/>
          <w:sz w:val="32"/>
          <w:szCs w:val="32"/>
          <w:highlight w:val="none"/>
          <w:lang w:eastAsia="zh-CN"/>
        </w:rPr>
        <w:t>建</w:t>
      </w:r>
      <w:r>
        <w:rPr>
          <w:rFonts w:hint="eastAsia" w:ascii="Times New Roman" w:hAnsi="Times New Roman" w:eastAsia="仿宋_GB2312" w:cs="仿宋_GB2312"/>
          <w:color w:val="auto"/>
          <w:sz w:val="32"/>
          <w:szCs w:val="32"/>
          <w:highlight w:val="none"/>
        </w:rPr>
        <w:t>项目支出146</w:t>
      </w:r>
      <w:r>
        <w:rPr>
          <w:rFonts w:hint="eastAsia"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rPr>
        <w:t>，新增课后延时</w:t>
      </w:r>
      <w:r>
        <w:rPr>
          <w:rFonts w:hint="eastAsia" w:eastAsia="仿宋_GB2312" w:cs="仿宋_GB2312"/>
          <w:color w:val="auto"/>
          <w:sz w:val="32"/>
          <w:szCs w:val="32"/>
          <w:highlight w:val="none"/>
          <w:lang w:eastAsia="zh-CN"/>
        </w:rPr>
        <w:t>服务</w:t>
      </w:r>
      <w:r>
        <w:rPr>
          <w:rFonts w:hint="eastAsia" w:ascii="Times New Roman" w:hAnsi="Times New Roman" w:eastAsia="仿宋_GB2312" w:cs="仿宋_GB2312"/>
          <w:color w:val="auto"/>
          <w:sz w:val="32"/>
          <w:szCs w:val="32"/>
          <w:highlight w:val="none"/>
        </w:rPr>
        <w:t>费支出71.52万元等。</w:t>
      </w:r>
    </w:p>
    <w:p w14:paraId="4167DE6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60288" behindDoc="1" locked="0" layoutInCell="1" allowOverlap="1">
            <wp:simplePos x="0" y="0"/>
            <wp:positionH relativeFrom="column">
              <wp:posOffset>308610</wp:posOffset>
            </wp:positionH>
            <wp:positionV relativeFrom="paragraph">
              <wp:posOffset>92710</wp:posOffset>
            </wp:positionV>
            <wp:extent cx="5219065" cy="2946400"/>
            <wp:effectExtent l="4445" t="4445" r="15240" b="2095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063925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968CD2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02D744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BE65D7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AC069C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DB05C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3B7EFB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207022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F19CDC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2254A94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b/>
          <w:bCs/>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w:t>
      </w:r>
      <w:r>
        <w:rPr>
          <w:rFonts w:hint="eastAsia" w:eastAsia="仿宋_GB2312" w:cs="仿宋_GB2312"/>
          <w:color w:val="auto"/>
          <w:sz w:val="32"/>
          <w:szCs w:val="32"/>
          <w:highlight w:val="none"/>
          <w:lang w:val="en-US" w:eastAsia="zh-CN"/>
        </w:rPr>
        <w:t>决算</w:t>
      </w:r>
      <w:r>
        <w:rPr>
          <w:rFonts w:hint="eastAsia" w:ascii="Times New Roman" w:hAnsi="Times New Roman" w:eastAsia="仿宋_GB2312" w:cs="仿宋_GB2312"/>
          <w:color w:val="auto"/>
          <w:sz w:val="32"/>
          <w:szCs w:val="32"/>
          <w:highlight w:val="none"/>
          <w:lang w:eastAsia="zh-CN"/>
        </w:rPr>
        <w:t>合计</w:t>
      </w:r>
      <w:r>
        <w:rPr>
          <w:rFonts w:hint="eastAsia" w:ascii="仿宋_GB2312" w:hAnsi="仿宋_GB2312" w:eastAsia="仿宋_GB2312" w:cs="仿宋_GB2312"/>
          <w:sz w:val="32"/>
          <w:szCs w:val="32"/>
        </w:rPr>
        <w:t>1286.97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1205.17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93.64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0.07</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80.8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6.27</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其他收入为课后延时服务费收入。</w:t>
      </w:r>
    </w:p>
    <w:p w14:paraId="3E2311D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1" locked="0" layoutInCell="1" allowOverlap="1">
            <wp:simplePos x="0" y="0"/>
            <wp:positionH relativeFrom="column">
              <wp:posOffset>52070</wp:posOffset>
            </wp:positionH>
            <wp:positionV relativeFrom="paragraph">
              <wp:posOffset>147320</wp:posOffset>
            </wp:positionV>
            <wp:extent cx="5393690" cy="2519680"/>
            <wp:effectExtent l="4445" t="4445" r="12065" b="9525"/>
            <wp:wrapNone/>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00BA9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9949CA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B7FD29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966CA7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1363F1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9B34D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16B98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07B0B1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658D5F8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1286.97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857.39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66.62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429.58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33.37</w:t>
      </w:r>
      <w:r>
        <w:rPr>
          <w:rFonts w:hint="eastAsia" w:ascii="Times New Roman" w:hAnsi="Times New Roman" w:eastAsia="仿宋_GB2312" w:cs="仿宋_GB2312"/>
          <w:color w:val="auto"/>
          <w:sz w:val="32"/>
          <w:szCs w:val="32"/>
          <w:highlight w:val="none"/>
          <w:lang w:eastAsia="zh-CN"/>
        </w:rPr>
        <w:t>%；</w:t>
      </w:r>
    </w:p>
    <w:p w14:paraId="6137057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1" locked="0" layoutInCell="1" allowOverlap="1">
            <wp:simplePos x="0" y="0"/>
            <wp:positionH relativeFrom="column">
              <wp:posOffset>279400</wp:posOffset>
            </wp:positionH>
            <wp:positionV relativeFrom="paragraph">
              <wp:posOffset>102235</wp:posOffset>
            </wp:positionV>
            <wp:extent cx="4331970" cy="2654300"/>
            <wp:effectExtent l="4445" t="5080" r="6985" b="762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E53CCE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7C1AC7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FA400C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5AFEA4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C1CD2C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85AEE7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CCD73D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B545908">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3109369F">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1206.17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22.29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工资福利、住房公</w:t>
      </w:r>
      <w:r>
        <w:rPr>
          <w:rFonts w:hint="eastAsia" w:eastAsia="仿宋_GB2312" w:cs="仿宋_GB2312"/>
          <w:color w:val="auto"/>
          <w:sz w:val="32"/>
          <w:szCs w:val="32"/>
          <w:highlight w:val="none"/>
          <w:lang w:eastAsia="zh-CN"/>
        </w:rPr>
        <w:t>积金</w:t>
      </w:r>
      <w:r>
        <w:rPr>
          <w:rFonts w:hint="eastAsia" w:ascii="Times New Roman" w:hAnsi="Times New Roman" w:eastAsia="仿宋_GB2312" w:cs="仿宋_GB2312"/>
          <w:color w:val="auto"/>
          <w:sz w:val="32"/>
          <w:szCs w:val="32"/>
          <w:highlight w:val="none"/>
        </w:rPr>
        <w:t>、社保费增加等</w:t>
      </w:r>
      <w:r>
        <w:rPr>
          <w:rFonts w:hint="eastAsia" w:eastAsia="仿宋_GB2312" w:cs="仿宋_GB2312"/>
          <w:color w:val="auto"/>
          <w:sz w:val="32"/>
          <w:szCs w:val="32"/>
          <w:highlight w:val="none"/>
          <w:lang w:eastAsia="zh-CN"/>
        </w:rPr>
        <w:t>。主要原因是工资福利、住房公积金、社保费增加等。幼儿园增加一村一幼劳务费增加，另外先家普小学学生住宿楼新建项目支出146万元等。</w:t>
      </w:r>
    </w:p>
    <w:p w14:paraId="79699A93">
      <w:pPr>
        <w:spacing w:line="600" w:lineRule="exact"/>
        <w:ind w:firstLine="640"/>
        <w:rPr>
          <w:rFonts w:hint="eastAsia" w:eastAsia="仿宋_GB2312" w:cs="仿宋_GB2312"/>
          <w:color w:val="auto"/>
          <w:sz w:val="32"/>
          <w:szCs w:val="32"/>
          <w:highlight w:val="none"/>
          <w:lang w:val="en-US" w:eastAsia="zh-CN"/>
        </w:rPr>
      </w:pPr>
    </w:p>
    <w:p w14:paraId="6B4CF989">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176530</wp:posOffset>
            </wp:positionH>
            <wp:positionV relativeFrom="paragraph">
              <wp:posOffset>186690</wp:posOffset>
            </wp:positionV>
            <wp:extent cx="4962525" cy="3250565"/>
            <wp:effectExtent l="4445" t="4445" r="5080" b="2159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B626F1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09AA65B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0E1B7CB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7170F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4A64DE7">
      <w:pPr>
        <w:spacing w:line="600" w:lineRule="exact"/>
        <w:ind w:firstLine="640" w:firstLineChars="200"/>
        <w:outlineLvl w:val="1"/>
        <w:rPr>
          <w:rFonts w:hint="eastAsia" w:ascii="Times New Roman" w:hAnsi="Times New Roman" w:eastAsia="黑体"/>
          <w:color w:val="auto"/>
          <w:sz w:val="32"/>
          <w:szCs w:val="32"/>
          <w:highlight w:val="none"/>
        </w:rPr>
      </w:pPr>
      <w:bookmarkStart w:id="20" w:name="_Toc15377209"/>
      <w:bookmarkStart w:id="21" w:name="_Toc15396607"/>
    </w:p>
    <w:p w14:paraId="42DF6AB6">
      <w:pPr>
        <w:spacing w:line="600" w:lineRule="exact"/>
        <w:ind w:firstLine="640" w:firstLineChars="200"/>
        <w:outlineLvl w:val="1"/>
        <w:rPr>
          <w:rFonts w:hint="eastAsia" w:ascii="Times New Roman" w:hAnsi="Times New Roman" w:eastAsia="黑体"/>
          <w:color w:val="auto"/>
          <w:sz w:val="32"/>
          <w:szCs w:val="32"/>
          <w:highlight w:val="none"/>
        </w:rPr>
      </w:pPr>
    </w:p>
    <w:p w14:paraId="2BC37671">
      <w:pPr>
        <w:spacing w:line="600" w:lineRule="exact"/>
        <w:ind w:firstLine="640" w:firstLineChars="200"/>
        <w:outlineLvl w:val="1"/>
        <w:rPr>
          <w:rFonts w:hint="eastAsia" w:ascii="Times New Roman" w:hAnsi="Times New Roman" w:eastAsia="黑体"/>
          <w:color w:val="auto"/>
          <w:sz w:val="32"/>
          <w:szCs w:val="32"/>
          <w:highlight w:val="none"/>
        </w:rPr>
      </w:pPr>
    </w:p>
    <w:p w14:paraId="59CA2FC0">
      <w:pPr>
        <w:spacing w:line="600" w:lineRule="exact"/>
        <w:ind w:firstLine="640" w:firstLineChars="200"/>
        <w:outlineLvl w:val="1"/>
        <w:rPr>
          <w:rFonts w:hint="eastAsia" w:ascii="Times New Roman" w:hAnsi="Times New Roman" w:eastAsia="黑体"/>
          <w:color w:val="auto"/>
          <w:sz w:val="32"/>
          <w:szCs w:val="32"/>
          <w:highlight w:val="none"/>
        </w:rPr>
      </w:pPr>
    </w:p>
    <w:p w14:paraId="356C7F8C">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w:t>
      </w:r>
    </w:p>
    <w:p w14:paraId="0B91A12D">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1D2AC7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105A3026">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1205.17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93.64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21.29</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1.57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工资福利、住房公</w:t>
      </w:r>
      <w:r>
        <w:rPr>
          <w:rFonts w:hint="eastAsia" w:eastAsia="仿宋_GB2312" w:cs="仿宋_GB2312"/>
          <w:color w:val="auto"/>
          <w:sz w:val="32"/>
          <w:szCs w:val="32"/>
          <w:highlight w:val="none"/>
          <w:lang w:eastAsia="zh-CN"/>
        </w:rPr>
        <w:t>积金</w:t>
      </w:r>
      <w:r>
        <w:rPr>
          <w:rFonts w:hint="eastAsia" w:ascii="Times New Roman" w:hAnsi="Times New Roman" w:eastAsia="仿宋_GB2312" w:cs="仿宋_GB2312"/>
          <w:color w:val="auto"/>
          <w:sz w:val="32"/>
          <w:szCs w:val="32"/>
          <w:highlight w:val="none"/>
        </w:rPr>
        <w:t>、社保费增加等</w:t>
      </w:r>
      <w:r>
        <w:rPr>
          <w:rFonts w:hint="eastAsia" w:eastAsia="仿宋_GB2312" w:cs="仿宋_GB2312"/>
          <w:color w:val="auto"/>
          <w:sz w:val="32"/>
          <w:szCs w:val="32"/>
          <w:highlight w:val="none"/>
          <w:lang w:eastAsia="zh-CN"/>
        </w:rPr>
        <w:t>。主要原因是工资福利、住房公积金、社保费增加等。幼儿园增加一村一幼劳务费增加，另外先家普小学学生住宿楼新建项目支出146万元等。</w:t>
      </w:r>
    </w:p>
    <w:p w14:paraId="4B4924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1" locked="0" layoutInCell="1" allowOverlap="1">
            <wp:simplePos x="0" y="0"/>
            <wp:positionH relativeFrom="column">
              <wp:posOffset>48895</wp:posOffset>
            </wp:positionH>
            <wp:positionV relativeFrom="paragraph">
              <wp:posOffset>119380</wp:posOffset>
            </wp:positionV>
            <wp:extent cx="4744085" cy="3014345"/>
            <wp:effectExtent l="4445" t="5080" r="13970" b="9525"/>
            <wp:wrapNone/>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FEF5F3A">
      <w:pPr>
        <w:pStyle w:val="2"/>
        <w:rPr>
          <w:rFonts w:hint="eastAsia" w:ascii="Times New Roman" w:hAnsi="Times New Roman" w:eastAsia="仿宋_GB2312" w:cs="仿宋_GB2312"/>
          <w:color w:val="auto"/>
          <w:kern w:val="2"/>
          <w:sz w:val="32"/>
          <w:szCs w:val="32"/>
          <w:highlight w:val="none"/>
          <w:lang w:val="en-US" w:eastAsia="zh-CN" w:bidi="ar-SA"/>
        </w:rPr>
      </w:pPr>
    </w:p>
    <w:p w14:paraId="229A57DB">
      <w:pPr>
        <w:pStyle w:val="2"/>
        <w:rPr>
          <w:rFonts w:hint="eastAsia" w:ascii="Times New Roman" w:hAnsi="Times New Roman" w:eastAsia="仿宋_GB2312" w:cs="仿宋_GB2312"/>
          <w:color w:val="auto"/>
          <w:kern w:val="2"/>
          <w:sz w:val="32"/>
          <w:szCs w:val="32"/>
          <w:highlight w:val="none"/>
          <w:lang w:val="en-US" w:eastAsia="zh-CN" w:bidi="ar-SA"/>
        </w:rPr>
      </w:pPr>
    </w:p>
    <w:p w14:paraId="60643B78">
      <w:pPr>
        <w:pStyle w:val="2"/>
        <w:rPr>
          <w:rFonts w:hint="eastAsia" w:ascii="Times New Roman" w:hAnsi="Times New Roman" w:eastAsia="仿宋_GB2312" w:cs="仿宋_GB2312"/>
          <w:color w:val="auto"/>
          <w:kern w:val="2"/>
          <w:sz w:val="32"/>
          <w:szCs w:val="32"/>
          <w:highlight w:val="none"/>
          <w:lang w:val="en-US" w:eastAsia="zh-CN" w:bidi="ar-SA"/>
        </w:rPr>
      </w:pPr>
    </w:p>
    <w:p w14:paraId="09CE5906">
      <w:pPr>
        <w:pStyle w:val="2"/>
        <w:rPr>
          <w:rFonts w:hint="eastAsia" w:ascii="Times New Roman" w:hAnsi="Times New Roman" w:eastAsia="仿宋_GB2312" w:cs="仿宋_GB2312"/>
          <w:color w:val="auto"/>
          <w:kern w:val="2"/>
          <w:sz w:val="32"/>
          <w:szCs w:val="32"/>
          <w:highlight w:val="none"/>
          <w:lang w:val="en-US" w:eastAsia="zh-CN" w:bidi="ar-SA"/>
        </w:rPr>
      </w:pPr>
    </w:p>
    <w:p w14:paraId="275E2F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C680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CAE0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01E51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D14E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4128A6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1205.17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898.38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74.5</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203.54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35.05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68.21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w:t>
      </w:r>
      <w:r>
        <w:rPr>
          <w:rFonts w:hint="eastAsia" w:ascii="Times New Roman" w:hAnsi="Times New Roman" w:eastAsia="仿宋_GB2312" w:cs="仿宋_GB2312"/>
          <w:color w:val="auto"/>
          <w:kern w:val="2"/>
          <w:sz w:val="32"/>
          <w:szCs w:val="32"/>
          <w:highlight w:val="none"/>
          <w:lang w:val="en-US" w:eastAsia="zh-CN" w:bidi="ar-SA"/>
        </w:rPr>
        <w:t>%；</w:t>
      </w:r>
    </w:p>
    <w:p w14:paraId="1EA919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410845</wp:posOffset>
            </wp:positionH>
            <wp:positionV relativeFrom="paragraph">
              <wp:posOffset>50800</wp:posOffset>
            </wp:positionV>
            <wp:extent cx="4090670" cy="2765425"/>
            <wp:effectExtent l="4445" t="5080" r="19685" b="10795"/>
            <wp:wrapNone/>
            <wp:docPr id="1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044CBB8">
      <w:pPr>
        <w:pStyle w:val="2"/>
        <w:rPr>
          <w:rFonts w:hint="eastAsia"/>
          <w:lang w:val="en-US" w:eastAsia="zh-CN"/>
        </w:rPr>
      </w:pPr>
    </w:p>
    <w:p w14:paraId="0501DB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8603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20F4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F7AF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08814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D935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93957C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1A4CEF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1205.17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6938E0A">
      <w:pPr>
        <w:pageBreakBefore w:val="0"/>
        <w:kinsoku/>
        <w:wordWrap/>
        <w:overflowPunct/>
        <w:topLinePunct w:val="0"/>
        <w:bidi w:val="0"/>
        <w:spacing w:line="600" w:lineRule="exact"/>
        <w:ind w:left="0" w:leftChars="0" w:right="0" w:firstLine="643" w:firstLineChars="200"/>
        <w:rPr>
          <w:rStyle w:val="18"/>
          <w:rFonts w:hint="eastAsia" w:ascii="仿宋_GB2312" w:hAnsi="仿宋_GB2312" w:eastAsia="仿宋_GB2312" w:cs="仿宋_GB2312"/>
          <w:bCs/>
          <w:color w:val="000000"/>
          <w:sz w:val="32"/>
          <w:szCs w:val="32"/>
        </w:rPr>
      </w:pPr>
      <w:r>
        <w:rPr>
          <w:rStyle w:val="18"/>
          <w:rFonts w:hint="eastAsia" w:ascii="仿宋_GB2312" w:hAnsi="仿宋_GB2312" w:eastAsia="仿宋_GB2312" w:cs="仿宋_GB2312"/>
          <w:bCs/>
          <w:color w:val="000000"/>
          <w:sz w:val="32"/>
          <w:szCs w:val="32"/>
        </w:rPr>
        <w:t>1.一般公共服务（类）人力资源事务（款）人力资源事务支出（项）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支出决算为0万元，完成预算0%。</w:t>
      </w:r>
    </w:p>
    <w:p w14:paraId="5C4C8E14">
      <w:pPr>
        <w:pageBreakBefore w:val="0"/>
        <w:kinsoku/>
        <w:wordWrap/>
        <w:overflowPunct/>
        <w:topLinePunct w:val="0"/>
        <w:bidi w:val="0"/>
        <w:spacing w:line="600" w:lineRule="exact"/>
        <w:ind w:left="0" w:leftChars="0" w:right="0" w:firstLine="643" w:firstLineChars="200"/>
        <w:outlineLvl w:val="2"/>
        <w:rPr>
          <w:rStyle w:val="18"/>
          <w:rFonts w:hint="eastAsia" w:ascii="仿宋_GB2312" w:hAnsi="仿宋_GB2312" w:eastAsia="仿宋_GB2312" w:cs="仿宋_GB2312"/>
          <w:b w:val="0"/>
          <w:bCs/>
          <w:color w:val="000000"/>
          <w:sz w:val="32"/>
          <w:szCs w:val="32"/>
        </w:rPr>
      </w:pPr>
      <w:r>
        <w:rPr>
          <w:rStyle w:val="18"/>
          <w:rFonts w:hint="eastAsia" w:ascii="仿宋_GB2312" w:hAnsi="仿宋_GB2312" w:eastAsia="仿宋_GB2312" w:cs="仿宋_GB2312"/>
          <w:bCs/>
          <w:color w:val="000000"/>
          <w:sz w:val="32"/>
          <w:szCs w:val="32"/>
        </w:rPr>
        <w:t>2.教育（类）普通教育（款）小学教育（项）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支出决算为805.28万元，完成预算100%；</w:t>
      </w:r>
    </w:p>
    <w:p w14:paraId="5CFD895B">
      <w:pPr>
        <w:pageBreakBefore w:val="0"/>
        <w:kinsoku/>
        <w:wordWrap/>
        <w:overflowPunct/>
        <w:topLinePunct w:val="0"/>
        <w:bidi w:val="0"/>
        <w:spacing w:line="600" w:lineRule="exact"/>
        <w:ind w:left="0" w:leftChars="0" w:right="0" w:firstLine="643" w:firstLineChars="200"/>
        <w:outlineLvl w:val="2"/>
        <w:rPr>
          <w:rStyle w:val="18"/>
          <w:rFonts w:hint="default" w:ascii="仿宋_GB2312" w:hAnsi="仿宋_GB2312" w:eastAsia="仿宋_GB2312" w:cs="仿宋_GB2312"/>
          <w:b w:val="0"/>
          <w:bCs/>
          <w:color w:val="000000"/>
          <w:sz w:val="32"/>
          <w:szCs w:val="32"/>
          <w:lang w:val="en-US" w:eastAsia="zh-CN"/>
        </w:rPr>
      </w:pPr>
      <w:r>
        <w:rPr>
          <w:rStyle w:val="18"/>
          <w:rFonts w:hint="eastAsia" w:ascii="仿宋_GB2312" w:hAnsi="仿宋_GB2312" w:eastAsia="仿宋_GB2312" w:cs="仿宋_GB2312"/>
          <w:bCs/>
          <w:color w:val="000000"/>
          <w:sz w:val="32"/>
          <w:szCs w:val="32"/>
          <w:lang w:val="en-US" w:eastAsia="zh-CN"/>
        </w:rPr>
        <w:t>3</w:t>
      </w:r>
      <w:r>
        <w:rPr>
          <w:rStyle w:val="18"/>
          <w:rFonts w:hint="eastAsia" w:ascii="仿宋_GB2312" w:hAnsi="仿宋_GB2312" w:eastAsia="仿宋_GB2312" w:cs="仿宋_GB2312"/>
          <w:bCs/>
          <w:color w:val="000000"/>
          <w:sz w:val="32"/>
          <w:szCs w:val="32"/>
        </w:rPr>
        <w:t>.教育（类）普通教育（款）</w:t>
      </w:r>
      <w:r>
        <w:rPr>
          <w:rStyle w:val="18"/>
          <w:rFonts w:hint="eastAsia" w:ascii="仿宋_GB2312" w:hAnsi="仿宋_GB2312" w:eastAsia="仿宋_GB2312" w:cs="仿宋_GB2312"/>
          <w:bCs/>
          <w:color w:val="000000"/>
          <w:sz w:val="32"/>
          <w:szCs w:val="32"/>
          <w:lang w:val="en-US" w:eastAsia="zh-CN"/>
        </w:rPr>
        <w:t>学前</w:t>
      </w:r>
      <w:r>
        <w:rPr>
          <w:rStyle w:val="18"/>
          <w:rFonts w:hint="eastAsia" w:ascii="仿宋_GB2312" w:hAnsi="仿宋_GB2312" w:eastAsia="仿宋_GB2312" w:cs="仿宋_GB2312"/>
          <w:bCs/>
          <w:color w:val="000000"/>
          <w:sz w:val="32"/>
          <w:szCs w:val="32"/>
        </w:rPr>
        <w:t>教育（项）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支出决算为93.10万元，完成预算100%；</w:t>
      </w:r>
    </w:p>
    <w:p w14:paraId="4C21E97B">
      <w:pPr>
        <w:pStyle w:val="2"/>
        <w:rPr>
          <w:rStyle w:val="18"/>
          <w:rFonts w:hint="eastAsia" w:ascii="仿宋_GB2312" w:hAnsi="仿宋_GB2312" w:eastAsia="仿宋_GB2312" w:cs="仿宋_GB2312"/>
          <w:b w:val="0"/>
          <w:bCs/>
          <w:color w:val="000000"/>
          <w:sz w:val="32"/>
          <w:szCs w:val="32"/>
        </w:rPr>
      </w:pPr>
      <w:r>
        <w:rPr>
          <w:rStyle w:val="18"/>
          <w:rFonts w:hint="eastAsia" w:ascii="仿宋_GB2312" w:hAnsi="仿宋_GB2312" w:eastAsia="仿宋_GB2312" w:cs="仿宋_GB2312"/>
          <w:b w:val="0"/>
          <w:bCs/>
          <w:color w:val="000000"/>
          <w:sz w:val="32"/>
          <w:szCs w:val="32"/>
          <w:lang w:val="en-US" w:eastAsia="zh-CN"/>
        </w:rPr>
        <w:t xml:space="preserve">    </w:t>
      </w:r>
      <w:r>
        <w:rPr>
          <w:rStyle w:val="18"/>
          <w:rFonts w:hint="eastAsia" w:hAnsi="仿宋_GB2312" w:cs="仿宋_GB2312"/>
          <w:bCs/>
          <w:color w:val="000000"/>
          <w:sz w:val="32"/>
          <w:szCs w:val="32"/>
          <w:lang w:val="en-US" w:eastAsia="zh-CN"/>
        </w:rPr>
        <w:t>4</w:t>
      </w:r>
      <w:r>
        <w:rPr>
          <w:rStyle w:val="18"/>
          <w:rFonts w:hint="eastAsia" w:ascii="仿宋_GB2312" w:hAnsi="仿宋_GB2312" w:eastAsia="仿宋_GB2312" w:cs="仿宋_GB2312"/>
          <w:bCs/>
          <w:color w:val="000000"/>
          <w:sz w:val="32"/>
          <w:szCs w:val="32"/>
          <w:lang w:val="en-US" w:eastAsia="zh-CN"/>
        </w:rPr>
        <w:t>.</w:t>
      </w:r>
      <w:r>
        <w:rPr>
          <w:rStyle w:val="18"/>
          <w:rFonts w:hint="eastAsia" w:ascii="仿宋_GB2312" w:hAnsi="仿宋_GB2312" w:eastAsia="仿宋_GB2312" w:cs="仿宋_GB2312"/>
          <w:bCs/>
          <w:color w:val="000000"/>
          <w:sz w:val="32"/>
          <w:szCs w:val="32"/>
        </w:rPr>
        <w:t>社会保障和就业支出（类）人力资源和社会保障管理事务</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lang w:val="en-US" w:eastAsia="zh-CN"/>
        </w:rPr>
        <w:t>款）其他人力资源和社会保障管理事务支出项（项）：</w:t>
      </w:r>
      <w:r>
        <w:rPr>
          <w:rStyle w:val="18"/>
          <w:rFonts w:hint="eastAsia" w:ascii="仿宋_GB2312" w:hAnsi="仿宋_GB2312" w:eastAsia="仿宋_GB2312" w:cs="仿宋_GB2312"/>
          <w:b w:val="0"/>
          <w:bCs w:val="0"/>
          <w:color w:val="000000"/>
          <w:sz w:val="32"/>
          <w:szCs w:val="32"/>
          <w:lang w:val="en-US" w:eastAsia="zh-CN"/>
        </w:rPr>
        <w:t>支</w:t>
      </w:r>
      <w:r>
        <w:rPr>
          <w:rStyle w:val="18"/>
          <w:rFonts w:hint="eastAsia" w:ascii="仿宋_GB2312" w:hAnsi="仿宋_GB2312" w:eastAsia="仿宋_GB2312" w:cs="仿宋_GB2312"/>
          <w:b w:val="0"/>
          <w:bCs w:val="0"/>
          <w:color w:val="000000"/>
          <w:sz w:val="32"/>
          <w:szCs w:val="32"/>
        </w:rPr>
        <w:t>出</w:t>
      </w:r>
      <w:r>
        <w:rPr>
          <w:rStyle w:val="18"/>
          <w:rFonts w:hint="eastAsia" w:ascii="仿宋_GB2312" w:hAnsi="仿宋_GB2312" w:eastAsia="仿宋_GB2312" w:cs="仿宋_GB2312"/>
          <w:b w:val="0"/>
          <w:bCs/>
          <w:color w:val="000000"/>
          <w:sz w:val="32"/>
          <w:szCs w:val="32"/>
        </w:rPr>
        <w:t>决算为74.12万元，完成预算100%。</w:t>
      </w:r>
    </w:p>
    <w:p w14:paraId="67A03034">
      <w:pPr>
        <w:pageBreakBefore w:val="0"/>
        <w:kinsoku/>
        <w:wordWrap/>
        <w:overflowPunct/>
        <w:topLinePunct w:val="0"/>
        <w:bidi w:val="0"/>
        <w:spacing w:line="600" w:lineRule="exact"/>
        <w:ind w:right="0" w:firstLine="643" w:firstLineChars="200"/>
        <w:rPr>
          <w:rStyle w:val="18"/>
          <w:rFonts w:hint="eastAsia" w:ascii="仿宋_GB2312" w:hAnsi="仿宋_GB2312" w:eastAsia="仿宋_GB2312" w:cs="仿宋_GB2312"/>
          <w:b w:val="0"/>
          <w:bCs/>
          <w:color w:val="000000"/>
          <w:sz w:val="32"/>
          <w:szCs w:val="32"/>
        </w:rPr>
      </w:pPr>
      <w:r>
        <w:rPr>
          <w:rStyle w:val="18"/>
          <w:rFonts w:hint="eastAsia" w:ascii="仿宋_GB2312" w:hAnsi="仿宋_GB2312" w:eastAsia="仿宋_GB2312" w:cs="仿宋_GB2312"/>
          <w:bCs/>
          <w:color w:val="000000"/>
          <w:sz w:val="32"/>
          <w:szCs w:val="32"/>
          <w:lang w:val="en-US" w:eastAsia="zh-CN"/>
        </w:rPr>
        <w:t xml:space="preserve"> 5.</w:t>
      </w:r>
      <w:r>
        <w:rPr>
          <w:rStyle w:val="18"/>
          <w:rFonts w:hint="eastAsia" w:ascii="仿宋_GB2312" w:hAnsi="仿宋_GB2312" w:eastAsia="仿宋_GB2312" w:cs="仿宋_GB2312"/>
          <w:bCs/>
          <w:color w:val="000000"/>
          <w:sz w:val="32"/>
          <w:szCs w:val="32"/>
        </w:rPr>
        <w:t>社会保障和就业支出（类）行政事业单位养老支出</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lang w:val="en-US" w:eastAsia="zh-CN"/>
        </w:rPr>
        <w:t>款）</w:t>
      </w:r>
      <w:r>
        <w:rPr>
          <w:rStyle w:val="18"/>
          <w:rFonts w:hint="eastAsia" w:ascii="仿宋_GB2312" w:hAnsi="仿宋_GB2312" w:eastAsia="仿宋_GB2312" w:cs="仿宋_GB2312"/>
          <w:bCs/>
          <w:color w:val="000000"/>
          <w:sz w:val="32"/>
          <w:szCs w:val="32"/>
        </w:rPr>
        <w:t>机关事业单位基本养老保险缴费支出（项）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w:t>
      </w:r>
      <w:r>
        <w:rPr>
          <w:rFonts w:hint="eastAsia" w:ascii="仿宋" w:hAnsi="仿宋" w:eastAsia="仿宋"/>
          <w:b/>
          <w:color w:val="auto"/>
          <w:sz w:val="32"/>
          <w:szCs w:val="32"/>
          <w:highlight w:val="none"/>
          <w:lang w:val="en-US" w:eastAsia="zh-CN"/>
        </w:rPr>
        <w:t>72.41</w:t>
      </w:r>
      <w:r>
        <w:rPr>
          <w:rStyle w:val="18"/>
          <w:rFonts w:hint="eastAsia" w:ascii="仿宋_GB2312" w:hAnsi="仿宋_GB2312" w:eastAsia="仿宋_GB2312" w:cs="仿宋_GB2312"/>
          <w:b w:val="0"/>
          <w:bCs/>
          <w:color w:val="000000"/>
          <w:sz w:val="32"/>
          <w:szCs w:val="32"/>
        </w:rPr>
        <w:t>万元，完成预算100%。</w:t>
      </w:r>
    </w:p>
    <w:p w14:paraId="0C9AFAEB">
      <w:pPr>
        <w:pageBreakBefore w:val="0"/>
        <w:kinsoku/>
        <w:wordWrap/>
        <w:overflowPunct/>
        <w:topLinePunct w:val="0"/>
        <w:bidi w:val="0"/>
        <w:spacing w:line="600" w:lineRule="exact"/>
        <w:ind w:right="0" w:firstLine="643" w:firstLineChars="200"/>
        <w:rPr>
          <w:rStyle w:val="18"/>
          <w:rFonts w:hint="eastAsia" w:ascii="仿宋_GB2312" w:hAnsi="仿宋_GB2312" w:eastAsia="仿宋_GB2312" w:cs="仿宋_GB2312"/>
          <w:b w:val="0"/>
          <w:bCs/>
          <w:color w:val="000000"/>
          <w:sz w:val="32"/>
          <w:szCs w:val="32"/>
        </w:rPr>
      </w:pPr>
      <w:r>
        <w:rPr>
          <w:rStyle w:val="18"/>
          <w:rFonts w:hint="eastAsia" w:ascii="仿宋_GB2312" w:hAnsi="仿宋_GB2312" w:eastAsia="仿宋_GB2312" w:cs="仿宋_GB2312"/>
          <w:bCs/>
          <w:color w:val="000000"/>
          <w:sz w:val="32"/>
          <w:szCs w:val="32"/>
          <w:lang w:val="en-US" w:eastAsia="zh-CN"/>
        </w:rPr>
        <w:t>6.</w:t>
      </w:r>
      <w:r>
        <w:rPr>
          <w:rStyle w:val="18"/>
          <w:rFonts w:hint="eastAsia" w:ascii="仿宋_GB2312" w:hAnsi="仿宋_GB2312" w:eastAsia="仿宋_GB2312" w:cs="仿宋_GB2312"/>
          <w:bCs/>
          <w:color w:val="000000"/>
          <w:sz w:val="32"/>
          <w:szCs w:val="32"/>
        </w:rPr>
        <w:t>社会保障和就业支出（类）行政事业单位养老支出</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lang w:val="en-US" w:eastAsia="zh-CN"/>
        </w:rPr>
        <w:t>款）</w:t>
      </w:r>
      <w:r>
        <w:rPr>
          <w:rStyle w:val="18"/>
          <w:rFonts w:hint="eastAsia" w:ascii="仿宋_GB2312" w:hAnsi="仿宋_GB2312" w:eastAsia="仿宋_GB2312" w:cs="仿宋_GB2312"/>
          <w:bCs/>
          <w:color w:val="000000"/>
          <w:sz w:val="32"/>
          <w:szCs w:val="32"/>
        </w:rPr>
        <w:t>机关事业单位职业年金缴费支出（项）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w:t>
      </w:r>
      <w:r>
        <w:rPr>
          <w:rStyle w:val="18"/>
          <w:rFonts w:hint="eastAsia" w:ascii="仿宋_GB2312" w:hAnsi="仿宋_GB2312" w:eastAsia="仿宋_GB2312" w:cs="仿宋_GB2312"/>
          <w:b w:val="0"/>
          <w:bCs/>
          <w:color w:val="000000"/>
          <w:sz w:val="32"/>
          <w:szCs w:val="32"/>
          <w:lang w:val="en-US" w:eastAsia="zh-CN"/>
        </w:rPr>
        <w:t>40.43</w:t>
      </w:r>
      <w:r>
        <w:rPr>
          <w:rStyle w:val="18"/>
          <w:rFonts w:hint="eastAsia" w:ascii="仿宋_GB2312" w:hAnsi="仿宋_GB2312" w:eastAsia="仿宋_GB2312" w:cs="仿宋_GB2312"/>
          <w:b w:val="0"/>
          <w:bCs/>
          <w:color w:val="000000"/>
          <w:sz w:val="32"/>
          <w:szCs w:val="32"/>
        </w:rPr>
        <w:t>万元，完成预算100%。</w:t>
      </w:r>
    </w:p>
    <w:p w14:paraId="23A3F372">
      <w:pPr>
        <w:pageBreakBefore w:val="0"/>
        <w:kinsoku/>
        <w:wordWrap/>
        <w:overflowPunct/>
        <w:topLinePunct w:val="0"/>
        <w:bidi w:val="0"/>
        <w:spacing w:line="600" w:lineRule="exact"/>
        <w:ind w:left="0" w:leftChars="0" w:right="0" w:firstLine="643" w:firstLineChars="200"/>
        <w:rPr>
          <w:rFonts w:hint="eastAsia" w:ascii="仿宋_GB2312" w:hAnsi="仿宋_GB2312" w:eastAsia="仿宋_GB2312" w:cs="仿宋_GB2312"/>
          <w:b/>
          <w:color w:val="000000"/>
          <w:sz w:val="32"/>
          <w:szCs w:val="32"/>
        </w:rPr>
      </w:pPr>
      <w:r>
        <w:rPr>
          <w:rStyle w:val="18"/>
          <w:rFonts w:hint="eastAsia" w:ascii="仿宋_GB2312" w:hAnsi="仿宋_GB2312" w:eastAsia="仿宋_GB2312" w:cs="仿宋_GB2312"/>
          <w:bCs/>
          <w:color w:val="000000"/>
          <w:sz w:val="32"/>
          <w:szCs w:val="32"/>
          <w:lang w:val="en-US" w:eastAsia="zh-CN"/>
        </w:rPr>
        <w:t>7.</w:t>
      </w:r>
      <w:r>
        <w:rPr>
          <w:rStyle w:val="18"/>
          <w:rFonts w:hint="eastAsia" w:ascii="仿宋_GB2312" w:hAnsi="仿宋_GB2312" w:eastAsia="仿宋_GB2312" w:cs="仿宋_GB2312"/>
          <w:bCs/>
          <w:color w:val="000000"/>
          <w:sz w:val="32"/>
          <w:szCs w:val="32"/>
        </w:rPr>
        <w:t>社会保障和就业（类）其他社会保障和就业支出（款）其他社会保障和就业支出（项）</w:t>
      </w:r>
      <w:r>
        <w:rPr>
          <w:rStyle w:val="18"/>
          <w:rFonts w:hint="eastAsia" w:ascii="仿宋_GB2312" w:hAnsi="仿宋_GB2312" w:eastAsia="仿宋_GB2312" w:cs="仿宋_GB2312"/>
          <w:b w:val="0"/>
          <w:bCs/>
          <w:color w:val="000000"/>
          <w:sz w:val="32"/>
          <w:szCs w:val="32"/>
        </w:rPr>
        <w:t>决算数为</w:t>
      </w:r>
      <w:r>
        <w:rPr>
          <w:rStyle w:val="18"/>
          <w:rFonts w:hint="eastAsia" w:ascii="仿宋_GB2312" w:hAnsi="仿宋_GB2312" w:eastAsia="仿宋_GB2312" w:cs="仿宋_GB2312"/>
          <w:b w:val="0"/>
          <w:bCs/>
          <w:color w:val="000000"/>
          <w:sz w:val="32"/>
          <w:szCs w:val="32"/>
          <w:lang w:val="en-US" w:eastAsia="zh-CN"/>
        </w:rPr>
        <w:t>16.58</w:t>
      </w:r>
      <w:r>
        <w:rPr>
          <w:rStyle w:val="18"/>
          <w:rFonts w:hint="eastAsia" w:ascii="仿宋_GB2312" w:hAnsi="仿宋_GB2312" w:eastAsia="仿宋_GB2312" w:cs="仿宋_GB2312"/>
          <w:b w:val="0"/>
          <w:bCs/>
          <w:color w:val="000000"/>
          <w:sz w:val="32"/>
          <w:szCs w:val="32"/>
        </w:rPr>
        <w:t>万元，完成预算100%.</w:t>
      </w:r>
    </w:p>
    <w:p w14:paraId="7553F2F4">
      <w:pPr>
        <w:pageBreakBefore w:val="0"/>
        <w:kinsoku/>
        <w:wordWrap/>
        <w:overflowPunct/>
        <w:topLinePunct w:val="0"/>
        <w:bidi w:val="0"/>
        <w:spacing w:line="600" w:lineRule="exact"/>
        <w:ind w:left="0" w:leftChars="0" w:right="0" w:firstLine="643"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b/>
          <w:bCs/>
          <w:color w:val="000000"/>
          <w:sz w:val="32"/>
          <w:szCs w:val="32"/>
          <w:lang w:val="en-US" w:eastAsia="zh-CN"/>
        </w:rPr>
        <w:t>9.</w:t>
      </w:r>
      <w:r>
        <w:rPr>
          <w:rFonts w:hint="eastAsia" w:ascii="仿宋_GB2312" w:hAnsi="仿宋_GB2312" w:eastAsia="仿宋_GB2312" w:cs="仿宋_GB2312"/>
          <w:b/>
          <w:bCs/>
          <w:color w:val="000000"/>
          <w:sz w:val="32"/>
          <w:szCs w:val="32"/>
        </w:rPr>
        <w:t>卫生健康</w:t>
      </w:r>
      <w:r>
        <w:rPr>
          <w:rStyle w:val="18"/>
          <w:rFonts w:hint="eastAsia" w:ascii="仿宋_GB2312" w:hAnsi="仿宋_GB2312" w:eastAsia="仿宋_GB2312" w:cs="仿宋_GB2312"/>
          <w:bCs/>
          <w:color w:val="000000"/>
          <w:sz w:val="32"/>
          <w:szCs w:val="32"/>
        </w:rPr>
        <w:t>（类）行政事业单位医疗（款） 事业单位医疗（项）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w:t>
      </w:r>
      <w:r>
        <w:rPr>
          <w:rFonts w:hint="eastAsia" w:eastAsia="仿宋_GB2312" w:cs="仿宋_GB2312"/>
          <w:color w:val="auto"/>
          <w:kern w:val="2"/>
          <w:sz w:val="32"/>
          <w:szCs w:val="32"/>
          <w:highlight w:val="none"/>
          <w:lang w:val="en-US" w:eastAsia="zh-CN" w:bidi="ar-SA"/>
        </w:rPr>
        <w:t>35.05</w:t>
      </w:r>
      <w:r>
        <w:rPr>
          <w:rStyle w:val="18"/>
          <w:rFonts w:hint="eastAsia" w:ascii="仿宋_GB2312" w:hAnsi="仿宋_GB2312" w:eastAsia="仿宋_GB2312" w:cs="仿宋_GB2312"/>
          <w:b w:val="0"/>
          <w:bCs/>
          <w:color w:val="000000"/>
          <w:sz w:val="32"/>
          <w:szCs w:val="32"/>
        </w:rPr>
        <w:t>万元，完成预算100%；</w:t>
      </w:r>
    </w:p>
    <w:p w14:paraId="60CB5A44">
      <w:pPr>
        <w:pageBreakBefore w:val="0"/>
        <w:kinsoku/>
        <w:wordWrap/>
        <w:overflowPunct/>
        <w:topLinePunct w:val="0"/>
        <w:bidi w:val="0"/>
        <w:spacing w:line="600" w:lineRule="exact"/>
        <w:ind w:left="0" w:leftChars="0" w:right="0" w:firstLine="643" w:firstLineChars="200"/>
        <w:rPr>
          <w:rFonts w:hint="eastAsia" w:ascii="楷体_GB2312" w:hAnsi="楷体_GB2312" w:eastAsia="楷体_GB2312" w:cs="楷体_GB2312"/>
          <w:color w:val="auto"/>
          <w:sz w:val="32"/>
          <w:szCs w:val="32"/>
          <w:highlight w:val="none"/>
        </w:rPr>
      </w:pPr>
      <w:r>
        <w:rPr>
          <w:rStyle w:val="18"/>
          <w:rFonts w:hint="eastAsia" w:ascii="仿宋_GB2312" w:hAnsi="仿宋_GB2312" w:eastAsia="仿宋_GB2312" w:cs="仿宋_GB2312"/>
          <w:bCs/>
          <w:color w:val="000000"/>
          <w:sz w:val="32"/>
          <w:szCs w:val="32"/>
          <w:lang w:val="en-US" w:eastAsia="zh-CN"/>
        </w:rPr>
        <w:t>10.</w:t>
      </w:r>
      <w:r>
        <w:rPr>
          <w:rStyle w:val="18"/>
          <w:rFonts w:hint="eastAsia" w:ascii="仿宋_GB2312" w:hAnsi="仿宋_GB2312" w:eastAsia="仿宋_GB2312" w:cs="仿宋_GB2312"/>
          <w:bCs/>
          <w:color w:val="000000"/>
          <w:sz w:val="32"/>
          <w:szCs w:val="32"/>
        </w:rPr>
        <w:t>住房保障支出</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rPr>
        <w:t>类</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rPr>
        <w:t xml:space="preserve"> 住房改革支出</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rPr>
        <w:t>款</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rPr>
        <w:t>住房公积金</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rPr>
        <w:t>项</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Cs/>
          <w:color w:val="000000"/>
          <w:sz w:val="32"/>
          <w:szCs w:val="32"/>
        </w:rPr>
        <w:t xml:space="preserve"> </w:t>
      </w:r>
      <w:r>
        <w:rPr>
          <w:rStyle w:val="18"/>
          <w:rFonts w:hint="eastAsia" w:ascii="仿宋_GB2312" w:hAnsi="仿宋_GB2312" w:eastAsia="仿宋_GB2312" w:cs="仿宋_GB2312"/>
          <w:bCs/>
          <w:color w:val="000000"/>
          <w:sz w:val="32"/>
          <w:szCs w:val="32"/>
          <w:lang w:eastAsia="zh-CN"/>
        </w:rPr>
        <w:t>：</w:t>
      </w:r>
      <w:r>
        <w:rPr>
          <w:rStyle w:val="18"/>
          <w:rFonts w:hint="eastAsia" w:ascii="仿宋_GB2312" w:hAnsi="仿宋_GB2312" w:eastAsia="仿宋_GB2312" w:cs="仿宋_GB2312"/>
          <w:b w:val="0"/>
          <w:bCs/>
          <w:color w:val="000000"/>
          <w:sz w:val="32"/>
          <w:szCs w:val="32"/>
        </w:rPr>
        <w:t>支出决算为</w:t>
      </w:r>
      <w:r>
        <w:rPr>
          <w:rStyle w:val="18"/>
          <w:rFonts w:hint="eastAsia" w:ascii="仿宋_GB2312" w:hAnsi="仿宋_GB2312" w:eastAsia="仿宋_GB2312" w:cs="仿宋_GB2312"/>
          <w:b w:val="0"/>
          <w:bCs/>
          <w:color w:val="000000"/>
          <w:sz w:val="32"/>
          <w:szCs w:val="32"/>
          <w:lang w:val="en-US" w:eastAsia="zh-CN"/>
        </w:rPr>
        <w:t>68.21</w:t>
      </w:r>
      <w:r>
        <w:rPr>
          <w:rStyle w:val="18"/>
          <w:rFonts w:hint="eastAsia" w:ascii="仿宋_GB2312" w:hAnsi="仿宋_GB2312" w:eastAsia="仿宋_GB2312" w:cs="仿宋_GB2312"/>
          <w:b w:val="0"/>
          <w:bCs/>
          <w:color w:val="000000"/>
          <w:sz w:val="32"/>
          <w:szCs w:val="32"/>
        </w:rPr>
        <w:t>万元，完成预算100%。</w:t>
      </w:r>
    </w:p>
    <w:p w14:paraId="52999010">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33242B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857.39</w:t>
      </w:r>
      <w:r>
        <w:rPr>
          <w:rFonts w:hint="eastAsia" w:ascii="Times New Roman" w:hAnsi="Times New Roman" w:eastAsia="仿宋_GB2312" w:cs="仿宋_GB2312"/>
          <w:color w:val="auto"/>
          <w:kern w:val="2"/>
          <w:sz w:val="32"/>
          <w:szCs w:val="32"/>
          <w:highlight w:val="none"/>
          <w:lang w:val="en-US" w:eastAsia="zh-CN" w:bidi="ar-SA"/>
        </w:rPr>
        <w:t>万元，其中：</w:t>
      </w:r>
    </w:p>
    <w:p w14:paraId="052CEE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835.08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万元，主要包括：基本工资、津贴补贴、绩效工资、机关事业单位基本养老保险缴费、职业年金缴费、其他社会保障缴费、其他工资福利支出、住房公积金、其他对个人和家庭的补助支出等。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22.31</w:t>
      </w:r>
      <w:r>
        <w:rPr>
          <w:rFonts w:hint="eastAsia" w:ascii="Times New Roman" w:hAnsi="Times New Roman" w:eastAsia="仿宋_GB2312" w:cs="仿宋_GB2312"/>
          <w:color w:val="auto"/>
          <w:kern w:val="2"/>
          <w:sz w:val="32"/>
          <w:szCs w:val="32"/>
          <w:highlight w:val="none"/>
          <w:lang w:val="en-US" w:eastAsia="zh-CN" w:bidi="ar-SA"/>
        </w:rPr>
        <w:t>万元，主要包括：办公费、印刷费、水费、电费、邮电费、差旅费、维修（护）费、培训费、工会经费、福利费、其他商品和服务支出等。</w:t>
      </w:r>
    </w:p>
    <w:p w14:paraId="3B19D363">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2F528D1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4FDF8B9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945A9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326D47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57DD3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E6DD9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B806F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4E923A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70D55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DEFC6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74D30E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。其中：</w:t>
      </w:r>
    </w:p>
    <w:p w14:paraId="477B7E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w:t>
      </w:r>
    </w:p>
    <w:p w14:paraId="2A66B0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51CB2BE">
      <w:pPr>
        <w:spacing w:line="600" w:lineRule="exact"/>
        <w:ind w:firstLine="640"/>
        <w:outlineLvl w:val="1"/>
        <w:rPr>
          <w:rStyle w:val="30"/>
          <w:rFonts w:ascii="Times New Roman" w:hAnsi="Times New Roman" w:eastAsia="黑体"/>
          <w:color w:val="auto"/>
          <w:highlight w:val="none"/>
        </w:rPr>
      </w:pPr>
      <w:bookmarkStart w:id="34" w:name="_Toc15377218"/>
      <w:bookmarkStart w:id="35"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4F95D0F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0.07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33.3</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lang w:val="en-US" w:eastAsia="zh-CN"/>
        </w:rPr>
        <w:t>用于乡村少年宫学生活动费。</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学生人数比上年减少，经费相应减少。</w:t>
      </w:r>
    </w:p>
    <w:p w14:paraId="5438290E">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167C1C77">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w:t>
      </w:r>
      <w:bookmarkStart w:id="38" w:name="_Toc15396612"/>
      <w:bookmarkStart w:id="39" w:name="_Toc15377221"/>
      <w:r>
        <w:rPr>
          <w:rFonts w:hint="eastAsia" w:eastAsia="仿宋_GB2312" w:cs="仿宋_GB2312"/>
          <w:color w:val="auto"/>
          <w:kern w:val="2"/>
          <w:sz w:val="32"/>
          <w:szCs w:val="32"/>
          <w:highlight w:val="none"/>
          <w:lang w:val="en-US" w:eastAsia="zh-CN" w:bidi="ar-SA"/>
        </w:rPr>
        <w:t>：无。</w:t>
      </w:r>
    </w:p>
    <w:p w14:paraId="6F7D8301">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290841C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6829AF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马边彝族自治县三河口镇中心校</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7726335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01C193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马边彝族自治县三河口镇中心校</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B76A4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15FA23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马边彝族自治县三河口镇中心校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276C5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E4D5BCF">
      <w:pPr>
        <w:pageBreakBefore w:val="0"/>
        <w:widowControl/>
        <w:suppressAutoHyphens/>
        <w:kinsoku/>
        <w:wordWrap/>
        <w:overflowPunct/>
        <w:topLinePunct w:val="0"/>
        <w:bidi w:val="0"/>
        <w:spacing w:line="600" w:lineRule="exact"/>
        <w:ind w:left="0" w:leftChars="0" w:right="0" w:firstLine="640" w:firstLineChars="200"/>
        <w:jc w:val="left"/>
        <w:rPr>
          <w:rFonts w:ascii="仿宋_GB2312" w:hAnsi="Calibri" w:eastAsia="仿宋_GB2312"/>
          <w:bCs/>
          <w:color w:val="000000"/>
          <w:sz w:val="32"/>
          <w:szCs w:val="32"/>
        </w:rPr>
      </w:pPr>
      <w:bookmarkStart w:id="43" w:name="_Toc15396613"/>
      <w:bookmarkStart w:id="44" w:name="_Toc15377225"/>
      <w:r>
        <w:rPr>
          <w:rFonts w:hint="eastAsia" w:ascii="仿宋_GB2312" w:hAnsi="Calibri" w:eastAsia="仿宋_GB2312"/>
          <w:bCs/>
          <w:color w:val="000000"/>
          <w:sz w:val="32"/>
          <w:szCs w:val="32"/>
        </w:rPr>
        <w:t>根据预算绩效管理要求，三河口镇中心校</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w:t>
      </w:r>
      <w:r>
        <w:rPr>
          <w:rFonts w:hint="eastAsia" w:ascii="仿宋_GB2312" w:hAnsi="Calibri" w:eastAsia="仿宋_GB2312"/>
          <w:bCs/>
          <w:color w:val="000000"/>
          <w:sz w:val="32"/>
          <w:szCs w:val="32"/>
        </w:rPr>
        <w:t>，组织对教育支出</w:t>
      </w:r>
      <w:r>
        <w:rPr>
          <w:rFonts w:hint="eastAsia" w:ascii="仿宋_GB2312" w:hAnsi="Calibri" w:eastAsia="仿宋_GB2312"/>
          <w:bCs/>
          <w:color w:val="000000"/>
          <w:sz w:val="32"/>
          <w:szCs w:val="32"/>
          <w:lang w:val="en-US" w:eastAsia="zh-CN"/>
        </w:rPr>
        <w:t>4</w:t>
      </w:r>
      <w:r>
        <w:rPr>
          <w:rFonts w:hint="eastAsia" w:ascii="仿宋_GB2312" w:hAnsi="Calibri" w:eastAsia="仿宋_GB2312"/>
          <w:bCs/>
          <w:color w:val="000000"/>
          <w:sz w:val="32"/>
          <w:szCs w:val="32"/>
        </w:rPr>
        <w:t>个项目开展了预算事前绩效评估，对</w:t>
      </w:r>
      <w:r>
        <w:rPr>
          <w:rFonts w:hint="eastAsia" w:ascii="仿宋_GB2312" w:hAnsi="Calibri" w:eastAsia="仿宋_GB2312"/>
          <w:bCs/>
          <w:color w:val="000000"/>
          <w:sz w:val="32"/>
          <w:szCs w:val="32"/>
          <w:lang w:val="en-US" w:eastAsia="zh-CN"/>
        </w:rPr>
        <w:t>4</w:t>
      </w:r>
      <w:r>
        <w:rPr>
          <w:rFonts w:hint="eastAsia" w:ascii="仿宋_GB2312" w:hAnsi="Calibri" w:eastAsia="仿宋_GB2312"/>
          <w:bCs/>
          <w:color w:val="000000"/>
          <w:sz w:val="32"/>
          <w:szCs w:val="32"/>
        </w:rPr>
        <w:t>个项目编制了绩效目标</w:t>
      </w:r>
      <w:r>
        <w:rPr>
          <w:rFonts w:hint="eastAsia" w:ascii="仿宋_GB2312" w:hAnsi="Calibri" w:eastAsia="仿宋_GB2312"/>
          <w:bCs/>
          <w:color w:val="000000"/>
          <w:sz w:val="32"/>
          <w:szCs w:val="32"/>
          <w:lang w:eastAsia="zh-CN"/>
        </w:rPr>
        <w:t>，在</w:t>
      </w:r>
      <w:r>
        <w:rPr>
          <w:rFonts w:hint="eastAsia" w:ascii="仿宋_GB2312" w:hAnsi="Calibri" w:eastAsia="仿宋_GB2312"/>
          <w:bCs/>
          <w:color w:val="000000"/>
          <w:sz w:val="32"/>
          <w:szCs w:val="32"/>
        </w:rPr>
        <w:t>预算执行过程中，选取</w:t>
      </w:r>
      <w:r>
        <w:rPr>
          <w:rFonts w:hint="eastAsia" w:ascii="仿宋_GB2312" w:hAnsi="Calibri" w:eastAsia="仿宋_GB2312"/>
          <w:bCs/>
          <w:color w:val="000000"/>
          <w:sz w:val="32"/>
          <w:szCs w:val="32"/>
          <w:lang w:val="en-US" w:eastAsia="zh-CN"/>
        </w:rPr>
        <w:t>4</w:t>
      </w:r>
      <w:r>
        <w:rPr>
          <w:rFonts w:hint="eastAsia" w:ascii="仿宋_GB2312" w:hAnsi="Calibri" w:eastAsia="仿宋_GB2312"/>
          <w:bCs/>
          <w:color w:val="000000"/>
          <w:sz w:val="32"/>
          <w:szCs w:val="32"/>
        </w:rPr>
        <w:t>个项目开展绩效监控，年终执行完毕后，对</w:t>
      </w:r>
      <w:r>
        <w:rPr>
          <w:rFonts w:hint="eastAsia" w:ascii="仿宋_GB2312" w:hAnsi="Calibri" w:eastAsia="仿宋_GB2312"/>
          <w:bCs/>
          <w:color w:val="000000"/>
          <w:sz w:val="32"/>
          <w:szCs w:val="32"/>
          <w:lang w:val="en-US" w:eastAsia="zh-CN"/>
        </w:rPr>
        <w:t>4</w:t>
      </w:r>
      <w:r>
        <w:rPr>
          <w:rFonts w:hint="eastAsia" w:ascii="仿宋_GB2312" w:hAnsi="Calibri" w:eastAsia="仿宋_GB2312"/>
          <w:bCs/>
          <w:color w:val="000000"/>
          <w:sz w:val="32"/>
          <w:szCs w:val="32"/>
        </w:rPr>
        <w:t>个项目开展了绩效目标完成情况自评。</w:t>
      </w:r>
    </w:p>
    <w:p w14:paraId="052F0B0E">
      <w:pPr>
        <w:pageBreakBefore w:val="0"/>
        <w:widowControl/>
        <w:suppressAutoHyphens/>
        <w:kinsoku/>
        <w:wordWrap/>
        <w:overflowPunct/>
        <w:topLinePunct w:val="0"/>
        <w:bidi w:val="0"/>
        <w:spacing w:line="600" w:lineRule="exact"/>
        <w:ind w:left="0" w:leftChars="0" w:right="0" w:firstLine="643" w:firstLineChars="200"/>
        <w:jc w:val="left"/>
        <w:rPr>
          <w:rFonts w:ascii="仿宋_GB2312" w:hAnsi="Calibri" w:eastAsia="仿宋_GB2312"/>
          <w:bCs/>
          <w:color w:val="000000"/>
          <w:sz w:val="32"/>
          <w:szCs w:val="32"/>
        </w:rPr>
      </w:pPr>
      <w:r>
        <w:rPr>
          <w:rFonts w:hint="eastAsia" w:ascii="仿宋_GB2312" w:hAnsi="Calibri" w:eastAsia="仿宋_GB2312"/>
          <w:b/>
          <w:color w:val="auto"/>
          <w:sz w:val="32"/>
          <w:szCs w:val="32"/>
          <w:lang w:val="en-US" w:eastAsia="zh-CN"/>
        </w:rPr>
        <w:t xml:space="preserve"> </w:t>
      </w:r>
      <w:r>
        <w:rPr>
          <w:rFonts w:hint="eastAsia" w:ascii="仿宋_GB2312" w:hAnsi="Calibri" w:eastAsia="仿宋_GB2312"/>
          <w:bCs/>
          <w:color w:val="000000"/>
          <w:sz w:val="32"/>
          <w:szCs w:val="32"/>
        </w:rPr>
        <w:t>1.项目绩效目标完成情况。</w:t>
      </w:r>
    </w:p>
    <w:p w14:paraId="7B775645">
      <w:pPr>
        <w:pageBreakBefore w:val="0"/>
        <w:widowControl/>
        <w:suppressAutoHyphens/>
        <w:kinsoku/>
        <w:wordWrap/>
        <w:overflowPunct/>
        <w:topLinePunct w:val="0"/>
        <w:bidi w:val="0"/>
        <w:spacing w:line="600" w:lineRule="exact"/>
        <w:ind w:left="0" w:leftChars="0" w:right="0" w:firstLine="640"/>
        <w:jc w:val="left"/>
        <w:rPr>
          <w:rFonts w:ascii="仿宋_GB2312" w:hAnsi="Calibri" w:eastAsia="仿宋_GB2312"/>
          <w:bCs/>
          <w:color w:val="000000"/>
          <w:sz w:val="32"/>
          <w:szCs w:val="32"/>
        </w:rPr>
      </w:pPr>
      <w:r>
        <w:rPr>
          <w:rFonts w:hint="eastAsia" w:ascii="仿宋_GB2312" w:hAnsi="Calibri" w:eastAsia="仿宋_GB2312"/>
          <w:bCs/>
          <w:color w:val="000000"/>
          <w:sz w:val="32"/>
          <w:szCs w:val="32"/>
        </w:rPr>
        <w:t>本部门在202</w:t>
      </w:r>
      <w:r>
        <w:rPr>
          <w:rFonts w:hint="eastAsia" w:ascii="仿宋_GB2312" w:hAnsi="Calibri" w:eastAsia="仿宋_GB2312"/>
          <w:bCs/>
          <w:color w:val="000000"/>
          <w:sz w:val="32"/>
          <w:szCs w:val="32"/>
          <w:lang w:val="en-US" w:eastAsia="zh-CN"/>
        </w:rPr>
        <w:t>5</w:t>
      </w:r>
      <w:r>
        <w:rPr>
          <w:rFonts w:hint="eastAsia" w:ascii="仿宋_GB2312" w:hAnsi="Calibri" w:eastAsia="仿宋_GB2312"/>
          <w:bCs/>
          <w:color w:val="000000"/>
          <w:sz w:val="32"/>
          <w:szCs w:val="32"/>
        </w:rPr>
        <w:t>年度部门决算中反映“</w:t>
      </w:r>
      <w:r>
        <w:rPr>
          <w:rFonts w:hint="eastAsia" w:ascii="仿宋_GB2312" w:hAnsi="Calibri" w:eastAsia="仿宋_GB2312"/>
          <w:bCs/>
          <w:color w:val="000000"/>
          <w:sz w:val="32"/>
          <w:szCs w:val="32"/>
          <w:lang w:eastAsia="zh-CN"/>
        </w:rPr>
        <w:t>生均公用经费和保教费</w:t>
      </w:r>
      <w:r>
        <w:rPr>
          <w:rFonts w:hint="eastAsia" w:ascii="仿宋_GB2312" w:hAnsi="Calibri" w:eastAsia="仿宋_GB2312"/>
          <w:bCs/>
          <w:color w:val="000000"/>
          <w:sz w:val="32"/>
          <w:szCs w:val="32"/>
        </w:rPr>
        <w:t>”等</w:t>
      </w:r>
      <w:r>
        <w:rPr>
          <w:rFonts w:hint="eastAsia" w:ascii="仿宋_GB2312" w:hAnsi="Calibri" w:eastAsia="仿宋_GB2312"/>
          <w:bCs/>
          <w:color w:val="000000"/>
          <w:sz w:val="32"/>
          <w:szCs w:val="32"/>
          <w:lang w:val="en-US" w:eastAsia="zh-CN"/>
        </w:rPr>
        <w:t>4</w:t>
      </w:r>
      <w:r>
        <w:rPr>
          <w:rFonts w:hint="eastAsia" w:ascii="仿宋_GB2312" w:hAnsi="Calibri" w:eastAsia="仿宋_GB2312"/>
          <w:bCs/>
          <w:color w:val="000000"/>
          <w:sz w:val="32"/>
          <w:szCs w:val="32"/>
        </w:rPr>
        <w:t>个项目绩效目标实际完成情况。</w:t>
      </w:r>
    </w:p>
    <w:p w14:paraId="09C58689">
      <w:pPr>
        <w:pageBreakBefore w:val="0"/>
        <w:widowControl/>
        <w:numPr>
          <w:ilvl w:val="0"/>
          <w:numId w:val="3"/>
        </w:numPr>
        <w:suppressAutoHyphens/>
        <w:kinsoku/>
        <w:wordWrap/>
        <w:overflowPunct/>
        <w:topLinePunct w:val="0"/>
        <w:bidi w:val="0"/>
        <w:spacing w:line="600" w:lineRule="exact"/>
        <w:ind w:left="0" w:leftChars="0" w:right="0" w:firstLine="640"/>
        <w:jc w:val="left"/>
        <w:rPr>
          <w:rFonts w:hint="eastAsia" w:ascii="仿宋_GB2312" w:hAnsi="Calibri" w:eastAsia="仿宋_GB2312"/>
          <w:bCs/>
          <w:color w:val="000000"/>
          <w:sz w:val="32"/>
          <w:szCs w:val="32"/>
        </w:rPr>
      </w:pPr>
      <w:r>
        <w:rPr>
          <w:rFonts w:hint="eastAsia" w:ascii="仿宋_GB2312" w:hAnsi="Calibri" w:eastAsia="仿宋_GB2312"/>
          <w:bCs/>
          <w:color w:val="000000"/>
          <w:sz w:val="32"/>
          <w:szCs w:val="32"/>
        </w:rPr>
        <w:t>“</w:t>
      </w:r>
      <w:r>
        <w:rPr>
          <w:rFonts w:hint="eastAsia" w:ascii="仿宋_GB2312" w:hAnsi="Calibri" w:eastAsia="仿宋_GB2312"/>
          <w:bCs/>
          <w:color w:val="000000"/>
          <w:sz w:val="32"/>
          <w:szCs w:val="32"/>
          <w:lang w:eastAsia="zh-CN"/>
        </w:rPr>
        <w:t>生均公用经费</w:t>
      </w:r>
      <w:r>
        <w:rPr>
          <w:rFonts w:hint="eastAsia" w:ascii="仿宋_GB2312" w:hAnsi="Calibri" w:eastAsia="仿宋_GB2312"/>
          <w:bCs/>
          <w:color w:val="000000"/>
          <w:sz w:val="32"/>
          <w:szCs w:val="32"/>
        </w:rPr>
        <w:t>”</w:t>
      </w:r>
      <w:r>
        <w:rPr>
          <w:rFonts w:hint="eastAsia" w:ascii="仿宋_GB2312" w:hAnsi="Calibri" w:eastAsia="仿宋_GB2312"/>
          <w:bCs/>
          <w:color w:val="000000"/>
          <w:sz w:val="32"/>
          <w:szCs w:val="32"/>
          <w:lang w:eastAsia="zh-CN"/>
        </w:rPr>
        <w:t>中央直达资金</w:t>
      </w:r>
      <w:r>
        <w:rPr>
          <w:rFonts w:hint="eastAsia" w:ascii="仿宋_GB2312" w:hAnsi="Calibri" w:eastAsia="仿宋_GB2312"/>
          <w:bCs/>
          <w:color w:val="000000"/>
          <w:sz w:val="32"/>
          <w:szCs w:val="32"/>
        </w:rPr>
        <w:t>项目绩效目标完成情况综述。项目全年预算数</w:t>
      </w:r>
      <w:r>
        <w:rPr>
          <w:rFonts w:hint="eastAsia" w:ascii="仿宋_GB2312" w:hAnsi="Calibri" w:eastAsia="仿宋_GB2312"/>
          <w:bCs/>
          <w:color w:val="000000"/>
          <w:sz w:val="32"/>
          <w:szCs w:val="32"/>
          <w:lang w:val="en-US" w:eastAsia="zh-CN"/>
        </w:rPr>
        <w:t>108.67</w:t>
      </w:r>
      <w:r>
        <w:rPr>
          <w:rFonts w:hint="eastAsia" w:ascii="仿宋_GB2312" w:hAnsi="Calibri" w:eastAsia="仿宋_GB2312"/>
          <w:bCs/>
          <w:color w:val="000000"/>
          <w:sz w:val="32"/>
          <w:szCs w:val="32"/>
        </w:rPr>
        <w:t>万元，执行数为</w:t>
      </w:r>
      <w:r>
        <w:rPr>
          <w:rFonts w:hint="eastAsia" w:ascii="仿宋_GB2312" w:hAnsi="Calibri" w:eastAsia="仿宋_GB2312"/>
          <w:bCs/>
          <w:color w:val="000000"/>
          <w:sz w:val="32"/>
          <w:szCs w:val="32"/>
          <w:lang w:val="en-US" w:eastAsia="zh-CN"/>
        </w:rPr>
        <w:t>108.67</w:t>
      </w:r>
      <w:r>
        <w:rPr>
          <w:rFonts w:hint="eastAsia" w:ascii="仿宋_GB2312" w:hAnsi="Calibri" w:eastAsia="仿宋_GB2312"/>
          <w:bCs/>
          <w:color w:val="000000"/>
          <w:sz w:val="32"/>
          <w:szCs w:val="32"/>
        </w:rPr>
        <w:t>万元，完成预算的100%。通过项目实施，保障了经费正常顺利地执行。</w:t>
      </w:r>
    </w:p>
    <w:p w14:paraId="7A226437">
      <w:pPr>
        <w:pageBreakBefore w:val="0"/>
        <w:widowControl/>
        <w:numPr>
          <w:ilvl w:val="0"/>
          <w:numId w:val="3"/>
        </w:numPr>
        <w:suppressAutoHyphens/>
        <w:kinsoku/>
        <w:wordWrap/>
        <w:overflowPunct/>
        <w:topLinePunct w:val="0"/>
        <w:bidi w:val="0"/>
        <w:spacing w:line="600" w:lineRule="exact"/>
        <w:ind w:left="0" w:leftChars="0" w:right="0" w:firstLine="640"/>
        <w:jc w:val="left"/>
        <w:rPr>
          <w:rFonts w:hint="eastAsia" w:ascii="仿宋_GB2312" w:hAnsi="Calibri" w:eastAsia="仿宋_GB2312"/>
          <w:bCs/>
          <w:color w:val="000000"/>
          <w:sz w:val="32"/>
          <w:szCs w:val="32"/>
        </w:rPr>
      </w:pPr>
      <w:r>
        <w:rPr>
          <w:rFonts w:hint="eastAsia" w:ascii="仿宋_GB2312" w:hAnsi="Calibri" w:eastAsia="仿宋_GB2312"/>
          <w:bCs/>
          <w:color w:val="000000"/>
          <w:sz w:val="32"/>
          <w:szCs w:val="32"/>
          <w:lang w:eastAsia="zh-CN"/>
        </w:rPr>
        <w:t>支持学前教育发展资金（一村一幼）</w:t>
      </w:r>
      <w:r>
        <w:rPr>
          <w:rFonts w:hint="eastAsia" w:ascii="仿宋_GB2312" w:hAnsi="Calibri" w:eastAsia="仿宋_GB2312"/>
          <w:bCs/>
          <w:color w:val="000000"/>
          <w:sz w:val="32"/>
          <w:szCs w:val="32"/>
        </w:rPr>
        <w:t>项目绩效目标完成情况综述。项目全年预算数</w:t>
      </w:r>
      <w:r>
        <w:rPr>
          <w:rFonts w:hint="eastAsia" w:ascii="仿宋_GB2312" w:hAnsi="Calibri" w:eastAsia="仿宋_GB2312"/>
          <w:bCs/>
          <w:color w:val="000000"/>
          <w:sz w:val="32"/>
          <w:szCs w:val="32"/>
          <w:lang w:val="en-US" w:eastAsia="zh-CN"/>
        </w:rPr>
        <w:t>27.1</w:t>
      </w:r>
      <w:r>
        <w:rPr>
          <w:rFonts w:hint="eastAsia" w:ascii="仿宋_GB2312" w:hAnsi="Calibri" w:eastAsia="仿宋_GB2312"/>
          <w:bCs/>
          <w:color w:val="000000"/>
          <w:sz w:val="32"/>
          <w:szCs w:val="32"/>
        </w:rPr>
        <w:t>万元，执行数为</w:t>
      </w:r>
      <w:r>
        <w:rPr>
          <w:rFonts w:hint="eastAsia" w:ascii="仿宋_GB2312" w:hAnsi="Calibri" w:eastAsia="仿宋_GB2312"/>
          <w:bCs/>
          <w:color w:val="000000"/>
          <w:sz w:val="32"/>
          <w:szCs w:val="32"/>
          <w:lang w:val="en-US" w:eastAsia="zh-CN"/>
        </w:rPr>
        <w:t>27.1</w:t>
      </w:r>
      <w:r>
        <w:rPr>
          <w:rFonts w:hint="eastAsia" w:ascii="仿宋_GB2312" w:hAnsi="Calibri" w:eastAsia="仿宋_GB2312"/>
          <w:bCs/>
          <w:color w:val="000000"/>
          <w:sz w:val="32"/>
          <w:szCs w:val="32"/>
        </w:rPr>
        <w:t>万元，完成预算的100%。通过项目实施，保障了经费正常顺利地执行。</w:t>
      </w:r>
    </w:p>
    <w:p w14:paraId="0B15533B">
      <w:pPr>
        <w:pageBreakBefore w:val="0"/>
        <w:widowControl/>
        <w:numPr>
          <w:ilvl w:val="0"/>
          <w:numId w:val="4"/>
        </w:numPr>
        <w:suppressAutoHyphens/>
        <w:kinsoku/>
        <w:wordWrap/>
        <w:overflowPunct/>
        <w:topLinePunct w:val="0"/>
        <w:bidi w:val="0"/>
        <w:spacing w:line="600" w:lineRule="exact"/>
        <w:ind w:left="0" w:leftChars="0" w:right="0" w:firstLine="640" w:firstLineChars="200"/>
        <w:jc w:val="left"/>
        <w:rPr>
          <w:rFonts w:hint="eastAsia" w:ascii="仿宋_GB2312" w:hAnsi="Calibri" w:eastAsia="仿宋_GB2312"/>
          <w:bCs/>
          <w:color w:val="000000"/>
          <w:sz w:val="32"/>
          <w:szCs w:val="32"/>
        </w:rPr>
      </w:pPr>
      <w:r>
        <w:rPr>
          <w:rFonts w:hint="eastAsia" w:ascii="仿宋_GB2312" w:hAnsi="Calibri" w:eastAsia="仿宋_GB2312"/>
          <w:bCs/>
          <w:color w:val="000000"/>
          <w:sz w:val="32"/>
          <w:szCs w:val="32"/>
        </w:rPr>
        <w:t>“</w:t>
      </w:r>
      <w:r>
        <w:rPr>
          <w:rFonts w:hint="eastAsia" w:ascii="仿宋_GB2312" w:hAnsi="Calibri" w:eastAsia="仿宋_GB2312"/>
          <w:bCs/>
          <w:color w:val="000000"/>
          <w:sz w:val="32"/>
          <w:szCs w:val="32"/>
          <w:lang w:val="en-US" w:eastAsia="zh-CN"/>
        </w:rPr>
        <w:t>学前保教费</w:t>
      </w:r>
      <w:r>
        <w:rPr>
          <w:rFonts w:hint="eastAsia" w:ascii="仿宋_GB2312" w:hAnsi="Calibri" w:eastAsia="仿宋_GB2312"/>
          <w:bCs/>
          <w:color w:val="000000"/>
          <w:sz w:val="32"/>
          <w:szCs w:val="32"/>
        </w:rPr>
        <w:t>”项目绩效目标完成情况综述。项目全年预算数</w:t>
      </w:r>
      <w:r>
        <w:rPr>
          <w:rFonts w:hint="eastAsia" w:ascii="仿宋_GB2312" w:hAnsi="Calibri" w:eastAsia="仿宋_GB2312"/>
          <w:bCs/>
          <w:color w:val="000000"/>
          <w:sz w:val="32"/>
          <w:szCs w:val="32"/>
          <w:lang w:val="en-US" w:eastAsia="zh-CN"/>
        </w:rPr>
        <w:t>10.22万</w:t>
      </w:r>
      <w:r>
        <w:rPr>
          <w:rFonts w:hint="eastAsia" w:ascii="仿宋_GB2312" w:hAnsi="Calibri" w:eastAsia="仿宋_GB2312"/>
          <w:bCs/>
          <w:color w:val="000000"/>
          <w:sz w:val="32"/>
          <w:szCs w:val="32"/>
        </w:rPr>
        <w:t>元，执行数为</w:t>
      </w:r>
      <w:r>
        <w:rPr>
          <w:rFonts w:hint="eastAsia" w:ascii="仿宋_GB2312" w:hAnsi="Calibri" w:eastAsia="仿宋_GB2312"/>
          <w:bCs/>
          <w:color w:val="000000"/>
          <w:sz w:val="32"/>
          <w:szCs w:val="32"/>
          <w:lang w:val="en-US" w:eastAsia="zh-CN"/>
        </w:rPr>
        <w:t>10.22</w:t>
      </w:r>
      <w:r>
        <w:rPr>
          <w:rFonts w:hint="eastAsia" w:ascii="仿宋_GB2312" w:hAnsi="Calibri" w:eastAsia="仿宋_GB2312"/>
          <w:bCs/>
          <w:color w:val="000000"/>
          <w:sz w:val="32"/>
          <w:szCs w:val="32"/>
        </w:rPr>
        <w:t>万元，完成预算的100%。</w:t>
      </w:r>
    </w:p>
    <w:p w14:paraId="60CBB64D">
      <w:pPr>
        <w:pageBreakBefore w:val="0"/>
        <w:widowControl/>
        <w:kinsoku/>
        <w:wordWrap/>
        <w:overflowPunct/>
        <w:topLinePunct w:val="0"/>
        <w:bidi w:val="0"/>
        <w:spacing w:line="600" w:lineRule="exact"/>
        <w:ind w:left="0" w:leftChars="0" w:right="0" w:firstLine="640" w:firstLineChars="200"/>
        <w:jc w:val="left"/>
        <w:rPr>
          <w:rFonts w:hint="eastAsia" w:ascii="仿宋_GB2312" w:eastAsia="仿宋_GB2312"/>
          <w:bCs/>
          <w:color w:val="000000"/>
          <w:sz w:val="32"/>
          <w:szCs w:val="32"/>
        </w:rPr>
      </w:pPr>
      <w:r>
        <w:rPr>
          <w:rFonts w:hint="eastAsia" w:ascii="仿宋_GB2312" w:eastAsia="仿宋_GB2312"/>
          <w:bCs/>
          <w:color w:val="000000"/>
          <w:sz w:val="32"/>
          <w:szCs w:val="32"/>
          <w:lang w:eastAsia="zh-CN"/>
        </w:rPr>
        <w:t>（</w:t>
      </w:r>
      <w:r>
        <w:rPr>
          <w:rFonts w:hint="eastAsia" w:ascii="仿宋_GB2312" w:eastAsia="仿宋_GB2312"/>
          <w:bCs/>
          <w:color w:val="000000"/>
          <w:sz w:val="32"/>
          <w:szCs w:val="32"/>
          <w:lang w:val="en-US" w:eastAsia="zh-CN"/>
        </w:rPr>
        <w:t>4）幼儿园公用经费</w:t>
      </w:r>
      <w:r>
        <w:rPr>
          <w:rFonts w:hint="eastAsia" w:ascii="仿宋_GB2312" w:eastAsia="仿宋_GB2312"/>
          <w:bCs/>
          <w:color w:val="000000"/>
          <w:sz w:val="32"/>
          <w:szCs w:val="32"/>
        </w:rPr>
        <w:t>项目绩效目标完成情况综述。项目全年预算数元，执行数为</w:t>
      </w:r>
      <w:r>
        <w:rPr>
          <w:rFonts w:hint="eastAsia" w:ascii="仿宋_GB2312" w:eastAsia="仿宋_GB2312"/>
          <w:bCs/>
          <w:color w:val="000000"/>
          <w:sz w:val="32"/>
          <w:szCs w:val="32"/>
          <w:lang w:val="en-US" w:eastAsia="zh-CN"/>
        </w:rPr>
        <w:t>22.14</w:t>
      </w:r>
      <w:r>
        <w:rPr>
          <w:rFonts w:hint="eastAsia" w:ascii="仿宋_GB2312" w:eastAsia="仿宋_GB2312"/>
          <w:bCs/>
          <w:color w:val="000000"/>
          <w:sz w:val="32"/>
          <w:szCs w:val="32"/>
        </w:rPr>
        <w:t>万元，完成预算的100%。</w:t>
      </w:r>
    </w:p>
    <w:p w14:paraId="6077F9C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2027C4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8C57F4B">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60AF0625">
      <w:pPr>
        <w:pStyle w:val="27"/>
        <w:pageBreakBefore w:val="0"/>
        <w:kinsoku/>
        <w:wordWrap/>
        <w:overflowPunct/>
        <w:topLinePunct w:val="0"/>
        <w:bidi w:val="0"/>
        <w:spacing w:line="600" w:lineRule="exact"/>
        <w:ind w:left="0" w:leftChars="0" w:right="0" w:firstLine="640" w:firstLineChars="200"/>
        <w:rPr>
          <w:rFonts w:hint="eastAsia" w:ascii="仿宋_GB2312" w:eastAsia="仿宋_GB2312"/>
          <w:sz w:val="32"/>
          <w:szCs w:val="32"/>
          <w:lang w:eastAsia="zh-CN"/>
        </w:rPr>
      </w:pPr>
      <w:bookmarkStart w:id="45" w:name="_Toc15396614"/>
      <w:bookmarkStart w:id="46"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r>
        <w:rPr>
          <w:rFonts w:hint="eastAsia" w:ascii="仿宋_GB2312" w:eastAsia="仿宋_GB2312"/>
          <w:sz w:val="32"/>
          <w:szCs w:val="32"/>
          <w:lang w:eastAsia="zh-CN"/>
        </w:rPr>
        <w:t>。</w:t>
      </w:r>
    </w:p>
    <w:p w14:paraId="2AD20B6C">
      <w:pPr>
        <w:pStyle w:val="27"/>
        <w:pageBreakBefore w:val="0"/>
        <w:kinsoku/>
        <w:wordWrap/>
        <w:overflowPunct/>
        <w:topLinePunct w:val="0"/>
        <w:bidi w:val="0"/>
        <w:spacing w:line="600" w:lineRule="exact"/>
        <w:ind w:left="0" w:leftChars="0" w:right="0"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年初结转和结余：指以前年度尚未完成、结转到本年按有关规定继续使用的资金。</w:t>
      </w:r>
    </w:p>
    <w:p w14:paraId="4FDC26B6">
      <w:pPr>
        <w:pageBreakBefore w:val="0"/>
        <w:kinsoku/>
        <w:wordWrap/>
        <w:overflowPunct/>
        <w:topLinePunct w:val="0"/>
        <w:bidi w:val="0"/>
        <w:spacing w:line="600" w:lineRule="exact"/>
        <w:ind w:left="0" w:leftChars="0" w:right="0" w:firstLine="640" w:firstLineChars="200"/>
        <w:rPr>
          <w:rFonts w:ascii="仿宋_GB2312" w:eastAsia="仿宋_GB2312"/>
          <w:color w:val="000000"/>
          <w:sz w:val="32"/>
          <w:szCs w:val="32"/>
        </w:rPr>
      </w:pPr>
      <w:r>
        <w:rPr>
          <w:rFonts w:hint="eastAsia" w:ascii="仿宋_GB2312" w:eastAsia="仿宋_GB2312"/>
          <w:color w:val="000000"/>
          <w:sz w:val="32"/>
          <w:szCs w:val="32"/>
        </w:rPr>
        <w:t>3</w:t>
      </w:r>
      <w:r>
        <w:rPr>
          <w:rFonts w:ascii="仿宋_GB2312" w:eastAsia="仿宋_GB2312"/>
          <w:color w:val="000000"/>
          <w:sz w:val="32"/>
          <w:szCs w:val="32"/>
        </w:rPr>
        <w:t>.</w:t>
      </w:r>
      <w:r>
        <w:rPr>
          <w:rFonts w:hint="eastAsia" w:ascii="仿宋_GB2312" w:eastAsia="仿宋_GB2312"/>
          <w:color w:val="000000"/>
          <w:sz w:val="32"/>
          <w:szCs w:val="32"/>
        </w:rPr>
        <w:t>一般公共服务（类）人力资源事务（款）其他人力资源事务支出（项）：</w:t>
      </w:r>
      <w:r>
        <w:rPr>
          <w:rFonts w:hint="eastAsia" w:ascii="仿宋" w:hAnsi="仿宋" w:eastAsia="仿宋"/>
          <w:color w:val="000000"/>
          <w:sz w:val="30"/>
          <w:szCs w:val="30"/>
        </w:rPr>
        <w:t>指政协事务</w:t>
      </w:r>
      <w:r>
        <w:rPr>
          <w:rFonts w:hint="eastAsia" w:ascii="仿宋_GB2312" w:eastAsia="仿宋_GB2312"/>
          <w:color w:val="000000"/>
          <w:sz w:val="32"/>
          <w:szCs w:val="32"/>
        </w:rPr>
        <w:t>。</w:t>
      </w:r>
    </w:p>
    <w:p w14:paraId="194F5CCC">
      <w:pPr>
        <w:pageBreakBefore w:val="0"/>
        <w:kinsoku/>
        <w:wordWrap/>
        <w:overflowPunct/>
        <w:topLinePunct w:val="0"/>
        <w:bidi w:val="0"/>
        <w:spacing w:line="600" w:lineRule="exact"/>
        <w:ind w:left="0" w:leftChars="0" w:right="0" w:firstLine="640" w:firstLineChars="200"/>
        <w:rPr>
          <w:rFonts w:ascii="仿宋" w:hAnsi="仿宋" w:eastAsia="仿宋"/>
          <w:color w:val="000000"/>
          <w:sz w:val="30"/>
          <w:szCs w:val="30"/>
        </w:rPr>
      </w:pPr>
      <w:r>
        <w:rPr>
          <w:rFonts w:hint="eastAsia" w:ascii="仿宋_GB2312" w:eastAsia="仿宋_GB2312"/>
          <w:color w:val="000000"/>
          <w:sz w:val="32"/>
          <w:szCs w:val="32"/>
        </w:rPr>
        <w:t>4</w:t>
      </w:r>
      <w:r>
        <w:rPr>
          <w:rFonts w:ascii="仿宋_GB2312" w:eastAsia="仿宋_GB2312"/>
          <w:color w:val="000000"/>
          <w:sz w:val="32"/>
          <w:szCs w:val="32"/>
        </w:rPr>
        <w:t>.</w:t>
      </w:r>
      <w:r>
        <w:rPr>
          <w:rStyle w:val="18"/>
          <w:rFonts w:hint="eastAsia" w:ascii="仿宋" w:hAnsi="仿宋" w:eastAsia="仿宋"/>
          <w:b w:val="0"/>
          <w:color w:val="000000"/>
          <w:sz w:val="32"/>
          <w:szCs w:val="32"/>
        </w:rPr>
        <w:t>社会保障和就业（类）行政事业单位离退休（款）机关事业单位基本养老保险缴费支出（项）</w:t>
      </w:r>
      <w:r>
        <w:rPr>
          <w:rFonts w:hint="eastAsia" w:ascii="仿宋_GB2312" w:eastAsia="仿宋_GB2312"/>
          <w:color w:val="000000"/>
          <w:sz w:val="32"/>
          <w:szCs w:val="32"/>
        </w:rPr>
        <w:t>：</w:t>
      </w:r>
      <w:r>
        <w:rPr>
          <w:rFonts w:hint="eastAsia" w:ascii="仿宋" w:hAnsi="仿宋" w:eastAsia="仿宋"/>
          <w:color w:val="000000"/>
          <w:sz w:val="30"/>
          <w:szCs w:val="30"/>
        </w:rPr>
        <w:t>指机关事业单位养老保险缴费支出。</w:t>
      </w:r>
    </w:p>
    <w:p w14:paraId="53E8CC5E">
      <w:pPr>
        <w:pageBreakBefore w:val="0"/>
        <w:kinsoku/>
        <w:wordWrap/>
        <w:overflowPunct/>
        <w:topLinePunct w:val="0"/>
        <w:bidi w:val="0"/>
        <w:spacing w:line="600" w:lineRule="exact"/>
        <w:ind w:left="0" w:leftChars="0" w:right="0" w:firstLine="640" w:firstLineChars="200"/>
        <w:rPr>
          <w:rFonts w:ascii="仿宋_GB2312" w:eastAsia="仿宋_GB2312"/>
          <w:color w:val="000000"/>
          <w:sz w:val="32"/>
          <w:szCs w:val="32"/>
        </w:rPr>
      </w:pPr>
      <w:r>
        <w:rPr>
          <w:rFonts w:hint="eastAsia" w:ascii="仿宋_GB2312" w:eastAsia="仿宋_GB2312"/>
          <w:color w:val="000000"/>
          <w:sz w:val="32"/>
          <w:szCs w:val="32"/>
        </w:rPr>
        <w:t>5</w:t>
      </w:r>
      <w:r>
        <w:rPr>
          <w:rFonts w:ascii="仿宋_GB2312" w:eastAsia="仿宋_GB2312"/>
          <w:color w:val="000000"/>
          <w:sz w:val="32"/>
          <w:szCs w:val="32"/>
        </w:rPr>
        <w:t>.</w:t>
      </w:r>
      <w:r>
        <w:rPr>
          <w:rFonts w:hint="eastAsia" w:ascii="仿宋_GB2312" w:eastAsia="仿宋_GB2312"/>
          <w:color w:val="000000"/>
          <w:sz w:val="32"/>
          <w:szCs w:val="32"/>
        </w:rPr>
        <w:t>卫生健康支出（类）行政事业单位医疗（款）事业单位医疗（项）：指行政事业单位医疗。</w:t>
      </w:r>
    </w:p>
    <w:p w14:paraId="6477DD35">
      <w:pPr>
        <w:pageBreakBefore w:val="0"/>
        <w:kinsoku/>
        <w:wordWrap/>
        <w:overflowPunct/>
        <w:topLinePunct w:val="0"/>
        <w:bidi w:val="0"/>
        <w:spacing w:line="600" w:lineRule="exact"/>
        <w:ind w:left="0" w:leftChars="0" w:right="0" w:firstLine="640" w:firstLineChars="200"/>
        <w:rPr>
          <w:rFonts w:ascii="仿宋_GB2312" w:eastAsia="仿宋_GB2312"/>
          <w:color w:val="000000"/>
          <w:sz w:val="32"/>
          <w:szCs w:val="32"/>
        </w:rPr>
      </w:pPr>
      <w:r>
        <w:rPr>
          <w:rFonts w:hint="eastAsia" w:ascii="仿宋_GB2312" w:eastAsia="仿宋_GB2312"/>
          <w:color w:val="000000"/>
          <w:sz w:val="32"/>
          <w:szCs w:val="32"/>
        </w:rPr>
        <w:t>6</w:t>
      </w:r>
      <w:r>
        <w:rPr>
          <w:rFonts w:ascii="仿宋_GB2312" w:eastAsia="仿宋_GB2312"/>
          <w:color w:val="000000"/>
          <w:sz w:val="32"/>
          <w:szCs w:val="32"/>
        </w:rPr>
        <w:t>.</w:t>
      </w:r>
      <w:r>
        <w:rPr>
          <w:rFonts w:hint="eastAsia" w:ascii="仿宋_GB2312" w:eastAsia="仿宋_GB2312"/>
          <w:color w:val="000000"/>
          <w:sz w:val="32"/>
          <w:szCs w:val="32"/>
        </w:rPr>
        <w:t>住房保障（类）住房改革支出（款）住房公积金（项）：指住房改革支出。</w:t>
      </w:r>
    </w:p>
    <w:p w14:paraId="18F483FE">
      <w:pPr>
        <w:pageBreakBefore w:val="0"/>
        <w:kinsoku/>
        <w:wordWrap/>
        <w:overflowPunct/>
        <w:topLinePunct w:val="0"/>
        <w:bidi w:val="0"/>
        <w:spacing w:line="600" w:lineRule="exact"/>
        <w:ind w:left="0" w:leftChars="0" w:right="0" w:firstLine="640" w:firstLineChars="200"/>
        <w:rPr>
          <w:rFonts w:ascii="仿宋_GB2312" w:eastAsia="仿宋_GB2312"/>
          <w:color w:val="000000"/>
          <w:sz w:val="32"/>
          <w:szCs w:val="32"/>
        </w:rPr>
      </w:pPr>
      <w:r>
        <w:rPr>
          <w:rFonts w:hint="eastAsia" w:ascii="仿宋_GB2312" w:eastAsia="仿宋_GB2312"/>
          <w:color w:val="000000"/>
          <w:sz w:val="32"/>
          <w:szCs w:val="32"/>
        </w:rPr>
        <w:t>7</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526C1EF2">
      <w:pPr>
        <w:pageBreakBefore w:val="0"/>
        <w:kinsoku/>
        <w:wordWrap/>
        <w:overflowPunct/>
        <w:topLinePunct w:val="0"/>
        <w:bidi w:val="0"/>
        <w:spacing w:line="600" w:lineRule="exact"/>
        <w:ind w:left="0" w:leftChars="0" w:right="0" w:firstLine="640" w:firstLineChars="200"/>
        <w:rPr>
          <w:rFonts w:hint="eastAsia" w:ascii="仿宋_GB2312" w:eastAsia="仿宋_GB2312"/>
          <w:color w:val="000000"/>
          <w:sz w:val="32"/>
          <w:szCs w:val="32"/>
        </w:rPr>
      </w:pPr>
      <w:r>
        <w:rPr>
          <w:rFonts w:hint="eastAsia" w:ascii="仿宋_GB2312" w:eastAsia="仿宋_GB2312"/>
          <w:color w:val="000000"/>
          <w:sz w:val="32"/>
          <w:szCs w:val="32"/>
        </w:rPr>
        <w:t xml:space="preserve">8.项目支出：指在基本支出之外为完成本级政协会议、委员参政议政、视察调研等特定行政任务发生的支出。 </w:t>
      </w:r>
    </w:p>
    <w:p w14:paraId="3DC28A69">
      <w:pPr>
        <w:pStyle w:val="27"/>
        <w:spacing w:line="560" w:lineRule="exact"/>
        <w:ind w:firstLine="640" w:firstLineChars="200"/>
        <w:rPr>
          <w:rFonts w:ascii="仿宋_GB2312" w:eastAsia="仿宋_GB2312"/>
          <w:color w:val="auto"/>
          <w:sz w:val="32"/>
          <w:szCs w:val="32"/>
        </w:rPr>
      </w:pPr>
      <w:r>
        <w:rPr>
          <w:rFonts w:hint="eastAsia"/>
          <w:color w:val="000000"/>
          <w:sz w:val="32"/>
          <w:szCs w:val="32"/>
          <w:lang w:val="en-US" w:eastAsia="zh-CN"/>
        </w:rPr>
        <w:t>9.</w:t>
      </w:r>
      <w:r>
        <w:rPr>
          <w:rFonts w:hint="eastAsia" w:ascii="仿宋_GB2312" w:eastAsia="仿宋_GB2312"/>
          <w:color w:val="auto"/>
          <w:sz w:val="32"/>
          <w:szCs w:val="32"/>
        </w:rPr>
        <w:t>其他收入：指单位取得的除上述收入以外的各项收入。主要是</w:t>
      </w:r>
      <w:r>
        <w:rPr>
          <w:rFonts w:hint="eastAsia" w:ascii="仿宋_GB2312" w:eastAsia="仿宋_GB2312"/>
          <w:color w:val="auto"/>
          <w:sz w:val="32"/>
          <w:szCs w:val="32"/>
          <w:lang w:val="en-US" w:eastAsia="zh-CN"/>
        </w:rPr>
        <w:t>课后延时服务费收入</w:t>
      </w:r>
      <w:r>
        <w:rPr>
          <w:rFonts w:hint="eastAsia" w:ascii="仿宋_GB2312" w:eastAsia="仿宋_GB2312"/>
          <w:color w:val="auto"/>
          <w:sz w:val="32"/>
          <w:szCs w:val="32"/>
        </w:rPr>
        <w:t>等。</w:t>
      </w:r>
    </w:p>
    <w:p w14:paraId="06197FE6">
      <w:pPr>
        <w:spacing w:line="600" w:lineRule="exact"/>
        <w:jc w:val="center"/>
        <w:rPr>
          <w:rFonts w:hint="eastAsia" w:ascii="Times New Roman" w:hAnsi="Times New Roman" w:eastAsia="黑体"/>
          <w:color w:val="auto"/>
          <w:sz w:val="44"/>
          <w:szCs w:val="44"/>
          <w:highlight w:val="none"/>
        </w:rPr>
      </w:pPr>
    </w:p>
    <w:p w14:paraId="5C280CED">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77C223F8">
      <w:pPr>
        <w:pStyle w:val="13"/>
        <w:rPr>
          <w:rFonts w:hint="default"/>
        </w:rPr>
      </w:pPr>
    </w:p>
    <w:p w14:paraId="727783B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黑体" w:hAnsi="宋体" w:eastAsia="黑体" w:cs="黑体"/>
          <w:i w:val="0"/>
          <w:iCs w:val="0"/>
          <w:caps w:val="0"/>
          <w:color w:val="333333"/>
          <w:spacing w:val="0"/>
          <w:sz w:val="43"/>
          <w:szCs w:val="43"/>
          <w:shd w:val="clear" w:fill="FFFFFF"/>
        </w:rPr>
      </w:pPr>
      <w:r>
        <w:rPr>
          <w:rFonts w:hint="eastAsia" w:ascii="黑体" w:hAnsi="宋体" w:eastAsia="黑体" w:cs="黑体"/>
          <w:i w:val="0"/>
          <w:iCs w:val="0"/>
          <w:caps w:val="0"/>
          <w:color w:val="333333"/>
          <w:spacing w:val="0"/>
          <w:sz w:val="43"/>
          <w:szCs w:val="43"/>
          <w:shd w:val="clear" w:fill="FFFFFF"/>
          <w:lang w:val="en-US" w:eastAsia="zh-CN"/>
        </w:rPr>
        <w:t>马边彝族自治县三河口镇中心校</w:t>
      </w:r>
      <w:r>
        <w:rPr>
          <w:rFonts w:ascii="黑体" w:hAnsi="宋体" w:eastAsia="黑体" w:cs="黑体"/>
          <w:i w:val="0"/>
          <w:iCs w:val="0"/>
          <w:caps w:val="0"/>
          <w:color w:val="333333"/>
          <w:spacing w:val="0"/>
          <w:sz w:val="43"/>
          <w:szCs w:val="43"/>
          <w:shd w:val="clear" w:fill="FFFFFF"/>
        </w:rPr>
        <w:t>整体绩效</w:t>
      </w:r>
    </w:p>
    <w:p w14:paraId="4DADC8E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ascii="黑体" w:hAnsi="宋体" w:eastAsia="黑体" w:cs="黑体"/>
          <w:i w:val="0"/>
          <w:iCs w:val="0"/>
          <w:caps w:val="0"/>
          <w:color w:val="333333"/>
          <w:spacing w:val="0"/>
          <w:sz w:val="43"/>
          <w:szCs w:val="43"/>
          <w:shd w:val="clear" w:fill="FFFFFF"/>
        </w:rPr>
        <w:t>自评报告</w:t>
      </w:r>
    </w:p>
    <w:p w14:paraId="563FFDF7">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1D63A24">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0BDD800A">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（1）马边彝族自治县三河口镇中心校是一所彝族地区全日制乡镇寄宿制小学。（</w:t>
      </w:r>
      <w:r>
        <w:rPr>
          <w:rFonts w:hint="eastAsia" w:ascii="仿宋_GB2312" w:hAnsi="仿宋_GB2312" w:eastAsia="仿宋_GB2312" w:cs="仿宋_GB2312"/>
          <w:color w:val="000000"/>
          <w:sz w:val="32"/>
          <w:szCs w:val="32"/>
          <w:u w:val="none"/>
        </w:rPr>
        <w:t>统一社会信用代码</w:t>
      </w:r>
      <w:r>
        <w:rPr>
          <w:rFonts w:hint="eastAsia" w:ascii="Times New Roman" w:hAnsi="Times New Roman" w:eastAsia="仿宋_GB2312" w:cs="仿宋_GB2312"/>
          <w:color w:val="auto"/>
          <w:kern w:val="2"/>
          <w:sz w:val="32"/>
          <w:szCs w:val="32"/>
          <w:highlight w:val="none"/>
          <w:lang w:val="en-US" w:eastAsia="zh-CN" w:bidi="ar-SA"/>
        </w:rPr>
        <w:t>125110337891100030）。学校全面贯彻国家教育方针政策、法规，培养学生的创新精神与实践能力，使之成为社会主义事业的建设者和接班人。</w:t>
      </w:r>
    </w:p>
    <w:p w14:paraId="3DF8842C">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仿宋_GB2312" w:cs="仿宋_GB2312"/>
          <w:color w:val="auto"/>
          <w:kern w:val="2"/>
          <w:sz w:val="32"/>
          <w:szCs w:val="32"/>
          <w:highlight w:val="none"/>
          <w:lang w:val="en-US" w:eastAsia="zh-CN" w:bidi="ar-SA"/>
        </w:rPr>
        <w:t>（2）主要宗旨：负责三河口镇辖区内学生义务教育阶段小学阶段教育教学和学前双语教育工作</w:t>
      </w:r>
      <w:r>
        <w:rPr>
          <w:rFonts w:hint="eastAsia" w:eastAsia="仿宋_GB2312" w:cs="仿宋_GB2312"/>
          <w:color w:val="auto"/>
          <w:kern w:val="2"/>
          <w:sz w:val="32"/>
          <w:szCs w:val="32"/>
          <w:highlight w:val="none"/>
          <w:lang w:val="en-US" w:eastAsia="zh-CN" w:bidi="ar-SA"/>
        </w:rPr>
        <w:t>。</w:t>
      </w:r>
    </w:p>
    <w:p w14:paraId="39F7AC28">
      <w:pPr>
        <w:keepNext w:val="0"/>
        <w:keepLines w:val="0"/>
        <w:pageBreakBefore w:val="0"/>
        <w:widowControl/>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16E766AD">
      <w:pPr>
        <w:keepNext w:val="0"/>
        <w:keepLines w:val="0"/>
        <w:pageBreakBefore w:val="0"/>
        <w:widowControl/>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我校为独立编制机构，独立核算机构。</w:t>
      </w:r>
    </w:p>
    <w:p w14:paraId="36713A9F">
      <w:pPr>
        <w:keepNext w:val="0"/>
        <w:keepLines w:val="0"/>
        <w:pageBreakBefore w:val="0"/>
        <w:widowControl/>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仿宋_GB2312" w:cs="仿宋_GB2312"/>
          <w:color w:val="auto"/>
          <w:kern w:val="2"/>
          <w:sz w:val="32"/>
          <w:szCs w:val="32"/>
          <w:highlight w:val="none"/>
          <w:lang w:val="en-US" w:eastAsia="zh-CN" w:bidi="ar-SA"/>
        </w:rPr>
        <w:t>学校为公益一类、全额拨款事业单位。我校领导职数：领导正职1人，实有校长1名；内设机构6个：教务处、总务处、德育处、人事办公室、财务室、少队室。实有教务主任1名，总务主任1名，德育主任1名，财务室报账员1名，人事办公室主任1名，少先队大队辅导员1名</w:t>
      </w:r>
      <w:r>
        <w:rPr>
          <w:rFonts w:hint="eastAsia" w:eastAsia="仿宋_GB2312" w:cs="仿宋_GB2312"/>
          <w:color w:val="auto"/>
          <w:kern w:val="2"/>
          <w:sz w:val="32"/>
          <w:szCs w:val="32"/>
          <w:highlight w:val="none"/>
          <w:lang w:val="en-US" w:eastAsia="zh-CN" w:bidi="ar-SA"/>
        </w:rPr>
        <w:t>。</w:t>
      </w:r>
    </w:p>
    <w:p w14:paraId="6FBDA098">
      <w:pPr>
        <w:keepNext w:val="0"/>
        <w:keepLines w:val="0"/>
        <w:pageBreakBefore w:val="0"/>
        <w:numPr>
          <w:ilvl w:val="0"/>
          <w:numId w:val="1"/>
        </w:numPr>
        <w:kinsoku/>
        <w:wordWrap/>
        <w:overflowPunct/>
        <w:topLinePunct w:val="0"/>
        <w:autoSpaceDE/>
        <w:autoSpaceDN/>
        <w:bidi w:val="0"/>
        <w:snapToGrid w:val="0"/>
        <w:spacing w:line="560" w:lineRule="atLeast"/>
        <w:ind w:left="0" w:leftChars="0" w:firstLine="643" w:firstLineChars="200"/>
        <w:textAlignment w:val="auto"/>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截至</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年年末实有在职职工</w:t>
      </w:r>
      <w:r>
        <w:rPr>
          <w:rFonts w:hint="eastAsia" w:ascii="仿宋_GB2312" w:hAnsi="仿宋_GB2312" w:eastAsia="仿宋_GB2312" w:cs="仿宋_GB2312"/>
          <w:sz w:val="32"/>
          <w:szCs w:val="32"/>
          <w:lang w:val="en-US" w:eastAsia="zh-CN"/>
        </w:rPr>
        <w:t>56</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val="en-US" w:eastAsia="zh-CN"/>
        </w:rPr>
        <w:t>在编在岗教师49</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“三支一扶”教师</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新招聘正式在编教师2人，调出在编在岗2人，调进1人，退休0人，“三支一扶”教师辞职4人，新参加工作“三支一扶”2人。</w:t>
      </w:r>
    </w:p>
    <w:p w14:paraId="39DCB298">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（三）2025年度主要工作任务：</w:t>
      </w:r>
    </w:p>
    <w:p w14:paraId="4DCCF4D2">
      <w:pPr>
        <w:keepNext w:val="0"/>
        <w:keepLines w:val="0"/>
        <w:pageBreakBefore w:val="0"/>
        <w:kinsoku/>
        <w:wordWrap/>
        <w:overflowPunct/>
        <w:topLinePunct w:val="0"/>
        <w:autoSpaceDE/>
        <w:autoSpaceDN/>
        <w:bidi w:val="0"/>
        <w:spacing w:line="560" w:lineRule="atLeast"/>
        <w:ind w:firstLine="643" w:firstLineChars="200"/>
        <w:textAlignment w:val="auto"/>
        <w:rPr>
          <w:rFonts w:hint="eastAsia"/>
          <w:b/>
          <w:bCs/>
          <w:sz w:val="32"/>
          <w:szCs w:val="32"/>
        </w:rPr>
      </w:pPr>
      <w:r>
        <w:rPr>
          <w:rFonts w:hint="eastAsia"/>
          <w:b/>
          <w:bCs/>
          <w:sz w:val="32"/>
          <w:szCs w:val="32"/>
        </w:rPr>
        <w:t>一、抓好党建工作，筑牢育人根本</w:t>
      </w:r>
    </w:p>
    <w:p w14:paraId="4073F521">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党建是办学治校的根本保证，我校始终坚持党建引领教育发展，以标准化党支部建设为抓手，推动党建与教育教学深度融合，为学校高质量发展筑牢政治根基。</w:t>
      </w:r>
    </w:p>
    <w:p w14:paraId="2C8FBAB7">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强化理论武装：组织全体党员教师开展政治理论学习6次、主题党日活动1</w:t>
      </w:r>
      <w:r>
        <w:rPr>
          <w:rFonts w:hint="eastAsia" w:ascii="仿宋_GB2312" w:hAnsi="仿宋_GB2312" w:eastAsia="仿宋_GB2312" w:cs="仿宋_GB2312"/>
          <w:sz w:val="32"/>
          <w:szCs w:val="32"/>
          <w:lang w:val="en-US" w:eastAsia="zh-CN"/>
        </w:rPr>
        <w:t>0次，深入学习贯彻党的二十大精神</w:t>
      </w:r>
      <w:r>
        <w:rPr>
          <w:rFonts w:hint="eastAsia" w:ascii="仿宋_GB2312" w:hAnsi="仿宋_GB2312" w:eastAsia="仿宋_GB2312" w:cs="仿宋_GB2312"/>
          <w:sz w:val="32"/>
          <w:szCs w:val="32"/>
        </w:rPr>
        <w:t>及教育领域重要政策文件；同步开展师德师风专题教育2场，引导教师严守师德底线，争做“四有”好老师。</w:t>
      </w:r>
    </w:p>
    <w:p w14:paraId="38B0CE48">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夯实组织建设：严格落实“三会一课”制度，顺利完成党支部换届选举工作，发展入党积极分子2名；加强党风廉政建设，开展廉政警示教育2次，组织57名教师签订师德师风承诺书，全年无教师违反师德师风情况。</w:t>
      </w:r>
    </w:p>
    <w:p w14:paraId="6B25492B">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深化先锋引领：组建“党员教师先锋队”，带头参与控辍保学、送教上门、家访、民族文化进校园等重点工作；组织党员干部慰问退休教师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人次、看望生病教职工3人次，切实为教职工排忧解难，充分发挥党员先锋模范作用。</w:t>
      </w:r>
    </w:p>
    <w:p w14:paraId="6FEF936E">
      <w:pPr>
        <w:keepNext w:val="0"/>
        <w:keepLines w:val="0"/>
        <w:pageBreakBefore w:val="0"/>
        <w:kinsoku/>
        <w:wordWrap/>
        <w:overflowPunct/>
        <w:topLinePunct w:val="0"/>
        <w:autoSpaceDE/>
        <w:autoSpaceDN/>
        <w:bidi w:val="0"/>
        <w:spacing w:line="560" w:lineRule="atLeas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 聚焦课堂教学，提升办学质量</w:t>
      </w:r>
    </w:p>
    <w:p w14:paraId="4527226C">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校始终将教学质量视为学校生命线，聚焦“让每一个孩子在家门口享受到优质教育”的目标，多维度发力推动教学工作稳步前行。本学年，学校教学质量显著提升，多个班级学科成绩位居全县前列。为进一步巩固提质成果、构建长效育人机制，我校从目标引领、制度保障、过程监控、课堂改革、师资赋能五个维度精准施策，具体举措如下：</w:t>
      </w:r>
    </w:p>
    <w:p w14:paraId="22A39690">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构建四级目标驱动体系：学校层面明确“保底线、促均衡、创特色”总体目标；教师层面将教学成效细化为“学生进步率、家长满意度、学科贡献值”三项指标并与奖惩挂钩；学生层面设立多元激励奖项，覆盖不同层次学生；家校层面推行《家校共育目标卡》，凝聚育人合力。</w:t>
      </w:r>
    </w:p>
    <w:p w14:paraId="3BE29EE3">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完善核心管理制度：落实每月“备课、作业、听课”三查制度并公示整改；推行“基础+弹性”作业模式，切实落实“双减”要求；建立住校生生活德育</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rPr>
        <w:t>，通过内务评比、校园责任岗，实现“生活即教育”。</w:t>
      </w:r>
    </w:p>
    <w:p w14:paraId="75E659E9">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落实三级过程监控机制：实行校长每周推门听课不少于2节的蹲点制；推行薄弱学科“靶向教研”的教研组集体诊断制；执行“月评估、季通报、年奖惩”的教务处考核制；创新“双师陪伴制”，保障寄宿制学生24小时成长链条不断线。</w:t>
      </w:r>
    </w:p>
    <w:p w14:paraId="128C67A6">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深化课堂教学改革：抓实课前“三定”、课中“问题导学+小组合作”（精讲15分钟、留白10分钟）、课后“错题档案+个性化辅导”三个关键环节；与县教师进修学校合作开展“订单式”培训，切实提升教师课堂教学实操能力。</w:t>
      </w:r>
    </w:p>
    <w:p w14:paraId="75E50B00">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强化师资专业赋能：实施“铸魂、强能、暖心”三项行动，通过教育故事分享会坚定教师扎根乡村信念；依托“青蓝工程”助力青年教师快速成长；改善教师办公住宿条件、设立子女入学绿色通道，切实解决教师后顾之忧。</w:t>
      </w:r>
    </w:p>
    <w:p w14:paraId="34723965">
      <w:pPr>
        <w:keepNext w:val="0"/>
        <w:keepLines w:val="0"/>
        <w:pageBreakBefore w:val="0"/>
        <w:kinsoku/>
        <w:wordWrap/>
        <w:overflowPunct/>
        <w:topLinePunct w:val="0"/>
        <w:autoSpaceDE/>
        <w:autoSpaceDN/>
        <w:bidi w:val="0"/>
        <w:spacing w:line="560" w:lineRule="atLeas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 推进德育文化，守护学生成长</w:t>
      </w:r>
    </w:p>
    <w:p w14:paraId="1C58E4A6">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育人之本，在于立德铸魂。我校坚持德育为首、文化育人，结合</w:t>
      </w:r>
      <w:r>
        <w:rPr>
          <w:rFonts w:hint="eastAsia" w:ascii="仿宋_GB2312" w:hAnsi="仿宋_GB2312" w:eastAsia="仿宋_GB2312" w:cs="仿宋_GB2312"/>
          <w:sz w:val="32"/>
          <w:szCs w:val="32"/>
          <w:lang w:val="en-US" w:eastAsia="zh-CN"/>
        </w:rPr>
        <w:t>彝</w:t>
      </w:r>
      <w:r>
        <w:rPr>
          <w:rFonts w:hint="eastAsia" w:ascii="仿宋_GB2312" w:hAnsi="仿宋_GB2312" w:eastAsia="仿宋_GB2312" w:cs="仿宋_GB2312"/>
          <w:sz w:val="32"/>
          <w:szCs w:val="32"/>
        </w:rPr>
        <w:t>族地区学生身心发展特点，构建全方位、多层次的育人体系，为学生健康成长保驾护航。</w:t>
      </w:r>
    </w:p>
    <w:p w14:paraId="37387136">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深化民族文化融合：实施“双语浸润计划”，破解少数民族儿童语言壁垒；开设学习常规训练营，将习惯养成与实践活动深度融合；组织教师学习民族习俗与日常用语，以文化认同构建和谐师生关系，让民族团结的种子在校园生根发芽。</w:t>
      </w:r>
    </w:p>
    <w:p w14:paraId="56905700">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筑牢校园安全防线：常态化开展防溺水、防火、交通、食品安全等专题教育4次，组织应急演练9次；落实教师就餐监督制度，全年无食品安全事故；排查整改安全隐患16处，实现校园安全零事故。</w:t>
      </w:r>
    </w:p>
    <w:p w14:paraId="548033E6">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关爱特殊群体成长：为7名残疾学生建立专属关爱档案，常态化开展心理辅导与学业帮扶；严格落实营养餐改善计划，保障学生营养均衡，切实提升学生在校幸福感。</w:t>
      </w:r>
    </w:p>
    <w:p w14:paraId="05A7B9B0">
      <w:pPr>
        <w:keepNext w:val="0"/>
        <w:keepLines w:val="0"/>
        <w:pageBreakBefore w:val="0"/>
        <w:kinsoku/>
        <w:wordWrap/>
        <w:overflowPunct/>
        <w:topLinePunct w:val="0"/>
        <w:autoSpaceDE/>
        <w:autoSpaceDN/>
        <w:bidi w:val="0"/>
        <w:spacing w:line="560" w:lineRule="atLeas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 落实五育并举，打造办学特色</w:t>
      </w:r>
    </w:p>
    <w:p w14:paraId="0E45921C">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在夯实教学质量的基础上，我校坚持“五育并举”育人方针，立足民族地区特色，以艺体教育为重要载体，促进学生全面发展，着力打造具有辨识度的办学品牌。</w:t>
      </w:r>
    </w:p>
    <w:p w14:paraId="39343298">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丰富艺体活动载体：组织学生积极参与艺术节、篮球比赛、足球比赛、演讲比赛等赛事活动，师生均取得优异成绩，充分展现全校师生积极向上的精神风貌。</w:t>
      </w:r>
    </w:p>
    <w:p w14:paraId="529B5670">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做强特色社团建设：开设“篮球训练营”“校园足球队”等特色社团，覆盖全校85%的学生。其中篮球训练营队员在片区及县级比赛中表现突出，篮球运动成为学生课间热门活动，有效促进学生身心健康发展。</w:t>
      </w:r>
    </w:p>
    <w:p w14:paraId="6F7FDB62">
      <w:pPr>
        <w:keepNext w:val="0"/>
        <w:keepLines w:val="0"/>
        <w:pageBreakBefore w:val="0"/>
        <w:kinsoku/>
        <w:wordWrap/>
        <w:overflowPunct/>
        <w:topLinePunct w:val="0"/>
        <w:autoSpaceDE/>
        <w:autoSpaceDN/>
        <w:bidi w:val="0"/>
        <w:spacing w:line="560" w:lineRule="atLeas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 做好后勤保障，服务学校发展</w:t>
      </w:r>
    </w:p>
    <w:p w14:paraId="57F87424">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后勤工作是学校各项事业发展的坚实后盾。我校立足乡镇中心校职能定位，不断优化后勤管理、提升服务保障能力，同时以“中心校集中办学+一村一幼”模式为抓手，全力带动区域教育均衡发展。</w:t>
      </w:r>
    </w:p>
    <w:p w14:paraId="18C7498C">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改善办学硬件条件：积极争取专项资金，修缮学生宿舍楼门窗、洗手池，安装师生热水器56台，硬化校园操场；采购学生课桌凳730套、教师电脑15台、打印机5台、复印件2台，升级多媒体教室设备，为16个班级配备智慧黑板；更新食堂烹饪及消毒设备5套、更换学生餐桌36张，改造食品储藏间30平方米，规范食材储存流程，切实提升教学信息化水平与餐饮服务质量。</w:t>
      </w:r>
    </w:p>
    <w:p w14:paraId="334DE6B7">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规范学校内部管理：严格执行财务制度，坚持专款专用，规范报销流程；加强学校资产台账管理，定期盘点校产，确保资产账实相符。</w:t>
      </w:r>
    </w:p>
    <w:p w14:paraId="6BFDB295">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统筹乡镇教育资源：自2024年9月起，统筹推进辖区内教育资源整合工作，将所有村小撤并至中心校集中办学，实行全寄宿制管理，各村仅保留“一村一幼”</w:t>
      </w:r>
      <w:r>
        <w:rPr>
          <w:rFonts w:hint="eastAsia" w:ascii="仿宋_GB2312" w:hAnsi="仿宋_GB2312" w:eastAsia="仿宋_GB2312" w:cs="仿宋_GB2312"/>
          <w:sz w:val="32"/>
          <w:szCs w:val="32"/>
          <w:lang w:val="en-US" w:eastAsia="zh-CN"/>
        </w:rPr>
        <w:t>教</w:t>
      </w:r>
      <w:r>
        <w:rPr>
          <w:rFonts w:hint="eastAsia" w:ascii="仿宋_GB2312" w:hAnsi="仿宋_GB2312" w:eastAsia="仿宋_GB2312" w:cs="仿宋_GB2312"/>
          <w:sz w:val="32"/>
          <w:szCs w:val="32"/>
        </w:rPr>
        <w:t>学点。通过资源整合，实现师资、设备、课程等教育资源的集中调配与高效利用，有效缩小区域内教育差距，推动全镇教育质量整体提升。</w:t>
      </w:r>
    </w:p>
    <w:p w14:paraId="76B538D1">
      <w:pPr>
        <w:keepNext w:val="0"/>
        <w:keepLines w:val="0"/>
        <w:pageBreakBefore w:val="0"/>
        <w:kinsoku/>
        <w:wordWrap/>
        <w:overflowPunct/>
        <w:topLinePunct w:val="0"/>
        <w:autoSpaceDE/>
        <w:autoSpaceDN/>
        <w:bidi w:val="0"/>
        <w:spacing w:line="560" w:lineRule="atLeas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、明确努力方向，规划</w:t>
      </w:r>
      <w:r>
        <w:rPr>
          <w:rFonts w:hint="eastAsia" w:ascii="仿宋_GB2312" w:hAnsi="仿宋_GB2312" w:eastAsia="仿宋_GB2312" w:cs="仿宋_GB2312"/>
          <w:b/>
          <w:bCs/>
          <w:sz w:val="32"/>
          <w:szCs w:val="32"/>
          <w:lang w:eastAsia="zh-CN"/>
        </w:rPr>
        <w:t>下一</w:t>
      </w:r>
      <w:r>
        <w:rPr>
          <w:rFonts w:hint="eastAsia" w:ascii="仿宋_GB2312" w:hAnsi="仿宋_GB2312" w:eastAsia="仿宋_GB2312" w:cs="仿宋_GB2312"/>
          <w:b/>
          <w:bCs/>
          <w:sz w:val="32"/>
          <w:szCs w:val="32"/>
        </w:rPr>
        <w:t>步思路</w:t>
      </w:r>
    </w:p>
    <w:p w14:paraId="56D52DEA">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新学年，我校将以问题为导向、以发展为目标，继续立足民族地区办学实际，凝心聚力、锐意进取，重点推进以下工作，奋力开创学校教育事业发展新局面：</w:t>
      </w:r>
    </w:p>
    <w:p w14:paraId="0E96D431">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深化党建引领作用：持续推动党建与安全、德育、教学、教研、控辍保学等中心工作深度融合，常态化开展慰问帮扶活动，充分发挥党支部战斗堡垒和党员先锋模范作用。</w:t>
      </w:r>
    </w:p>
    <w:p w14:paraId="2F98081B">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持续优化教学管理：加大骨干教师培养力度，申报</w:t>
      </w:r>
      <w:r>
        <w:rPr>
          <w:rFonts w:hint="eastAsia" w:ascii="仿宋_GB2312" w:hAnsi="仿宋_GB2312" w:eastAsia="仿宋_GB2312" w:cs="仿宋_GB2312"/>
          <w:sz w:val="32"/>
          <w:szCs w:val="32"/>
          <w:lang w:val="en-US" w:eastAsia="zh-CN"/>
        </w:rPr>
        <w:t>民</w:t>
      </w:r>
      <w:r>
        <w:rPr>
          <w:rFonts w:hint="eastAsia" w:ascii="仿宋_GB2312" w:hAnsi="仿宋_GB2312" w:eastAsia="仿宋_GB2312" w:cs="仿宋_GB2312"/>
          <w:sz w:val="32"/>
          <w:szCs w:val="32"/>
        </w:rPr>
        <w:t>族地区教育教学专项课题，推动教研成果转化；深化课堂改革，优化个性化辅导模式，针对六年级学生开展专项培优工作，集中培养有望考入县昌群励志班、巴蜀云班的拔尖学生，全面提升教学工作实效。</w:t>
      </w:r>
    </w:p>
    <w:p w14:paraId="414C6AD3">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完善家校协同机制：搭建多元化家校沟通平台，开展家长课堂、亲子活动等，引导家长主动参与家校共育，形成教育合力。</w:t>
      </w:r>
    </w:p>
    <w:p w14:paraId="1A77FB16">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改善办学硬件条件：积极争取项目资金，新建学生综合楼，更新功能室设备，扩大信息化教学覆盖面，推动教育数字化转型；重点解决教师住宿紧张、学生住宿床位不足的问题，切实改善师生在校居住条件。</w:t>
      </w:r>
    </w:p>
    <w:p w14:paraId="7221E555">
      <w:pPr>
        <w:keepNext w:val="0"/>
        <w:keepLines w:val="0"/>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推进特色贯通培养：构建“基础培养+特长提升”的贯通式育人模式，重点加强篮球、足球、摔跤等特色艺体项目建设，完善梯队培养体系，促进学生特长发展。</w:t>
      </w:r>
    </w:p>
    <w:p w14:paraId="148712F7">
      <w:pPr>
        <w:keepNext w:val="0"/>
        <w:keepLines w:val="0"/>
        <w:pageBreakBefore w:val="0"/>
        <w:numPr>
          <w:ilvl w:val="0"/>
          <w:numId w:val="0"/>
        </w:numPr>
        <w:kinsoku/>
        <w:wordWrap/>
        <w:overflowPunct/>
        <w:topLinePunct w:val="0"/>
        <w:autoSpaceDE/>
        <w:autoSpaceDN/>
        <w:bidi w:val="0"/>
        <w:snapToGrid w:val="0"/>
        <w:spacing w:line="560" w:lineRule="atLeas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民族教育，道阻且长，行则将至；育人初心，步履不停，未来可期。新学年，我们将以此次会议为新的起点，秉持办好民族地区教育的初心，携手全体师生，以“时不我待、只争朝夕”的干劲，以“脚踏实地、精益求精”的作风，深耕质量立校之路，打造民族特色品牌，让每一个孩子都能在家门口绽放光彩，为三河口镇教育事业的高质量发展贡献力量！</w:t>
      </w:r>
    </w:p>
    <w:p w14:paraId="049CE511">
      <w:pPr>
        <w:keepNext w:val="0"/>
        <w:keepLines w:val="0"/>
        <w:pageBreakBefore w:val="0"/>
        <w:widowControl/>
        <w:numPr>
          <w:ilvl w:val="0"/>
          <w:numId w:val="5"/>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部门资金收支情况</w:t>
      </w:r>
    </w:p>
    <w:p w14:paraId="6D78CC12">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eastAsia" w:ascii="Times New Roman" w:hAnsi="Times New Roman" w:eastAsia="仿宋_GB2312" w:cs="Times New Roman"/>
          <w:b/>
          <w:bCs/>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en-US" w:eastAsia="zh-CN"/>
        </w:rPr>
        <w:t>财政资金</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三河口镇中心校</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ascii="仿宋_GB2312" w:hAnsi="宋体" w:eastAsia="仿宋_GB2312" w:cs="仿宋_GB2312"/>
          <w:i w:val="0"/>
          <w:iCs w:val="0"/>
          <w:caps w:val="0"/>
          <w:color w:val="333333"/>
          <w:spacing w:val="0"/>
          <w:sz w:val="31"/>
          <w:szCs w:val="31"/>
          <w:shd w:val="clear" w:fill="FFFFFF"/>
        </w:rPr>
        <w:t>收入</w:t>
      </w:r>
      <w:r>
        <w:rPr>
          <w:rFonts w:hint="eastAsia" w:ascii="宋体" w:hAnsi="宋体" w:eastAsia="宋体" w:cs="宋体"/>
          <w:i w:val="0"/>
          <w:iCs w:val="0"/>
          <w:caps w:val="0"/>
          <w:color w:val="333333"/>
          <w:spacing w:val="0"/>
          <w:sz w:val="31"/>
          <w:szCs w:val="31"/>
          <w:shd w:val="clear" w:fill="FFFFFF"/>
        </w:rPr>
        <w:t>1206.17</w:t>
      </w:r>
      <w:r>
        <w:rPr>
          <w:rFonts w:hint="eastAsia" w:ascii="仿宋_GB2312" w:hAnsi="宋体" w:eastAsia="仿宋_GB2312" w:cs="仿宋_GB2312"/>
          <w:i w:val="0"/>
          <w:iCs w:val="0"/>
          <w:caps w:val="0"/>
          <w:color w:val="333333"/>
          <w:spacing w:val="0"/>
          <w:sz w:val="31"/>
          <w:szCs w:val="31"/>
          <w:shd w:val="clear" w:fill="FFFFFF"/>
        </w:rPr>
        <w:t>万元，其中年初批复877.93万元，年中预算</w:t>
      </w:r>
      <w:r>
        <w:rPr>
          <w:rFonts w:hint="eastAsia" w:ascii="仿宋_GB2312" w:hAnsi="宋体" w:eastAsia="仿宋_GB2312" w:cs="仿宋_GB2312"/>
          <w:i w:val="0"/>
          <w:iCs w:val="0"/>
          <w:caps w:val="0"/>
          <w:color w:val="333333"/>
          <w:spacing w:val="0"/>
          <w:sz w:val="31"/>
          <w:szCs w:val="31"/>
          <w:shd w:val="clear" w:fill="FFFFFF"/>
          <w:lang w:eastAsia="zh-CN"/>
        </w:rPr>
        <w:t>收入</w:t>
      </w:r>
      <w:r>
        <w:rPr>
          <w:rFonts w:hint="eastAsia" w:ascii="仿宋_GB2312" w:hAnsi="宋体" w:eastAsia="仿宋_GB2312" w:cs="仿宋_GB2312"/>
          <w:i w:val="0"/>
          <w:iCs w:val="0"/>
          <w:caps w:val="0"/>
          <w:color w:val="333333"/>
          <w:spacing w:val="0"/>
          <w:sz w:val="31"/>
          <w:szCs w:val="31"/>
          <w:shd w:val="clear" w:fill="FFFFFF"/>
        </w:rPr>
        <w:t>1206.17万元</w:t>
      </w:r>
      <w:r>
        <w:rPr>
          <w:rFonts w:hint="eastAsia" w:ascii="仿宋_GB2312" w:hAnsi="宋体" w:eastAsia="仿宋_GB2312" w:cs="仿宋_GB2312"/>
          <w:i w:val="0"/>
          <w:iCs w:val="0"/>
          <w:caps w:val="0"/>
          <w:color w:val="333333"/>
          <w:spacing w:val="0"/>
          <w:sz w:val="31"/>
          <w:szCs w:val="31"/>
          <w:shd w:val="clear" w:fill="FFFFFF"/>
          <w:lang w:eastAsia="zh-CN"/>
        </w:rPr>
        <w:t>。</w:t>
      </w:r>
    </w:p>
    <w:p w14:paraId="5F9028F4">
      <w:pPr>
        <w:keepNext w:val="0"/>
        <w:keepLines w:val="0"/>
        <w:pageBreakBefore w:val="0"/>
        <w:widowControl/>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eastAsia" w:ascii="仿宋_GB2312" w:hAnsi="宋体" w:eastAsia="仿宋_GB2312" w:cs="仿宋_GB2312"/>
          <w:i w:val="0"/>
          <w:iCs w:val="0"/>
          <w:caps w:val="0"/>
          <w:color w:val="333333"/>
          <w:spacing w:val="0"/>
          <w:sz w:val="31"/>
          <w:szCs w:val="31"/>
          <w:shd w:val="clear" w:fill="FFFFFF"/>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财政资金</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三河口镇中心校</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ascii="仿宋_GB2312" w:eastAsia="仿宋_GB2312" w:cs="仿宋_GB2312"/>
          <w:sz w:val="31"/>
          <w:szCs w:val="31"/>
        </w:rPr>
        <w:t>完成支付</w:t>
      </w:r>
      <w:r>
        <w:rPr>
          <w:rFonts w:hint="eastAsia" w:ascii="宋体" w:hAnsi="宋体" w:eastAsia="宋体" w:cs="宋体"/>
          <w:sz w:val="31"/>
          <w:szCs w:val="31"/>
          <w:lang w:val="en-US" w:eastAsia="zh-CN"/>
        </w:rPr>
        <w:t>1206.17</w:t>
      </w:r>
      <w:r>
        <w:rPr>
          <w:rFonts w:hint="eastAsia" w:ascii="仿宋_GB2312" w:eastAsia="仿宋_GB2312" w:cs="仿宋_GB2312"/>
          <w:sz w:val="31"/>
          <w:szCs w:val="31"/>
        </w:rPr>
        <w:t>万元，</w:t>
      </w:r>
      <w:r>
        <w:rPr>
          <w:rFonts w:hint="eastAsia" w:ascii="仿宋_GB2312" w:hAnsi="宋体" w:eastAsia="仿宋_GB2312" w:cs="仿宋_GB2312"/>
          <w:i w:val="0"/>
          <w:iCs w:val="0"/>
          <w:caps w:val="0"/>
          <w:color w:val="333333"/>
          <w:spacing w:val="0"/>
          <w:sz w:val="31"/>
          <w:szCs w:val="31"/>
          <w:shd w:val="clear" w:fill="FFFFFF"/>
        </w:rPr>
        <w:t>其中人员类经费835.08万元，运转类经费</w:t>
      </w:r>
      <w:r>
        <w:rPr>
          <w:rFonts w:hint="eastAsia" w:ascii="仿宋_GB2312" w:hAnsi="宋体" w:eastAsia="仿宋_GB2312" w:cs="仿宋_GB2312"/>
          <w:i w:val="0"/>
          <w:iCs w:val="0"/>
          <w:caps w:val="0"/>
          <w:color w:val="333333"/>
          <w:spacing w:val="0"/>
          <w:sz w:val="31"/>
          <w:szCs w:val="31"/>
          <w:shd w:val="clear" w:fill="FFFFFF"/>
          <w:lang w:val="en-US" w:eastAsia="zh-CN"/>
        </w:rPr>
        <w:t>22.31</w:t>
      </w:r>
      <w:r>
        <w:rPr>
          <w:rFonts w:hint="eastAsia" w:ascii="仿宋_GB2312" w:hAnsi="宋体" w:eastAsia="仿宋_GB2312" w:cs="仿宋_GB2312"/>
          <w:i w:val="0"/>
          <w:iCs w:val="0"/>
          <w:caps w:val="0"/>
          <w:color w:val="333333"/>
          <w:spacing w:val="0"/>
          <w:sz w:val="31"/>
          <w:szCs w:val="31"/>
          <w:shd w:val="clear" w:fill="FFFFFF"/>
        </w:rPr>
        <w:t>万元，特定目标类经费348.78万元。</w:t>
      </w:r>
    </w:p>
    <w:p w14:paraId="31D8FBF3">
      <w:pPr>
        <w:keepNext w:val="0"/>
        <w:keepLines w:val="0"/>
        <w:pageBreakBefore w:val="0"/>
        <w:widowControl/>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仿宋_GB2312" w:hAnsi="宋体" w:eastAsia="仿宋_GB2312" w:cs="仿宋_GB2312"/>
          <w:i w:val="0"/>
          <w:iCs w:val="0"/>
          <w:caps w:val="0"/>
          <w:color w:val="333333"/>
          <w:spacing w:val="0"/>
          <w:sz w:val="31"/>
          <w:szCs w:val="31"/>
          <w:shd w:val="clear"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财政资金</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宋体" w:eastAsia="仿宋_GB2312" w:cs="仿宋_GB2312"/>
          <w:i w:val="0"/>
          <w:iCs w:val="0"/>
          <w:caps w:val="0"/>
          <w:color w:val="333333"/>
          <w:spacing w:val="0"/>
          <w:sz w:val="31"/>
          <w:szCs w:val="31"/>
          <w:shd w:val="clear" w:fill="FFFFFF"/>
          <w:lang w:val="en-US" w:eastAsia="zh-CN"/>
        </w:rPr>
        <w:t>三河口镇中心校2025年决算报表</w:t>
      </w:r>
      <w:r>
        <w:rPr>
          <w:rFonts w:hint="default" w:ascii="仿宋_GB2312" w:hAnsi="宋体" w:eastAsia="仿宋_GB2312" w:cs="仿宋_GB2312"/>
          <w:i w:val="0"/>
          <w:iCs w:val="0"/>
          <w:caps w:val="0"/>
          <w:color w:val="333333"/>
          <w:spacing w:val="0"/>
          <w:sz w:val="31"/>
          <w:szCs w:val="31"/>
          <w:shd w:val="clear" w:fill="FFFFFF"/>
          <w:lang w:val="en-US" w:eastAsia="zh-CN"/>
        </w:rPr>
        <w:t>结转结余</w:t>
      </w:r>
      <w:r>
        <w:rPr>
          <w:rFonts w:hint="eastAsia" w:ascii="仿宋_GB2312" w:hAnsi="宋体" w:eastAsia="仿宋_GB2312" w:cs="仿宋_GB2312"/>
          <w:i w:val="0"/>
          <w:iCs w:val="0"/>
          <w:caps w:val="0"/>
          <w:color w:val="333333"/>
          <w:spacing w:val="0"/>
          <w:sz w:val="31"/>
          <w:szCs w:val="31"/>
          <w:shd w:val="clear" w:fill="FFFFFF"/>
          <w:lang w:val="en-US" w:eastAsia="zh-CN"/>
        </w:rPr>
        <w:t>0万元</w:t>
      </w:r>
      <w:r>
        <w:rPr>
          <w:rFonts w:hint="default" w:ascii="仿宋_GB2312" w:hAnsi="宋体" w:eastAsia="仿宋_GB2312" w:cs="仿宋_GB2312"/>
          <w:i w:val="0"/>
          <w:iCs w:val="0"/>
          <w:caps w:val="0"/>
          <w:color w:val="333333"/>
          <w:spacing w:val="0"/>
          <w:sz w:val="31"/>
          <w:szCs w:val="31"/>
          <w:shd w:val="clear" w:fill="FFFFFF"/>
          <w:lang w:val="en-US" w:eastAsia="zh-CN"/>
        </w:rPr>
        <w:t>。</w:t>
      </w:r>
    </w:p>
    <w:p w14:paraId="58764609">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1B6A5E8">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（一）整体履职绩效分析</w:t>
      </w:r>
    </w:p>
    <w:p w14:paraId="0C919258">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1.预算管理</w:t>
      </w:r>
    </w:p>
    <w:p w14:paraId="5BCC8369">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202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5</w:t>
      </w:r>
      <w:r>
        <w:rPr>
          <w:rFonts w:hint="eastAsia" w:ascii="仿宋_GB2312" w:hAnsi="仿宋_GB2312" w:eastAsia="仿宋_GB2312" w:cs="仿宋_GB2312"/>
          <w:b w:val="0"/>
          <w:bCs w:val="0"/>
          <w:color w:val="000000"/>
          <w:kern w:val="0"/>
          <w:sz w:val="32"/>
          <w:szCs w:val="32"/>
          <w:highlight w:val="none"/>
          <w:shd w:val="clear" w:color="auto" w:fill="FFFFFF"/>
          <w:lang w:val="zh-CN"/>
        </w:rPr>
        <w:t>年</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三河口镇中心校</w:t>
      </w:r>
      <w:r>
        <w:rPr>
          <w:rFonts w:hint="eastAsia" w:ascii="仿宋_GB2312" w:hAnsi="仿宋_GB2312" w:eastAsia="仿宋_GB2312" w:cs="仿宋_GB2312"/>
          <w:b w:val="0"/>
          <w:bCs w:val="0"/>
          <w:color w:val="000000"/>
          <w:kern w:val="0"/>
          <w:sz w:val="32"/>
          <w:szCs w:val="32"/>
          <w:highlight w:val="none"/>
          <w:shd w:val="clear" w:color="auto" w:fill="FFFFFF"/>
          <w:lang w:val="zh-CN"/>
        </w:rPr>
        <w:t>的绩效目标制定、目标完成、预决算编制等均按照县财政局下达的相关文件指标进行编制，严格执行预算范围内开支，并完成所有预定目标，及时进行了预算动态调整，全年无违规记录。</w:t>
      </w:r>
    </w:p>
    <w:p w14:paraId="7BEF387C">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2.专项预算管理</w:t>
      </w:r>
    </w:p>
    <w:p w14:paraId="7AD8F4FB">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严格执行《四川省省级财政专项资金绩效分配管理暂行办法》，按照</w:t>
      </w:r>
      <w:r>
        <w:rPr>
          <w:rFonts w:hint="eastAsia" w:ascii="仿宋_GB2312" w:hAnsi="仿宋_GB2312" w:eastAsia="仿宋_GB2312" w:cs="仿宋_GB2312"/>
          <w:b w:val="0"/>
          <w:bCs w:val="0"/>
          <w:color w:val="000000"/>
          <w:kern w:val="0"/>
          <w:sz w:val="32"/>
          <w:szCs w:val="32"/>
          <w:highlight w:val="none"/>
          <w:shd w:val="clear" w:color="auto" w:fill="FFFFFF"/>
          <w:lang w:val="zh-CN"/>
        </w:rPr>
        <w:t>省级</w:t>
      </w:r>
      <w:r>
        <w:rPr>
          <w:rFonts w:hint="default" w:ascii="仿宋_GB2312" w:hAnsi="仿宋_GB2312" w:eastAsia="仿宋_GB2312" w:cs="仿宋_GB2312"/>
          <w:b w:val="0"/>
          <w:bCs w:val="0"/>
          <w:color w:val="000000"/>
          <w:kern w:val="0"/>
          <w:sz w:val="32"/>
          <w:szCs w:val="32"/>
          <w:highlight w:val="none"/>
          <w:shd w:val="clear" w:color="auto" w:fill="FFFFFF"/>
          <w:lang w:val="zh-CN"/>
        </w:rPr>
        <w:t>专项资金管理办法，实施专款专用原则根据各项目进展、完成情况，合理规划、科学分配专项资金，项目资金专款专用。完成专项预算绩效目标，无违规记录。</w:t>
      </w:r>
    </w:p>
    <w:p w14:paraId="350E6793">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（二）特定目标类项目绩效分析</w:t>
      </w:r>
    </w:p>
    <w:p w14:paraId="7BB49F31">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三河口镇中心校</w:t>
      </w:r>
      <w:r>
        <w:rPr>
          <w:rFonts w:hint="default" w:ascii="仿宋_GB2312" w:hAnsi="仿宋_GB2312" w:eastAsia="仿宋_GB2312" w:cs="仿宋_GB2312"/>
          <w:b w:val="0"/>
          <w:bCs w:val="0"/>
          <w:color w:val="000000"/>
          <w:kern w:val="0"/>
          <w:sz w:val="32"/>
          <w:szCs w:val="32"/>
          <w:highlight w:val="none"/>
          <w:shd w:val="clear" w:color="auto" w:fill="FFFFFF"/>
          <w:lang w:val="zh-CN"/>
        </w:rPr>
        <w:t>202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5</w:t>
      </w:r>
      <w:r>
        <w:rPr>
          <w:rFonts w:hint="default" w:ascii="仿宋_GB2312" w:hAnsi="仿宋_GB2312" w:eastAsia="仿宋_GB2312" w:cs="仿宋_GB2312"/>
          <w:b w:val="0"/>
          <w:bCs w:val="0"/>
          <w:color w:val="000000"/>
          <w:kern w:val="0"/>
          <w:sz w:val="32"/>
          <w:szCs w:val="32"/>
          <w:highlight w:val="none"/>
          <w:shd w:val="clear" w:color="auto" w:fill="FFFFFF"/>
          <w:lang w:val="zh-CN"/>
        </w:rPr>
        <w:t>年项目预算共计1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0</w:t>
      </w:r>
      <w:r>
        <w:rPr>
          <w:rFonts w:hint="default" w:ascii="仿宋_GB2312" w:hAnsi="仿宋_GB2312" w:eastAsia="仿宋_GB2312" w:cs="仿宋_GB2312"/>
          <w:b w:val="0"/>
          <w:bCs w:val="0"/>
          <w:color w:val="000000"/>
          <w:kern w:val="0"/>
          <w:sz w:val="32"/>
          <w:szCs w:val="32"/>
          <w:highlight w:val="none"/>
          <w:shd w:val="clear" w:color="auto" w:fill="FFFFFF"/>
          <w:lang w:val="zh-CN"/>
        </w:rPr>
        <w:t>个，合计预算金额</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348.78</w:t>
      </w:r>
      <w:r>
        <w:rPr>
          <w:rFonts w:hint="default" w:ascii="仿宋_GB2312" w:hAnsi="仿宋_GB2312" w:eastAsia="仿宋_GB2312" w:cs="仿宋_GB2312"/>
          <w:b w:val="0"/>
          <w:bCs w:val="0"/>
          <w:color w:val="000000"/>
          <w:kern w:val="0"/>
          <w:sz w:val="32"/>
          <w:szCs w:val="32"/>
          <w:highlight w:val="none"/>
          <w:shd w:val="clear" w:color="auto" w:fill="FFFFFF"/>
          <w:lang w:val="zh-CN"/>
        </w:rPr>
        <w:t>万元，其中100万以上预算项目</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w:t>
      </w:r>
      <w:r>
        <w:rPr>
          <w:rFonts w:hint="default" w:ascii="仿宋_GB2312" w:hAnsi="仿宋_GB2312" w:eastAsia="仿宋_GB2312" w:cs="仿宋_GB2312"/>
          <w:b w:val="0"/>
          <w:bCs w:val="0"/>
          <w:color w:val="000000"/>
          <w:kern w:val="0"/>
          <w:sz w:val="32"/>
          <w:szCs w:val="32"/>
          <w:highlight w:val="none"/>
          <w:shd w:val="clear" w:color="auto" w:fill="FFFFFF"/>
          <w:lang w:val="zh-CN"/>
        </w:rPr>
        <w:t>个分别为：城乡义务教育补助经费（公用经费）项目</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金额为108.67万元</w:t>
      </w:r>
      <w:r>
        <w:rPr>
          <w:rFonts w:hint="default" w:ascii="仿宋_GB2312" w:hAnsi="仿宋_GB2312" w:eastAsia="仿宋_GB2312" w:cs="仿宋_GB2312"/>
          <w:b w:val="0"/>
          <w:bCs w:val="0"/>
          <w:color w:val="000000"/>
          <w:kern w:val="0"/>
          <w:sz w:val="32"/>
          <w:szCs w:val="32"/>
          <w:highlight w:val="none"/>
          <w:shd w:val="clear" w:color="auto" w:fill="FFFFFF"/>
          <w:lang w:val="zh-CN"/>
        </w:rPr>
        <w:t>。</w:t>
      </w:r>
    </w:p>
    <w:p w14:paraId="075849B1">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202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5</w:t>
      </w:r>
      <w:r>
        <w:rPr>
          <w:rFonts w:hint="default" w:ascii="仿宋_GB2312" w:hAnsi="仿宋_GB2312" w:eastAsia="仿宋_GB2312" w:cs="仿宋_GB2312"/>
          <w:b w:val="0"/>
          <w:bCs w:val="0"/>
          <w:color w:val="000000"/>
          <w:kern w:val="0"/>
          <w:sz w:val="32"/>
          <w:szCs w:val="32"/>
          <w:highlight w:val="none"/>
          <w:shd w:val="clear" w:color="auto" w:fill="FFFFFF"/>
          <w:lang w:val="zh-CN"/>
        </w:rPr>
        <w:t>年部门整体项目完成情况较好，科学、合理使用项目资金，并严格执行中央厉行节约原则，202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5</w:t>
      </w:r>
      <w:r>
        <w:rPr>
          <w:rFonts w:hint="default" w:ascii="仿宋_GB2312" w:hAnsi="仿宋_GB2312" w:eastAsia="仿宋_GB2312" w:cs="仿宋_GB2312"/>
          <w:b w:val="0"/>
          <w:bCs w:val="0"/>
          <w:color w:val="000000"/>
          <w:kern w:val="0"/>
          <w:sz w:val="32"/>
          <w:szCs w:val="32"/>
          <w:highlight w:val="none"/>
          <w:shd w:val="clear" w:color="auto" w:fill="FFFFFF"/>
          <w:lang w:val="zh-CN"/>
        </w:rPr>
        <w:t>年底完成资金预算</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100</w:t>
      </w:r>
      <w:r>
        <w:rPr>
          <w:rFonts w:hint="default" w:ascii="仿宋_GB2312" w:hAnsi="仿宋_GB2312" w:eastAsia="仿宋_GB2312" w:cs="仿宋_GB2312"/>
          <w:b w:val="0"/>
          <w:bCs w:val="0"/>
          <w:color w:val="000000"/>
          <w:kern w:val="0"/>
          <w:sz w:val="32"/>
          <w:szCs w:val="32"/>
          <w:highlight w:val="none"/>
          <w:shd w:val="clear" w:color="auto" w:fill="FFFFFF"/>
          <w:lang w:val="zh-CN"/>
        </w:rPr>
        <w:t>%。</w:t>
      </w:r>
    </w:p>
    <w:p w14:paraId="544F3512">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（三）结果应用情况</w:t>
      </w:r>
    </w:p>
    <w:p w14:paraId="2933FE29">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绩效自评公开</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default" w:ascii="仿宋_GB2312" w:hAnsi="仿宋_GB2312" w:eastAsia="仿宋_GB2312" w:cs="仿宋_GB2312"/>
          <w:b w:val="0"/>
          <w:bCs w:val="0"/>
          <w:color w:val="000000"/>
          <w:kern w:val="0"/>
          <w:sz w:val="32"/>
          <w:szCs w:val="32"/>
          <w:highlight w:val="none"/>
          <w:shd w:val="clear" w:color="auto" w:fill="FFFFFF"/>
          <w:lang w:val="zh-CN"/>
        </w:rPr>
        <w:t>我单位制定了相关财务管理制度，对我单位出差费、</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公用经费</w:t>
      </w:r>
      <w:r>
        <w:rPr>
          <w:rFonts w:hint="default" w:ascii="仿宋_GB2312" w:hAnsi="仿宋_GB2312" w:eastAsia="仿宋_GB2312" w:cs="仿宋_GB2312"/>
          <w:b w:val="0"/>
          <w:bCs w:val="0"/>
          <w:color w:val="000000"/>
          <w:kern w:val="0"/>
          <w:sz w:val="32"/>
          <w:szCs w:val="32"/>
          <w:highlight w:val="none"/>
          <w:shd w:val="clear" w:color="auto" w:fill="FFFFFF"/>
          <w:lang w:val="zh-CN"/>
        </w:rPr>
        <w:t>、培训费等经费支出进行了规范。</w:t>
      </w:r>
    </w:p>
    <w:p w14:paraId="701E6882">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在资金使用上，严格遵守各项财经法规和财务管理制度规定，资金拨付有完整的审批程序和手续、支出符合部门预算批复的用途，无截留、挤占、挪用、虚列支出等情况。</w:t>
      </w:r>
    </w:p>
    <w:p w14:paraId="10B243AB">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从财务管理情况看，财务资料由</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财务室</w:t>
      </w:r>
      <w:r>
        <w:rPr>
          <w:rFonts w:hint="default" w:ascii="仿宋_GB2312" w:hAnsi="仿宋_GB2312" w:eastAsia="仿宋_GB2312" w:cs="仿宋_GB2312"/>
          <w:b w:val="0"/>
          <w:bCs w:val="0"/>
          <w:color w:val="000000"/>
          <w:kern w:val="0"/>
          <w:sz w:val="32"/>
          <w:szCs w:val="32"/>
          <w:highlight w:val="none"/>
          <w:shd w:val="clear" w:color="auto" w:fill="FFFFFF"/>
          <w:lang w:val="zh-CN"/>
        </w:rPr>
        <w:t>统一进行管理，并建章立制，做到账账、账证、账实相符。</w:t>
      </w:r>
    </w:p>
    <w:p w14:paraId="2C234DC0">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从信息公开情况看，我单位部门预决算信息按规定内容，在规定的时限内在全省政务网上予以公开，做到了基础数据信息和会计信息资料真实、完整、准确。</w:t>
      </w:r>
    </w:p>
    <w:p w14:paraId="549AD40B">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zh-CN"/>
        </w:rPr>
      </w:pPr>
      <w:r>
        <w:rPr>
          <w:rFonts w:hint="default" w:ascii="仿宋_GB2312" w:hAnsi="仿宋_GB2312" w:eastAsia="仿宋_GB2312" w:cs="仿宋_GB2312"/>
          <w:b w:val="0"/>
          <w:bCs w:val="0"/>
          <w:color w:val="000000"/>
          <w:kern w:val="0"/>
          <w:sz w:val="32"/>
          <w:szCs w:val="32"/>
          <w:highlight w:val="none"/>
          <w:shd w:val="clear" w:color="auto" w:fill="FFFFFF"/>
          <w:lang w:val="zh-CN"/>
        </w:rPr>
        <w:t>评价结果整改</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default" w:ascii="仿宋_GB2312" w:hAnsi="仿宋_GB2312" w:eastAsia="仿宋_GB2312" w:cs="仿宋_GB2312"/>
          <w:b w:val="0"/>
          <w:bCs w:val="0"/>
          <w:color w:val="000000"/>
          <w:kern w:val="0"/>
          <w:sz w:val="32"/>
          <w:szCs w:val="32"/>
          <w:highlight w:val="none"/>
          <w:shd w:val="clear" w:color="auto" w:fill="FFFFFF"/>
          <w:lang w:val="zh-CN"/>
        </w:rPr>
        <w:t>202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5</w:t>
      </w:r>
      <w:r>
        <w:rPr>
          <w:rFonts w:hint="default" w:ascii="仿宋_GB2312" w:hAnsi="仿宋_GB2312" w:eastAsia="仿宋_GB2312" w:cs="仿宋_GB2312"/>
          <w:b w:val="0"/>
          <w:bCs w:val="0"/>
          <w:color w:val="000000"/>
          <w:kern w:val="0"/>
          <w:sz w:val="32"/>
          <w:szCs w:val="32"/>
          <w:highlight w:val="none"/>
          <w:shd w:val="clear" w:color="auto" w:fill="FFFFFF"/>
          <w:lang w:val="zh-CN"/>
        </w:rPr>
        <w:t>年我单位总体来看，内部管理较好，一是严格执行</w:t>
      </w:r>
      <w:r>
        <w:rPr>
          <w:rFonts w:hint="eastAsia" w:ascii="仿宋_GB2312" w:hAnsi="仿宋_GB2312" w:eastAsia="仿宋_GB2312" w:cs="仿宋_GB2312"/>
          <w:b w:val="0"/>
          <w:bCs w:val="0"/>
          <w:color w:val="000000"/>
          <w:kern w:val="0"/>
          <w:sz w:val="32"/>
          <w:szCs w:val="32"/>
          <w:highlight w:val="none"/>
          <w:shd w:val="clear" w:color="auto" w:fill="FFFFFF"/>
          <w:lang w:val="zh-CN"/>
        </w:rPr>
        <w:t>“三重一大”；</w:t>
      </w:r>
      <w:r>
        <w:rPr>
          <w:rFonts w:hint="default" w:ascii="仿宋_GB2312" w:hAnsi="仿宋_GB2312" w:eastAsia="仿宋_GB2312" w:cs="仿宋_GB2312"/>
          <w:b w:val="0"/>
          <w:bCs w:val="0"/>
          <w:color w:val="000000"/>
          <w:kern w:val="0"/>
          <w:sz w:val="32"/>
          <w:szCs w:val="32"/>
          <w:highlight w:val="none"/>
          <w:shd w:val="clear" w:color="auto" w:fill="FFFFFF"/>
          <w:lang w:val="zh-CN"/>
        </w:rPr>
        <w:t>二是专项资金实行“三专”管理，无套取、挪用、截留等行为</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default" w:ascii="仿宋_GB2312" w:hAnsi="仿宋_GB2312" w:eastAsia="仿宋_GB2312" w:cs="仿宋_GB2312"/>
          <w:b w:val="0"/>
          <w:bCs w:val="0"/>
          <w:color w:val="000000"/>
          <w:kern w:val="0"/>
          <w:sz w:val="32"/>
          <w:szCs w:val="32"/>
          <w:highlight w:val="none"/>
          <w:shd w:val="clear" w:color="auto" w:fill="FFFFFF"/>
          <w:lang w:val="zh-CN"/>
        </w:rPr>
        <w:t>三是严格执行预算管理，真正做到先有预算后有支出，无超支和乱支行为</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default" w:ascii="仿宋_GB2312" w:hAnsi="仿宋_GB2312" w:eastAsia="仿宋_GB2312" w:cs="仿宋_GB2312"/>
          <w:b w:val="0"/>
          <w:bCs w:val="0"/>
          <w:color w:val="000000"/>
          <w:kern w:val="0"/>
          <w:sz w:val="32"/>
          <w:szCs w:val="32"/>
          <w:highlight w:val="none"/>
          <w:shd w:val="clear" w:color="auto" w:fill="FFFFFF"/>
          <w:lang w:val="zh-CN"/>
        </w:rPr>
        <w:t>四是坚持厉行节约，杜绝大吃大喝</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default" w:ascii="仿宋_GB2312" w:hAnsi="仿宋_GB2312" w:eastAsia="仿宋_GB2312" w:cs="仿宋_GB2312"/>
          <w:b w:val="0"/>
          <w:bCs w:val="0"/>
          <w:color w:val="000000"/>
          <w:kern w:val="0"/>
          <w:sz w:val="32"/>
          <w:szCs w:val="32"/>
          <w:highlight w:val="none"/>
          <w:shd w:val="clear" w:color="auto" w:fill="FFFFFF"/>
          <w:lang w:val="zh-CN"/>
        </w:rPr>
        <w:t>确保了保工资、保运转和保民生的刚性支出。</w:t>
      </w:r>
    </w:p>
    <w:p w14:paraId="76EB6BFD">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13A1202D">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严格执行马边彝族自治县财政局关于印发《马边彝族自治县县级财政预算绩效结果应用管理办法》精神。确定部门预算项目和预算额度，清</w:t>
      </w:r>
      <w:r>
        <w:rPr>
          <w:rFonts w:hint="eastAsia" w:ascii="Times New Roman" w:eastAsia="仿宋_GB2312" w:cs="Times New Roman"/>
          <w:kern w:val="2"/>
          <w:sz w:val="32"/>
          <w:szCs w:val="32"/>
          <w:u w:val="none"/>
          <w:lang w:val="zh-CN" w:eastAsia="zh-CN" w:bidi="ar"/>
        </w:rPr>
        <w:t>晰地</w:t>
      </w:r>
      <w:r>
        <w:rPr>
          <w:rFonts w:hint="eastAsia" w:ascii="Times New Roman" w:hAnsi="Times New Roman" w:eastAsia="仿宋_GB2312" w:cs="Times New Roman"/>
          <w:kern w:val="2"/>
          <w:sz w:val="32"/>
          <w:szCs w:val="32"/>
          <w:u w:val="none"/>
          <w:lang w:val="zh-CN" w:eastAsia="zh-CN" w:bidi="ar"/>
        </w:rPr>
        <w:t>描述预算项目开支范围和内容，确定预算项目的绩效目标、绩效指标和评价标准，建立绩效管理贯穿预算全过程机制，项目分别如下：</w:t>
      </w:r>
    </w:p>
    <w:p w14:paraId="5D196090">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eastAsia="仿宋_GB2312" w:cs="Times New Roman"/>
          <w:kern w:val="2"/>
          <w:sz w:val="32"/>
          <w:szCs w:val="32"/>
          <w:u w:val="none"/>
          <w:lang w:val="en-US" w:eastAsia="zh-CN" w:bidi="ar"/>
        </w:rPr>
        <w:t xml:space="preserve">1. </w:t>
      </w:r>
      <w:r>
        <w:rPr>
          <w:rFonts w:hint="eastAsia" w:ascii="Times New Roman" w:hAnsi="Times New Roman" w:eastAsia="仿宋_GB2312" w:cs="Times New Roman"/>
          <w:kern w:val="2"/>
          <w:sz w:val="32"/>
          <w:szCs w:val="32"/>
          <w:u w:val="none"/>
          <w:lang w:val="zh-CN" w:eastAsia="zh-CN" w:bidi="ar"/>
        </w:rPr>
        <w:t>20</w:t>
      </w:r>
      <w:r>
        <w:rPr>
          <w:rFonts w:hint="eastAsia" w:ascii="Times New Roman" w:eastAsia="仿宋_GB2312" w:cs="Times New Roman"/>
          <w:kern w:val="2"/>
          <w:sz w:val="32"/>
          <w:szCs w:val="32"/>
          <w:u w:val="none"/>
          <w:lang w:val="en-US" w:eastAsia="zh-CN" w:bidi="ar"/>
        </w:rPr>
        <w:t>25</w:t>
      </w:r>
      <w:r>
        <w:rPr>
          <w:rFonts w:hint="eastAsia" w:ascii="Times New Roman" w:hAnsi="Times New Roman" w:eastAsia="仿宋_GB2312" w:cs="Times New Roman"/>
          <w:kern w:val="2"/>
          <w:sz w:val="32"/>
          <w:szCs w:val="32"/>
          <w:u w:val="none"/>
          <w:lang w:val="zh-CN" w:eastAsia="zh-CN" w:bidi="ar"/>
        </w:rPr>
        <w:t>年“一村一幼”双语辅导员劳务费预算数</w:t>
      </w:r>
      <w:r>
        <w:rPr>
          <w:rFonts w:hint="eastAsia" w:ascii="Times New Roman" w:eastAsia="仿宋_GB2312" w:cs="Times New Roman"/>
          <w:kern w:val="2"/>
          <w:sz w:val="32"/>
          <w:szCs w:val="32"/>
          <w:u w:val="none"/>
          <w:lang w:val="en-US" w:eastAsia="zh-CN" w:bidi="ar"/>
        </w:rPr>
        <w:t>39.34</w:t>
      </w:r>
      <w:r>
        <w:rPr>
          <w:rFonts w:hint="eastAsia" w:ascii="Times New Roman" w:hAnsi="Times New Roman" w:eastAsia="仿宋_GB2312" w:cs="Times New Roman"/>
          <w:kern w:val="2"/>
          <w:sz w:val="32"/>
          <w:szCs w:val="32"/>
          <w:u w:val="none"/>
          <w:lang w:val="zh-CN" w:eastAsia="zh-CN" w:bidi="ar"/>
        </w:rPr>
        <w:t>万元，“一村一幼”教师</w:t>
      </w:r>
      <w:r>
        <w:rPr>
          <w:rFonts w:hint="eastAsia" w:ascii="Times New Roman" w:eastAsia="仿宋_GB2312" w:cs="Times New Roman"/>
          <w:kern w:val="2"/>
          <w:sz w:val="32"/>
          <w:szCs w:val="32"/>
          <w:u w:val="none"/>
          <w:lang w:val="en-US" w:eastAsia="zh-CN" w:bidi="ar"/>
        </w:rPr>
        <w:t>13</w:t>
      </w:r>
      <w:r>
        <w:rPr>
          <w:rFonts w:hint="eastAsia" w:ascii="Times New Roman" w:hAnsi="Times New Roman" w:eastAsia="仿宋_GB2312" w:cs="Times New Roman"/>
          <w:kern w:val="2"/>
          <w:sz w:val="32"/>
          <w:szCs w:val="32"/>
          <w:u w:val="none"/>
          <w:lang w:val="zh-CN" w:eastAsia="zh-CN" w:bidi="ar"/>
        </w:rPr>
        <w:t>名，每位教师月收入3500元（含单位保险），进一步保障了教育教学顺利开展，根据财政部关于财会监督专项行动有关部署和要求，将政府购买服务实施情况专项整治纳入财会监督专项行动，围绕重点内容，摸清全省政府购买服务有关实施情况，排查突出问题，严肃财经纪律，切实防范风险，规范和加强政府购买服务管理，完善政府购买服务制度机制，更好发挥政府购买服务政策效能。</w:t>
      </w:r>
    </w:p>
    <w:p w14:paraId="7B4BBCDE">
      <w:pPr>
        <w:keepNext w:val="0"/>
        <w:keepLines w:val="0"/>
        <w:pageBreakBefore w:val="0"/>
        <w:kinsoku/>
        <w:wordWrap/>
        <w:overflowPunct/>
        <w:topLinePunct w:val="0"/>
        <w:autoSpaceDE/>
        <w:autoSpaceDN/>
        <w:bidi w:val="0"/>
        <w:spacing w:line="560" w:lineRule="atLeast"/>
        <w:ind w:firstLine="640" w:firstLineChars="200"/>
        <w:textAlignment w:val="auto"/>
        <w:rPr>
          <w:rFonts w:hint="default"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en-US" w:eastAsia="zh-CN" w:bidi="ar"/>
        </w:rPr>
        <w:t>2. 幼儿园生均公用经费县级配套</w:t>
      </w:r>
      <w:r>
        <w:rPr>
          <w:rFonts w:hint="eastAsia" w:eastAsia="仿宋_GB2312" w:cs="Times New Roman"/>
          <w:kern w:val="2"/>
          <w:sz w:val="32"/>
          <w:szCs w:val="32"/>
          <w:u w:val="none"/>
          <w:lang w:val="en-US" w:eastAsia="zh-CN" w:bidi="ar"/>
        </w:rPr>
        <w:t>预算数22.14万元，生均600元，受益学生人数369人，</w:t>
      </w:r>
      <w:r>
        <w:rPr>
          <w:rFonts w:hint="eastAsia" w:ascii="Times New Roman" w:hAnsi="Times New Roman" w:eastAsia="仿宋_GB2312" w:cs="Times New Roman"/>
          <w:kern w:val="2"/>
          <w:sz w:val="32"/>
          <w:szCs w:val="32"/>
          <w:u w:val="none"/>
          <w:lang w:val="en-US" w:eastAsia="zh-CN" w:bidi="ar"/>
        </w:rPr>
        <w:t>为进一步提高我校学前教育覆盖率，为社会提供更多优质教育服务，缓解入学难、入学贵的问题。对全校公办幼儿园按照标准足额拨付幼儿园</w:t>
      </w:r>
      <w:r>
        <w:rPr>
          <w:rFonts w:hint="eastAsia" w:eastAsia="仿宋_GB2312" w:cs="Times New Roman"/>
          <w:kern w:val="2"/>
          <w:sz w:val="32"/>
          <w:szCs w:val="32"/>
          <w:u w:val="none"/>
          <w:lang w:val="en-US" w:eastAsia="zh-CN" w:bidi="ar"/>
        </w:rPr>
        <w:t>生均公用经费</w:t>
      </w:r>
      <w:r>
        <w:rPr>
          <w:rFonts w:hint="eastAsia" w:ascii="Times New Roman" w:hAnsi="Times New Roman" w:eastAsia="仿宋_GB2312" w:cs="Times New Roman"/>
          <w:kern w:val="2"/>
          <w:sz w:val="32"/>
          <w:szCs w:val="32"/>
          <w:u w:val="none"/>
          <w:lang w:val="en-US" w:eastAsia="zh-CN" w:bidi="ar"/>
        </w:rPr>
        <w:t>。</w:t>
      </w:r>
    </w:p>
    <w:p w14:paraId="48E3A930">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kern w:val="2"/>
          <w:sz w:val="52"/>
          <w:szCs w:val="52"/>
          <w:u w:val="none"/>
          <w:lang w:val="en-US" w:eastAsia="zh-CN" w:bidi="ar"/>
        </w:rPr>
      </w:pPr>
      <w:r>
        <w:rPr>
          <w:rFonts w:hint="eastAsia" w:ascii="Times New Roman" w:eastAsia="仿宋_GB2312" w:cs="Times New Roman"/>
          <w:kern w:val="2"/>
          <w:sz w:val="32"/>
          <w:szCs w:val="32"/>
          <w:u w:val="none"/>
          <w:lang w:val="en-US" w:eastAsia="zh-CN" w:bidi="ar"/>
        </w:rPr>
        <w:t>3.城乡义务教育补助经费（公用经费）预算数108.67万元，受益学生914人，</w:t>
      </w:r>
      <w:r>
        <w:rPr>
          <w:rFonts w:hint="eastAsia" w:ascii="仿宋_GB2312" w:hAnsi="仿宋_GB2312" w:eastAsia="仿宋_GB2312" w:cs="仿宋_GB2312"/>
          <w:i w:val="0"/>
          <w:iCs w:val="0"/>
          <w:color w:val="000000"/>
          <w:kern w:val="0"/>
          <w:sz w:val="32"/>
          <w:szCs w:val="32"/>
          <w:u w:val="none"/>
          <w:lang w:val="en-US" w:eastAsia="zh-CN" w:bidi="ar"/>
        </w:rPr>
        <w:t xml:space="preserve"> 进一步提高我校义务教育覆盖率，为社会提供更多优质教育服务，缓解入学难、入学贵的问题。对全校公办小学按照标准足额拨付生均公用经费。</w:t>
      </w:r>
    </w:p>
    <w:p w14:paraId="275E39C7">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eastAsia="仿宋_GB2312" w:cs="Times New Roman"/>
          <w:kern w:val="2"/>
          <w:sz w:val="32"/>
          <w:szCs w:val="32"/>
          <w:u w:val="none"/>
          <w:lang w:val="en-US" w:eastAsia="zh-CN" w:bidi="ar"/>
        </w:rPr>
        <w:t>4</w:t>
      </w:r>
      <w:r>
        <w:rPr>
          <w:rFonts w:hint="eastAsia" w:ascii="Times New Roman" w:hAnsi="Times New Roman" w:eastAsia="仿宋_GB2312" w:cs="Times New Roman"/>
          <w:kern w:val="2"/>
          <w:sz w:val="32"/>
          <w:szCs w:val="32"/>
          <w:u w:val="none"/>
          <w:lang w:val="zh-CN" w:eastAsia="zh-CN" w:bidi="ar"/>
        </w:rPr>
        <w:t>.</w:t>
      </w:r>
      <w:r>
        <w:rPr>
          <w:rFonts w:hint="eastAsia" w:ascii="Times New Roman" w:eastAsia="仿宋_GB2312" w:cs="Times New Roman"/>
          <w:kern w:val="2"/>
          <w:sz w:val="32"/>
          <w:szCs w:val="32"/>
          <w:u w:val="none"/>
          <w:lang w:val="en-US" w:eastAsia="zh-CN" w:bidi="ar"/>
        </w:rPr>
        <w:t>2</w:t>
      </w:r>
      <w:r>
        <w:rPr>
          <w:rFonts w:hint="eastAsia" w:ascii="Times New Roman" w:hAnsi="Times New Roman" w:eastAsia="仿宋_GB2312" w:cs="Times New Roman"/>
          <w:kern w:val="2"/>
          <w:sz w:val="32"/>
          <w:szCs w:val="32"/>
          <w:u w:val="none"/>
          <w:lang w:val="zh-CN" w:eastAsia="zh-CN" w:bidi="ar"/>
        </w:rPr>
        <w:t>02</w:t>
      </w:r>
      <w:r>
        <w:rPr>
          <w:rFonts w:hint="eastAsia" w:ascii="Times New Roman"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zh-CN" w:eastAsia="zh-CN" w:bidi="ar"/>
        </w:rPr>
        <w:t>年部门整体项目完成情况较好，科学、合理使用项目资金，并严格执行中央厉行节约原则，202</w:t>
      </w:r>
      <w:r>
        <w:rPr>
          <w:rFonts w:hint="eastAsia" w:ascii="Times New Roman"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zh-CN" w:eastAsia="zh-CN" w:bidi="ar"/>
        </w:rPr>
        <w:t>年底完成资金预算100%。</w:t>
      </w:r>
    </w:p>
    <w:p w14:paraId="3B9746B1">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202</w:t>
      </w:r>
      <w:r>
        <w:rPr>
          <w:rFonts w:hint="eastAsia" w:ascii="Times New Roman"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zh-CN" w:eastAsia="zh-CN" w:bidi="ar"/>
        </w:rPr>
        <w:t>年</w:t>
      </w:r>
      <w:r>
        <w:rPr>
          <w:rFonts w:hint="eastAsia" w:ascii="Times New Roman" w:eastAsia="仿宋_GB2312" w:cs="Times New Roman"/>
          <w:kern w:val="2"/>
          <w:sz w:val="32"/>
          <w:szCs w:val="32"/>
          <w:u w:val="none"/>
          <w:lang w:val="en-US" w:eastAsia="zh-CN" w:bidi="ar"/>
        </w:rPr>
        <w:t>三河口镇中心校</w:t>
      </w:r>
      <w:r>
        <w:rPr>
          <w:rFonts w:hint="eastAsia" w:ascii="Times New Roman" w:hAnsi="Times New Roman" w:eastAsia="仿宋_GB2312" w:cs="Times New Roman"/>
          <w:kern w:val="2"/>
          <w:sz w:val="32"/>
          <w:szCs w:val="32"/>
          <w:u w:val="none"/>
          <w:lang w:val="zh-CN" w:eastAsia="zh-CN" w:bidi="ar"/>
        </w:rPr>
        <w:t>及时、准确完成预算编制。预算执行情况良好，支出管理规范，无不良记录及违规违纪行为。财务管理制度较为完善，会计核算和账务处理</w:t>
      </w:r>
      <w:r>
        <w:rPr>
          <w:rFonts w:hint="eastAsia" w:ascii="Times New Roman" w:eastAsia="仿宋_GB2312" w:cs="Times New Roman"/>
          <w:kern w:val="2"/>
          <w:sz w:val="32"/>
          <w:szCs w:val="32"/>
          <w:u w:val="none"/>
          <w:lang w:val="zh-CN" w:eastAsia="zh-CN" w:bidi="ar"/>
        </w:rPr>
        <w:t>较为</w:t>
      </w:r>
      <w:r>
        <w:rPr>
          <w:rFonts w:hint="eastAsia" w:ascii="Times New Roman" w:hAnsi="Times New Roman" w:eastAsia="仿宋_GB2312" w:cs="Times New Roman"/>
          <w:kern w:val="2"/>
          <w:sz w:val="32"/>
          <w:szCs w:val="32"/>
          <w:u w:val="none"/>
          <w:lang w:val="zh-CN" w:eastAsia="zh-CN" w:bidi="ar"/>
        </w:rPr>
        <w:t>规范，会计资料完整。基本支出保障了全县教育系统基本运行和日常工作正常开展需要，项目支出均按实施方案要求进行，完成了年初工作目标。绩效目标制定还需做到细化指标，预算编制准确度可以进一步完善。</w:t>
      </w:r>
    </w:p>
    <w:p w14:paraId="2FC956E1">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综上评价，202</w:t>
      </w:r>
      <w:r>
        <w:rPr>
          <w:rFonts w:hint="eastAsia" w:ascii="Times New Roman"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zh-CN" w:eastAsia="zh-CN" w:bidi="ar"/>
        </w:rPr>
        <w:t>年</w:t>
      </w:r>
      <w:r>
        <w:rPr>
          <w:rFonts w:hint="eastAsia" w:ascii="Times New Roman" w:eastAsia="仿宋_GB2312" w:cs="Times New Roman"/>
          <w:kern w:val="2"/>
          <w:sz w:val="32"/>
          <w:szCs w:val="32"/>
          <w:u w:val="none"/>
          <w:lang w:val="en-US" w:eastAsia="zh-CN" w:bidi="ar"/>
        </w:rPr>
        <w:t>三河口镇中心校</w:t>
      </w:r>
      <w:r>
        <w:rPr>
          <w:rFonts w:hint="eastAsia" w:ascii="Times New Roman" w:hAnsi="Times New Roman" w:eastAsia="仿宋_GB2312" w:cs="Times New Roman"/>
          <w:kern w:val="2"/>
          <w:sz w:val="32"/>
          <w:szCs w:val="32"/>
          <w:u w:val="none"/>
          <w:lang w:val="zh-CN" w:eastAsia="zh-CN" w:bidi="ar"/>
        </w:rPr>
        <w:t>整体绩效自评得分99分。</w:t>
      </w:r>
    </w:p>
    <w:p w14:paraId="3F6EC445">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楷体_GB2312" w:hAnsi="楷体_GB2312" w:eastAsia="楷体_GB2312" w:cs="楷体_GB2312"/>
          <w:kern w:val="2"/>
          <w:sz w:val="32"/>
          <w:szCs w:val="32"/>
          <w:u w:val="none"/>
          <w:lang w:val="zh-CN" w:eastAsia="zh-CN" w:bidi="ar"/>
        </w:rPr>
      </w:pPr>
      <w:r>
        <w:rPr>
          <w:rFonts w:hint="eastAsia" w:ascii="楷体_GB2312" w:hAnsi="楷体_GB2312" w:eastAsia="楷体_GB2312" w:cs="楷体_GB2312"/>
          <w:kern w:val="2"/>
          <w:sz w:val="32"/>
          <w:szCs w:val="32"/>
          <w:u w:val="none"/>
          <w:lang w:val="zh-CN" w:eastAsia="zh-CN" w:bidi="ar"/>
        </w:rPr>
        <w:t>存在问题：</w:t>
      </w:r>
    </w:p>
    <w:p w14:paraId="005E5593">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1.部分项目资金支付稍滞后。</w:t>
      </w:r>
    </w:p>
    <w:p w14:paraId="4F268CD4">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2.绩效评价在指标体系上设计较为简单，还可进一步细化。</w:t>
      </w:r>
    </w:p>
    <w:p w14:paraId="212F38CD">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楷体_GB2312" w:hAnsi="楷体_GB2312" w:eastAsia="楷体_GB2312" w:cs="楷体_GB2312"/>
          <w:kern w:val="2"/>
          <w:sz w:val="32"/>
          <w:szCs w:val="32"/>
          <w:u w:val="none"/>
          <w:lang w:val="zh-CN" w:eastAsia="zh-CN" w:bidi="ar"/>
        </w:rPr>
      </w:pPr>
      <w:r>
        <w:rPr>
          <w:rFonts w:hint="eastAsia" w:ascii="楷体_GB2312" w:hAnsi="楷体_GB2312" w:eastAsia="楷体_GB2312" w:cs="楷体_GB2312"/>
          <w:kern w:val="2"/>
          <w:sz w:val="32"/>
          <w:szCs w:val="32"/>
          <w:u w:val="none"/>
          <w:lang w:val="zh-CN" w:eastAsia="zh-CN" w:bidi="ar"/>
        </w:rPr>
        <w:t>改进建议</w:t>
      </w:r>
    </w:p>
    <w:p w14:paraId="27372A26">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1.加强财务管理，严格财务审核。在费用报账支付时，按照预算规定的费用项目和用途进行资金使用审核、列报支付、财务核算，杜绝超支现象的发生。</w:t>
      </w:r>
    </w:p>
    <w:p w14:paraId="4B92CB89">
      <w:pPr>
        <w:pStyle w:val="7"/>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2.</w:t>
      </w:r>
      <w:r>
        <w:rPr>
          <w:rFonts w:hint="eastAsia" w:ascii="Times New Roman" w:eastAsia="仿宋_GB2312" w:cs="Times New Roman"/>
          <w:kern w:val="2"/>
          <w:sz w:val="32"/>
          <w:szCs w:val="32"/>
          <w:u w:val="none"/>
          <w:lang w:val="zh-CN" w:eastAsia="zh-CN" w:bidi="ar"/>
        </w:rPr>
        <w:t>进一步加强</w:t>
      </w:r>
      <w:r>
        <w:rPr>
          <w:rFonts w:hint="eastAsia" w:ascii="Times New Roman" w:hAnsi="Times New Roman" w:eastAsia="仿宋_GB2312" w:cs="Times New Roman"/>
          <w:kern w:val="2"/>
          <w:sz w:val="32"/>
          <w:szCs w:val="32"/>
          <w:u w:val="none"/>
          <w:lang w:val="zh-CN" w:eastAsia="zh-CN" w:bidi="ar"/>
        </w:rPr>
        <w:t>预算执行的管理，加大对预算编制与执行的监管力度，提高预算资金的使用效率。同时，强化对预算资金的绩效管理，对受客观因素影响的预算项目及时做出调整，科学合理使用，促进预算资金使用尽可能发挥其较大的效能</w:t>
      </w:r>
      <w:r>
        <w:rPr>
          <w:rFonts w:hint="eastAsia" w:ascii="Times New Roman" w:eastAsia="仿宋_GB2312" w:cs="Times New Roman"/>
          <w:kern w:val="2"/>
          <w:sz w:val="32"/>
          <w:szCs w:val="32"/>
          <w:u w:val="none"/>
          <w:lang w:val="zh-CN" w:eastAsia="zh-CN" w:bidi="ar"/>
        </w:rPr>
        <w:t>。</w:t>
      </w:r>
    </w:p>
    <w:p w14:paraId="50CF5E6B">
      <w:pPr>
        <w:pStyle w:val="2"/>
        <w:rPr>
          <w:rFonts w:hint="eastAsia" w:ascii="Times New Roman" w:cs="宋体"/>
          <w:color w:val="000000" w:themeColor="text1"/>
          <w:kern w:val="0"/>
          <w:sz w:val="32"/>
          <w:szCs w:val="32"/>
          <w:highlight w:val="none"/>
          <w:shd w:val="clear" w:color="auto" w:fill="FFFFFF"/>
          <w:lang w:val="en-US" w:eastAsia="zh-CN"/>
          <w14:textFill>
            <w14:solidFill>
              <w14:schemeClr w14:val="tx1"/>
            </w14:solidFill>
          </w14:textFill>
        </w:rPr>
      </w:pPr>
    </w:p>
    <w:p w14:paraId="65AC0327">
      <w:pPr>
        <w:pStyle w:val="2"/>
        <w:rPr>
          <w:rFonts w:hint="eastAsia" w:ascii="Times New Roman" w:cs="宋体"/>
          <w:color w:val="000000" w:themeColor="text1"/>
          <w:kern w:val="0"/>
          <w:sz w:val="32"/>
          <w:szCs w:val="32"/>
          <w:highlight w:val="none"/>
          <w:shd w:val="clear" w:color="auto" w:fill="FFFFFF"/>
          <w:lang w:val="en-US" w:eastAsia="zh-CN"/>
          <w14:textFill>
            <w14:solidFill>
              <w14:schemeClr w14:val="tx1"/>
            </w14:solidFill>
          </w14:textFill>
        </w:rPr>
      </w:pPr>
    </w:p>
    <w:p w14:paraId="08362777">
      <w:pPr>
        <w:pStyle w:val="2"/>
        <w:jc w:val="right"/>
        <w:rPr>
          <w:rFonts w:hint="eastAsia" w:ascii="Times New Roman" w:cs="宋体"/>
          <w:color w:val="000000" w:themeColor="text1"/>
          <w:kern w:val="0"/>
          <w:sz w:val="32"/>
          <w:szCs w:val="32"/>
          <w:highlight w:val="none"/>
          <w:shd w:val="clear" w:color="auto" w:fill="FFFFFF"/>
          <w:lang w:val="en-US" w:eastAsia="zh-CN"/>
          <w14:textFill>
            <w14:solidFill>
              <w14:schemeClr w14:val="tx1"/>
            </w14:solidFill>
          </w14:textFill>
        </w:rPr>
      </w:pPr>
      <w:r>
        <w:rPr>
          <w:rFonts w:hint="eastAsia" w:ascii="Times New Roman" w:cs="宋体"/>
          <w:color w:val="000000" w:themeColor="text1"/>
          <w:kern w:val="0"/>
          <w:sz w:val="32"/>
          <w:szCs w:val="32"/>
          <w:highlight w:val="none"/>
          <w:shd w:val="clear" w:color="auto" w:fill="FFFFFF"/>
          <w:lang w:val="en-US" w:eastAsia="zh-CN"/>
          <w14:textFill>
            <w14:solidFill>
              <w14:schemeClr w14:val="tx1"/>
            </w14:solidFill>
          </w14:textFill>
        </w:rPr>
        <w:t>马边彝族自治县三河口镇中心校</w:t>
      </w:r>
    </w:p>
    <w:p w14:paraId="108B6C6D">
      <w:pPr>
        <w:pStyle w:val="2"/>
        <w:jc w:val="right"/>
        <w:rPr>
          <w:rFonts w:hint="default" w:ascii="Times New Roman" w:cs="宋体"/>
          <w:color w:val="000000" w:themeColor="text1"/>
          <w:kern w:val="0"/>
          <w:sz w:val="32"/>
          <w:szCs w:val="32"/>
          <w:highlight w:val="none"/>
          <w:shd w:val="clear" w:color="auto" w:fill="FFFFFF"/>
          <w:lang w:val="en-US" w:eastAsia="zh-CN"/>
          <w14:textFill>
            <w14:solidFill>
              <w14:schemeClr w14:val="tx1"/>
            </w14:solidFill>
          </w14:textFill>
        </w:rPr>
      </w:pPr>
      <w:r>
        <w:rPr>
          <w:rFonts w:hint="eastAsia" w:ascii="Times New Roman" w:cs="宋体"/>
          <w:color w:val="000000" w:themeColor="text1"/>
          <w:kern w:val="0"/>
          <w:sz w:val="32"/>
          <w:szCs w:val="32"/>
          <w:highlight w:val="none"/>
          <w:shd w:val="clear" w:color="auto" w:fill="FFFFFF"/>
          <w:lang w:val="en-US" w:eastAsia="zh-CN"/>
          <w14:textFill>
            <w14:solidFill>
              <w14:schemeClr w14:val="tx1"/>
            </w14:solidFill>
          </w14:textFill>
        </w:rPr>
        <w:t>2026年10月25日</w:t>
      </w:r>
    </w:p>
    <w:p w14:paraId="37B640DD">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42C33B41">
      <w:pPr>
        <w:pStyle w:val="2"/>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4F76D3CE">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16E350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“一村一幼”双语辅导员劳务费</w:t>
      </w:r>
    </w:p>
    <w:p w14:paraId="0A96EAF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一、项目概况</w:t>
      </w:r>
    </w:p>
    <w:p w14:paraId="20B8450F">
      <w:pPr>
        <w:keepNext w:val="0"/>
        <w:keepLines w:val="0"/>
        <w:pageBreakBefore w:val="0"/>
        <w:widowControl w:val="0"/>
        <w:kinsoku/>
        <w:wordWrap/>
        <w:overflowPunct/>
        <w:topLinePunct w:val="0"/>
        <w:autoSpaceDE/>
        <w:autoSpaceDN/>
        <w:bidi w:val="0"/>
        <w:spacing w:line="578" w:lineRule="exact"/>
        <w:ind w:firstLine="64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项目名称：“一村一幼”双语辅导员劳务费</w:t>
      </w:r>
    </w:p>
    <w:p w14:paraId="0C848ABF">
      <w:pPr>
        <w:keepNext w:val="0"/>
        <w:keepLines w:val="0"/>
        <w:pageBreakBefore w:val="0"/>
        <w:widowControl w:val="0"/>
        <w:kinsoku/>
        <w:wordWrap/>
        <w:overflowPunct/>
        <w:topLinePunct w:val="0"/>
        <w:autoSpaceDE/>
        <w:autoSpaceDN/>
        <w:bidi w:val="0"/>
        <w:spacing w:line="578" w:lineRule="exact"/>
        <w:ind w:left="638" w:leftChars="304" w:firstLine="0" w:firstLineChars="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项目单位：马边彝族自治县</w:t>
      </w:r>
      <w:r>
        <w:rPr>
          <w:rFonts w:hint="eastAsia" w:ascii="仿宋_GB2312" w:hAnsi="仿宋_GB2312" w:eastAsia="仿宋_GB2312" w:cs="仿宋_GB2312"/>
          <w:sz w:val="32"/>
          <w:szCs w:val="32"/>
          <w:highlight w:val="none"/>
          <w:lang w:val="en-US" w:eastAsia="zh-CN"/>
        </w:rPr>
        <w:t>三河口镇中心校</w:t>
      </w:r>
      <w:r>
        <w:rPr>
          <w:rFonts w:hint="eastAsia" w:ascii="仿宋_GB2312" w:hAnsi="仿宋_GB2312" w:eastAsia="仿宋_GB2312" w:cs="仿宋_GB2312"/>
          <w:sz w:val="32"/>
          <w:szCs w:val="32"/>
          <w:highlight w:val="none"/>
        </w:rPr>
        <w:t xml:space="preserve">                 主管部门：马边彝族自治县教育局</w:t>
      </w:r>
    </w:p>
    <w:p w14:paraId="6EBE40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项目绩效目标：</w:t>
      </w:r>
    </w:p>
    <w:p w14:paraId="273DD53C">
      <w:pPr>
        <w:keepNext w:val="0"/>
        <w:keepLines w:val="0"/>
        <w:pageBreakBefore w:val="0"/>
        <w:widowControl w:val="0"/>
        <w:numPr>
          <w:ilvl w:val="0"/>
          <w:numId w:val="0"/>
        </w:numPr>
        <w:kinsoku/>
        <w:wordWrap/>
        <w:overflowPunct/>
        <w:topLinePunct w:val="0"/>
        <w:autoSpaceDE/>
        <w:autoSpaceDN/>
        <w:bidi w:val="0"/>
        <w:spacing w:line="578" w:lineRule="exact"/>
        <w:ind w:left="638" w:leftChars="304" w:firstLine="0" w:firstLineChars="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促进</w:t>
      </w:r>
      <w:r>
        <w:rPr>
          <w:rFonts w:hint="eastAsia" w:ascii="仿宋_GB2312" w:hAnsi="仿宋_GB2312" w:eastAsia="仿宋_GB2312" w:cs="仿宋_GB2312"/>
          <w:sz w:val="32"/>
          <w:szCs w:val="32"/>
          <w:highlight w:val="none"/>
          <w:lang w:val="en-US" w:eastAsia="zh-CN"/>
        </w:rPr>
        <w:t>三河口镇中心校</w:t>
      </w:r>
      <w:r>
        <w:rPr>
          <w:rFonts w:hint="eastAsia" w:ascii="仿宋_GB2312" w:hAnsi="仿宋_GB2312" w:eastAsia="仿宋_GB2312" w:cs="仿宋_GB2312"/>
          <w:sz w:val="32"/>
          <w:szCs w:val="32"/>
          <w:highlight w:val="none"/>
        </w:rPr>
        <w:t>学前教育事业发展。                  2.全面推进幼儿园“学前学会普通话”行动，打破语言障碍。</w:t>
      </w:r>
    </w:p>
    <w:p w14:paraId="1FB8139F">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3.实现“学前学普”由课内向课外、个体向家庭、家庭向社会、普通话普及推广向彝区文明新风养成延伸。</w:t>
      </w:r>
    </w:p>
    <w:p w14:paraId="62B7461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项目资金总额：</w:t>
      </w:r>
      <w:r>
        <w:rPr>
          <w:rFonts w:hint="eastAsia" w:ascii="仿宋_GB2312" w:hAnsi="仿宋_GB2312" w:eastAsia="仿宋_GB2312" w:cs="仿宋_GB2312"/>
          <w:sz w:val="32"/>
          <w:szCs w:val="32"/>
          <w:highlight w:val="none"/>
          <w:lang w:val="en-US" w:eastAsia="zh-CN"/>
        </w:rPr>
        <w:t>39.34</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p>
    <w:p w14:paraId="107E7E9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根据川财教〔2016〕5号和乐市财政教〔2016〕32号通知要求，从2016年起，在“大小凉山”彝区所有行政村每村选聘 2 名学前辅导员，开展学前双语教育。省级财政按平均每人每月 2000 元给予劳务报酬经费补助，市级财政按平均每人每月 1000 元给予劳务报酬经费补助。按照四川省教育领域省与市县财政事权和支出责任划分改革方案要求，并结合乐山市基本公共服务领域市与县（市、区）共同财政事权和支出责任划分改革方案，市级财政平均每人每月1000元部分由各区县级自行承担。</w:t>
      </w:r>
    </w:p>
    <w:p w14:paraId="37FD1D2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二、评估方式和方法</w:t>
      </w:r>
    </w:p>
    <w:p w14:paraId="4450790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（一）评估程序</w:t>
      </w:r>
    </w:p>
    <w:p w14:paraId="130B44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1.确定评估的依据、内容、目的、任务、时间、要求等事项。</w:t>
      </w:r>
    </w:p>
    <w:p w14:paraId="589D77C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2.结合事前绩效评估工作要求，拟定评估方案，包括评估对象、内容、方法、专家、时间安排等。</w:t>
      </w:r>
    </w:p>
    <w:p w14:paraId="3C2614A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3.评估工作邀请相关</w:t>
      </w:r>
      <w:r>
        <w:rPr>
          <w:rFonts w:hint="eastAsia" w:ascii="仿宋_GB2312" w:hAnsi="仿宋_GB2312" w:eastAsia="仿宋_GB2312" w:cs="仿宋_GB2312"/>
          <w:sz w:val="32"/>
          <w:szCs w:val="32"/>
          <w:highlight w:val="none"/>
          <w:lang w:val="en-US" w:eastAsia="zh-CN"/>
        </w:rPr>
        <w:t>人员</w:t>
      </w:r>
      <w:r>
        <w:rPr>
          <w:rFonts w:hint="eastAsia" w:ascii="仿宋_GB2312" w:hAnsi="仿宋_GB2312" w:eastAsia="仿宋_GB2312" w:cs="仿宋_GB2312"/>
          <w:sz w:val="32"/>
          <w:szCs w:val="32"/>
          <w:highlight w:val="none"/>
        </w:rPr>
        <w:t>并适时开展业务培训。</w:t>
      </w:r>
    </w:p>
    <w:p w14:paraId="6EB5697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4.向项目单位出示项目支出事前绩效评估资料清单，指导项目单位填报《财政项目绩效目标申报表》。</w:t>
      </w:r>
    </w:p>
    <w:p w14:paraId="7C6E48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.组织相关</w:t>
      </w:r>
      <w:r>
        <w:rPr>
          <w:rFonts w:hint="eastAsia" w:ascii="仿宋_GB2312" w:hAnsi="仿宋_GB2312" w:eastAsia="仿宋_GB2312" w:cs="仿宋_GB2312"/>
          <w:sz w:val="32"/>
          <w:szCs w:val="32"/>
          <w:highlight w:val="none"/>
          <w:lang w:val="en-US" w:eastAsia="zh-CN"/>
        </w:rPr>
        <w:t>人员</w:t>
      </w:r>
      <w:r>
        <w:rPr>
          <w:rFonts w:hint="eastAsia" w:ascii="仿宋_GB2312" w:hAnsi="仿宋_GB2312" w:eastAsia="仿宋_GB2312" w:cs="仿宋_GB2312"/>
          <w:sz w:val="32"/>
          <w:szCs w:val="32"/>
          <w:highlight w:val="none"/>
        </w:rPr>
        <w:t>进行</w:t>
      </w:r>
      <w:r>
        <w:rPr>
          <w:rFonts w:hint="eastAsia" w:ascii="仿宋_GB2312" w:hAnsi="仿宋_GB2312" w:eastAsia="仿宋_GB2312" w:cs="仿宋_GB2312"/>
          <w:sz w:val="32"/>
          <w:szCs w:val="32"/>
          <w:highlight w:val="none"/>
          <w:lang w:val="en-US" w:eastAsia="zh-CN"/>
        </w:rPr>
        <w:t>现场</w:t>
      </w:r>
      <w:r>
        <w:rPr>
          <w:rFonts w:hint="eastAsia" w:ascii="仿宋_GB2312" w:hAnsi="仿宋_GB2312" w:eastAsia="仿宋_GB2312" w:cs="仿宋_GB2312"/>
          <w:sz w:val="32"/>
          <w:szCs w:val="32"/>
          <w:highlight w:val="none"/>
        </w:rPr>
        <w:t>调研。通过查阅资料、实地核实、了解项目具体内容、申报理由和项目实施具体做法、依据等，将现场情况与上报资料进行对比，对项目疑点问题进行询问，听取并记录项目单位对有关问题的解释和答复。</w:t>
      </w:r>
    </w:p>
    <w:p w14:paraId="26484B0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6.绩效考评组会同</w:t>
      </w:r>
      <w:r>
        <w:rPr>
          <w:rFonts w:hint="eastAsia" w:ascii="仿宋_GB2312" w:hAnsi="仿宋_GB2312" w:eastAsia="仿宋_GB2312" w:cs="仿宋_GB2312"/>
          <w:sz w:val="32"/>
          <w:szCs w:val="32"/>
          <w:highlight w:val="none"/>
          <w:lang w:val="en-US" w:eastAsia="zh-CN"/>
        </w:rPr>
        <w:t>相关人员</w:t>
      </w:r>
      <w:r>
        <w:rPr>
          <w:rFonts w:hint="eastAsia" w:ascii="仿宋_GB2312" w:hAnsi="仿宋_GB2312" w:eastAsia="仿宋_GB2312" w:cs="仿宋_GB2312"/>
          <w:sz w:val="32"/>
          <w:szCs w:val="32"/>
          <w:highlight w:val="none"/>
        </w:rPr>
        <w:t>共同召开评估会议，了解项目基本情况，听取项目单位的情况介绍，进行现场评议。</w:t>
      </w:r>
    </w:p>
    <w:p w14:paraId="242C38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7.完成最终评价报告，提出评估结论意见。</w:t>
      </w:r>
    </w:p>
    <w:p w14:paraId="59C9BBF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（二）评估思路及方法</w:t>
      </w:r>
    </w:p>
    <w:p w14:paraId="3F143DC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本次事前绩效评估主要针对项目的相关性、项目绩效的可实现性、项目实施方案的有效性、项目预期绩效的可持续性、财政资金投入的可行性及风险等方面进行综合评估、分析与论证，并提出相关建议。</w:t>
      </w:r>
    </w:p>
    <w:p w14:paraId="5832BD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本次事前绩效评估主要采用成本效益分析、比较分析、因素分析、最低成本分析、历史分析等方法进行论证。</w:t>
      </w:r>
    </w:p>
    <w:p w14:paraId="28D2CD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（三）评估方式</w:t>
      </w:r>
    </w:p>
    <w:p w14:paraId="3005501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绩效评估遵循全面考虑、重点突出的原则，主要采用专家咨询的方式，同时辅之以资料分析、集中座谈、网络查询、电话采访、抽样调查等评估方式或手段，对项目的相关性、可行性、持续性等方面进行全面评估。</w:t>
      </w:r>
    </w:p>
    <w:p w14:paraId="3D0728F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三、评估内容与结论</w:t>
      </w:r>
    </w:p>
    <w:p w14:paraId="201ECFC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（一）立项必要性</w:t>
      </w:r>
    </w:p>
    <w:p w14:paraId="66227C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为严格落实幼儿园教职工配备标准，全面推进“学前学普”工作，提升学前教育发展水平，打破语言障碍，从源头上主动阻断贫困代际传递，需按标准配齐配足“一村一幼”辅导员。</w:t>
      </w:r>
    </w:p>
    <w:p w14:paraId="61CB35F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（二）投入经济性</w:t>
      </w:r>
    </w:p>
    <w:p w14:paraId="0620D7B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严格核实幼儿园班级数，根据班级数配备“一村一幼”辅导员，按标准发放劳务费，控制成本投入。</w:t>
      </w:r>
    </w:p>
    <w:p w14:paraId="3C95873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（三）绩效目标合理性</w:t>
      </w:r>
    </w:p>
    <w:p w14:paraId="0A66206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项目绩效目标基本明确，且有受益群体，绩效目标与预计解决的问题及现实需求相匹配，与项目单位的业务一致。项目综合效益显著，预期效益可实现性较强。</w:t>
      </w:r>
    </w:p>
    <w:p w14:paraId="438A20E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（四）预算方案可行性</w:t>
      </w:r>
    </w:p>
    <w:p w14:paraId="592FA0B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“一村一幼”辅导员每人每月按3500元标准发放劳务费，全年需经费</w:t>
      </w:r>
      <w:r>
        <w:rPr>
          <w:rFonts w:hint="eastAsia" w:ascii="仿宋_GB2312" w:hAnsi="仿宋_GB2312" w:eastAsia="仿宋_GB2312" w:cs="仿宋_GB2312"/>
          <w:sz w:val="32"/>
          <w:szCs w:val="32"/>
          <w:highlight w:val="none"/>
          <w:lang w:val="en-US" w:eastAsia="zh-CN"/>
        </w:rPr>
        <w:t>39.34</w:t>
      </w:r>
      <w:r>
        <w:rPr>
          <w:rFonts w:hint="eastAsia" w:ascii="仿宋_GB2312" w:hAnsi="仿宋_GB2312" w:eastAsia="仿宋_GB2312" w:cs="仿宋_GB2312"/>
          <w:sz w:val="32"/>
          <w:szCs w:val="32"/>
          <w:highlight w:val="none"/>
        </w:rPr>
        <w:t>万元。</w:t>
      </w:r>
    </w:p>
    <w:p w14:paraId="729C2BA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（五）筹资合规性</w:t>
      </w:r>
    </w:p>
    <w:p w14:paraId="30DBDD2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经费严格按2024年预算口径编制预算，有效性强。</w:t>
      </w:r>
    </w:p>
    <w:p w14:paraId="1E13645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（六）总体结论</w:t>
      </w:r>
    </w:p>
    <w:p w14:paraId="32BD991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项目相关性显著，绩效可实现性较强，实施方案有效，预期绩效具有可持续性，且财政资金投入风险基本可控。综合评价，对该项目应“予以支持”。项目单位应进一步优化绩效目标，加强项目管理的严谨性。</w:t>
      </w:r>
    </w:p>
    <w:p w14:paraId="2BED72D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四、相关建议</w:t>
      </w:r>
    </w:p>
    <w:p w14:paraId="0F8775F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马边彝族自治县</w:t>
      </w:r>
      <w:r>
        <w:rPr>
          <w:rFonts w:hint="eastAsia" w:ascii="仿宋_GB2312" w:hAnsi="仿宋_GB2312" w:eastAsia="仿宋_GB2312" w:cs="仿宋_GB2312"/>
          <w:sz w:val="32"/>
          <w:szCs w:val="32"/>
          <w:highlight w:val="none"/>
          <w:lang w:val="en-US" w:eastAsia="zh-CN"/>
        </w:rPr>
        <w:t>三河口镇中心校</w:t>
      </w:r>
      <w:r>
        <w:rPr>
          <w:rFonts w:hint="eastAsia" w:ascii="仿宋_GB2312" w:hAnsi="仿宋_GB2312" w:eastAsia="仿宋_GB2312" w:cs="仿宋_GB2312"/>
          <w:sz w:val="32"/>
          <w:szCs w:val="32"/>
          <w:highlight w:val="none"/>
        </w:rPr>
        <w:t>严把资金收支关口，做好财务核算和预算决算公示。加强财政资金使用精细化管理，做好项目相关性、可实现性、预期绩效可持续性、资金可行性的评估和测算；对资金加强预算动态监控，提升财政资金使用率。</w:t>
      </w:r>
    </w:p>
    <w:p w14:paraId="1D9384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五、其他需要说明的问题</w:t>
      </w:r>
    </w:p>
    <w:p w14:paraId="2CF0917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sz w:val="32"/>
          <w:szCs w:val="32"/>
          <w:highlight w:val="none"/>
        </w:rPr>
        <w:t>无</w:t>
      </w:r>
      <w:bookmarkStart w:id="47" w:name="_Toc15396618"/>
    </w:p>
    <w:p w14:paraId="5131315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CC46D9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EF6B96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BC358A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B78027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BA4310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36AB5E8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6"/>
      <w:bookmarkEnd w:id="47"/>
      <w:bookmarkStart w:id="48" w:name="_Toc15396619"/>
    </w:p>
    <w:p w14:paraId="5C5201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C9BDE4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4BB244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1E93F28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1BA2017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697610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298DA3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6CCAAA7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66E9CD9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75477D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2ABE156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64E18A5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56A2B8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7C30EA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6C3D8D14">
      <w:pPr>
        <w:rPr>
          <w:rFonts w:hint="eastAsia" w:ascii="Times New Roman" w:hAnsi="Times New Roman"/>
          <w:lang w:eastAsia="zh-CN"/>
        </w:rPr>
      </w:pPr>
    </w:p>
    <w:sectPr>
      <w:footerReference r:id="rId8" w:type="first"/>
      <w:footerReference r:id="rId7"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C2AC">
    <w:pPr>
      <w:pStyle w:val="10"/>
      <w:jc w:val="center"/>
    </w:pPr>
  </w:p>
  <w:p w14:paraId="108A915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D27DF">
    <w:pPr>
      <w:pStyle w:val="10"/>
      <w:jc w:val="center"/>
    </w:pPr>
  </w:p>
  <w:p w14:paraId="6645278C">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9BBD4">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7C41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F7C41D">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547A3587">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DD73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ECCDF">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6BECCDF">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2C65F">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93369">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7460AF"/>
    <w:multiLevelType w:val="singleLevel"/>
    <w:tmpl w:val="A57460AF"/>
    <w:lvl w:ilvl="0" w:tentative="0">
      <w:start w:val="3"/>
      <w:numFmt w:val="decimal"/>
      <w:lvlText w:val="(%1)"/>
      <w:lvlJc w:val="left"/>
      <w:pPr>
        <w:tabs>
          <w:tab w:val="left" w:pos="312"/>
        </w:tabs>
      </w:pPr>
    </w:lvl>
  </w:abstractNum>
  <w:abstractNum w:abstractNumId="1">
    <w:nsid w:val="CD75DD61"/>
    <w:multiLevelType w:val="singleLevel"/>
    <w:tmpl w:val="CD75DD61"/>
    <w:lvl w:ilvl="0" w:tentative="0">
      <w:start w:val="1"/>
      <w:numFmt w:val="decimal"/>
      <w:suff w:val="nothing"/>
      <w:lvlText w:val="（%1）"/>
      <w:lvlJc w:val="left"/>
    </w:lvl>
  </w:abstractNum>
  <w:abstractNum w:abstractNumId="2">
    <w:nsid w:val="14A41CD1"/>
    <w:multiLevelType w:val="singleLevel"/>
    <w:tmpl w:val="14A41CD1"/>
    <w:lvl w:ilvl="0" w:tentative="0">
      <w:start w:val="2"/>
      <w:numFmt w:val="chineseCounting"/>
      <w:suff w:val="nothing"/>
      <w:lvlText w:val="（%1）"/>
      <w:lvlJc w:val="left"/>
      <w:rPr>
        <w:rFonts w:hint="eastAsia"/>
      </w:rPr>
    </w:lvl>
  </w:abstractNum>
  <w:abstractNum w:abstractNumId="3">
    <w:nsid w:val="38CEFFF1"/>
    <w:multiLevelType w:val="singleLevel"/>
    <w:tmpl w:val="38CEFFF1"/>
    <w:lvl w:ilvl="0" w:tentative="0">
      <w:start w:val="2"/>
      <w:numFmt w:val="chineseCounting"/>
      <w:suff w:val="nothing"/>
      <w:lvlText w:val="%1、"/>
      <w:lvlJc w:val="left"/>
      <w:rPr>
        <w:rFonts w:hint="eastAsia"/>
      </w:rPr>
    </w:lvl>
  </w:abstractNum>
  <w:abstractNum w:abstractNumId="4">
    <w:nsid w:val="4A95C131"/>
    <w:multiLevelType w:val="singleLevel"/>
    <w:tmpl w:val="4A95C131"/>
    <w:lvl w:ilvl="0" w:tentative="0">
      <w:start w:val="2"/>
      <w:numFmt w:val="chineseCounting"/>
      <w:suff w:val="space"/>
      <w:lvlText w:val="第%1部分"/>
      <w:lvlJc w:val="left"/>
      <w:rPr>
        <w:rFonts w:hint="eastAsia"/>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611C8"/>
    <w:rsid w:val="015975B8"/>
    <w:rsid w:val="01A23516"/>
    <w:rsid w:val="02317B1B"/>
    <w:rsid w:val="024266B8"/>
    <w:rsid w:val="02FEBE30"/>
    <w:rsid w:val="0485357B"/>
    <w:rsid w:val="04F57654"/>
    <w:rsid w:val="05387E0D"/>
    <w:rsid w:val="061E35DE"/>
    <w:rsid w:val="066E0107"/>
    <w:rsid w:val="07996F6E"/>
    <w:rsid w:val="07DFD8BA"/>
    <w:rsid w:val="08DB07E4"/>
    <w:rsid w:val="09867E8F"/>
    <w:rsid w:val="0A0F212F"/>
    <w:rsid w:val="0A2032A3"/>
    <w:rsid w:val="0B785A87"/>
    <w:rsid w:val="0BB974D9"/>
    <w:rsid w:val="0C5B233E"/>
    <w:rsid w:val="0C6C4794"/>
    <w:rsid w:val="0CA8290A"/>
    <w:rsid w:val="0D35B1ED"/>
    <w:rsid w:val="0D5831AA"/>
    <w:rsid w:val="0DE07E2B"/>
    <w:rsid w:val="0E9B2EC6"/>
    <w:rsid w:val="0F6E05DA"/>
    <w:rsid w:val="0F98263C"/>
    <w:rsid w:val="101860EC"/>
    <w:rsid w:val="10C055FF"/>
    <w:rsid w:val="11772AA4"/>
    <w:rsid w:val="118107EC"/>
    <w:rsid w:val="12614426"/>
    <w:rsid w:val="13855EF2"/>
    <w:rsid w:val="13957196"/>
    <w:rsid w:val="13D50BC4"/>
    <w:rsid w:val="14022904"/>
    <w:rsid w:val="152F2A07"/>
    <w:rsid w:val="165E0673"/>
    <w:rsid w:val="167453E9"/>
    <w:rsid w:val="16BB723D"/>
    <w:rsid w:val="16F13FCB"/>
    <w:rsid w:val="17017F86"/>
    <w:rsid w:val="1809714C"/>
    <w:rsid w:val="186504BB"/>
    <w:rsid w:val="18C8066D"/>
    <w:rsid w:val="1938089F"/>
    <w:rsid w:val="19A445FC"/>
    <w:rsid w:val="1A037B71"/>
    <w:rsid w:val="1A09162B"/>
    <w:rsid w:val="1AF31906"/>
    <w:rsid w:val="1B332FC3"/>
    <w:rsid w:val="1B7D550C"/>
    <w:rsid w:val="1B80142C"/>
    <w:rsid w:val="1BB65581"/>
    <w:rsid w:val="1BE8440E"/>
    <w:rsid w:val="1C0A168B"/>
    <w:rsid w:val="1D155CEE"/>
    <w:rsid w:val="1D1F4CC2"/>
    <w:rsid w:val="1D9F01AF"/>
    <w:rsid w:val="1DA84CB7"/>
    <w:rsid w:val="1DE178F3"/>
    <w:rsid w:val="1E162569"/>
    <w:rsid w:val="1E740ACF"/>
    <w:rsid w:val="1E9F7E8B"/>
    <w:rsid w:val="1FF35744"/>
    <w:rsid w:val="1FF6BC77"/>
    <w:rsid w:val="2002256D"/>
    <w:rsid w:val="21366A7E"/>
    <w:rsid w:val="21962A9E"/>
    <w:rsid w:val="21AE7C77"/>
    <w:rsid w:val="22BC3C41"/>
    <w:rsid w:val="23860B96"/>
    <w:rsid w:val="240371BF"/>
    <w:rsid w:val="24612064"/>
    <w:rsid w:val="2470464C"/>
    <w:rsid w:val="24D20A82"/>
    <w:rsid w:val="260F557C"/>
    <w:rsid w:val="26684A80"/>
    <w:rsid w:val="281408E2"/>
    <w:rsid w:val="29243815"/>
    <w:rsid w:val="29FD04D3"/>
    <w:rsid w:val="2AFD6C12"/>
    <w:rsid w:val="2BFF7BC6"/>
    <w:rsid w:val="2C8A61B5"/>
    <w:rsid w:val="2CA45ABE"/>
    <w:rsid w:val="2D2E01CF"/>
    <w:rsid w:val="2DF04E50"/>
    <w:rsid w:val="2E206592"/>
    <w:rsid w:val="2E9545B0"/>
    <w:rsid w:val="2F040D46"/>
    <w:rsid w:val="2FAE5751"/>
    <w:rsid w:val="2FAF0127"/>
    <w:rsid w:val="2FB1A395"/>
    <w:rsid w:val="2FD9A7D8"/>
    <w:rsid w:val="31295CB7"/>
    <w:rsid w:val="3175714F"/>
    <w:rsid w:val="319F7F4E"/>
    <w:rsid w:val="321B2544"/>
    <w:rsid w:val="325B00F2"/>
    <w:rsid w:val="3304709D"/>
    <w:rsid w:val="34281836"/>
    <w:rsid w:val="349D6851"/>
    <w:rsid w:val="352945E8"/>
    <w:rsid w:val="35BA6CAF"/>
    <w:rsid w:val="35D37231"/>
    <w:rsid w:val="364D14C1"/>
    <w:rsid w:val="36AA5135"/>
    <w:rsid w:val="36BE0DA7"/>
    <w:rsid w:val="371E7902"/>
    <w:rsid w:val="376B6AA6"/>
    <w:rsid w:val="376D39B2"/>
    <w:rsid w:val="37E16F03"/>
    <w:rsid w:val="37F53A3B"/>
    <w:rsid w:val="389B6C89"/>
    <w:rsid w:val="38D469F0"/>
    <w:rsid w:val="390A4620"/>
    <w:rsid w:val="39190C28"/>
    <w:rsid w:val="39627CCD"/>
    <w:rsid w:val="397BAF1F"/>
    <w:rsid w:val="3AB79AF3"/>
    <w:rsid w:val="3B7EF35A"/>
    <w:rsid w:val="3B9FDB6C"/>
    <w:rsid w:val="3BF5BC2F"/>
    <w:rsid w:val="3C29300F"/>
    <w:rsid w:val="3C3814A4"/>
    <w:rsid w:val="3CEBA265"/>
    <w:rsid w:val="3D98207C"/>
    <w:rsid w:val="3D9B0D99"/>
    <w:rsid w:val="3DEE7CF3"/>
    <w:rsid w:val="3DF02244"/>
    <w:rsid w:val="3DF73CE7"/>
    <w:rsid w:val="3E78745D"/>
    <w:rsid w:val="3FAE21A9"/>
    <w:rsid w:val="3FF4CAE0"/>
    <w:rsid w:val="3FF7B227"/>
    <w:rsid w:val="40A77DAD"/>
    <w:rsid w:val="40E54C45"/>
    <w:rsid w:val="41313393"/>
    <w:rsid w:val="41C12A02"/>
    <w:rsid w:val="43A407DF"/>
    <w:rsid w:val="43E8488F"/>
    <w:rsid w:val="440358FC"/>
    <w:rsid w:val="44515BEA"/>
    <w:rsid w:val="44531E01"/>
    <w:rsid w:val="44E268DA"/>
    <w:rsid w:val="453F7E5B"/>
    <w:rsid w:val="45D60C4F"/>
    <w:rsid w:val="474C6A4F"/>
    <w:rsid w:val="47592BFD"/>
    <w:rsid w:val="47FE278F"/>
    <w:rsid w:val="48232C81"/>
    <w:rsid w:val="483E5A6A"/>
    <w:rsid w:val="486A6C7A"/>
    <w:rsid w:val="487F518E"/>
    <w:rsid w:val="49176D9B"/>
    <w:rsid w:val="494006BD"/>
    <w:rsid w:val="4A627F82"/>
    <w:rsid w:val="4AE3149F"/>
    <w:rsid w:val="4B0E749A"/>
    <w:rsid w:val="4B4F25DA"/>
    <w:rsid w:val="4BDA0CFB"/>
    <w:rsid w:val="4BE068DB"/>
    <w:rsid w:val="4D34759D"/>
    <w:rsid w:val="4D3C0CCC"/>
    <w:rsid w:val="4D577224"/>
    <w:rsid w:val="4DBF1CEB"/>
    <w:rsid w:val="4E631DE5"/>
    <w:rsid w:val="4E9B1B4B"/>
    <w:rsid w:val="4E9F2261"/>
    <w:rsid w:val="4EAB630A"/>
    <w:rsid w:val="4ECE2238"/>
    <w:rsid w:val="4EE07EA5"/>
    <w:rsid w:val="4F833267"/>
    <w:rsid w:val="4FE9BD67"/>
    <w:rsid w:val="4FFB052F"/>
    <w:rsid w:val="50064DCC"/>
    <w:rsid w:val="51F021AD"/>
    <w:rsid w:val="53083A92"/>
    <w:rsid w:val="537E6D0A"/>
    <w:rsid w:val="53AF27A2"/>
    <w:rsid w:val="53F74C96"/>
    <w:rsid w:val="559B4B26"/>
    <w:rsid w:val="564D4C8D"/>
    <w:rsid w:val="56885957"/>
    <w:rsid w:val="56E47B74"/>
    <w:rsid w:val="57496343"/>
    <w:rsid w:val="578C2FC3"/>
    <w:rsid w:val="57BD3DD4"/>
    <w:rsid w:val="58892E17"/>
    <w:rsid w:val="58E25DA4"/>
    <w:rsid w:val="5A874A16"/>
    <w:rsid w:val="5AF92295"/>
    <w:rsid w:val="5B072F34"/>
    <w:rsid w:val="5B514208"/>
    <w:rsid w:val="5B6D7A7C"/>
    <w:rsid w:val="5BDD79E6"/>
    <w:rsid w:val="5BF561CA"/>
    <w:rsid w:val="5BFF5DFC"/>
    <w:rsid w:val="5C1D0043"/>
    <w:rsid w:val="5C6A164A"/>
    <w:rsid w:val="5CD71FC4"/>
    <w:rsid w:val="5D1F11B5"/>
    <w:rsid w:val="5DAE1B18"/>
    <w:rsid w:val="5DE7D9E5"/>
    <w:rsid w:val="5E3676E2"/>
    <w:rsid w:val="5ECEC941"/>
    <w:rsid w:val="5EE372A9"/>
    <w:rsid w:val="5F493CB7"/>
    <w:rsid w:val="5FBF9FF3"/>
    <w:rsid w:val="5FCD4E2C"/>
    <w:rsid w:val="5FD15F49"/>
    <w:rsid w:val="5FEF394A"/>
    <w:rsid w:val="5FF67715"/>
    <w:rsid w:val="62BF3928"/>
    <w:rsid w:val="647F5392"/>
    <w:rsid w:val="664B1D71"/>
    <w:rsid w:val="66B41F6F"/>
    <w:rsid w:val="66FA44A4"/>
    <w:rsid w:val="67423E0C"/>
    <w:rsid w:val="67AA3209"/>
    <w:rsid w:val="681C4F0D"/>
    <w:rsid w:val="69046D0F"/>
    <w:rsid w:val="698D0931"/>
    <w:rsid w:val="69C95A2B"/>
    <w:rsid w:val="6A993CED"/>
    <w:rsid w:val="6AD40467"/>
    <w:rsid w:val="6B053271"/>
    <w:rsid w:val="6B8C0D4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10491"/>
    <w:rsid w:val="6F8731EA"/>
    <w:rsid w:val="6FCE6052"/>
    <w:rsid w:val="6FD57C00"/>
    <w:rsid w:val="6FEFFFD8"/>
    <w:rsid w:val="6FF5CC65"/>
    <w:rsid w:val="6FFB47EC"/>
    <w:rsid w:val="6FFF034A"/>
    <w:rsid w:val="70496804"/>
    <w:rsid w:val="70CC4DD8"/>
    <w:rsid w:val="712A28F1"/>
    <w:rsid w:val="715C0E4B"/>
    <w:rsid w:val="72233669"/>
    <w:rsid w:val="72734D90"/>
    <w:rsid w:val="72F84F0E"/>
    <w:rsid w:val="7332FE48"/>
    <w:rsid w:val="73AB61DA"/>
    <w:rsid w:val="73AD73D5"/>
    <w:rsid w:val="73B6EB34"/>
    <w:rsid w:val="73FA497D"/>
    <w:rsid w:val="74357542"/>
    <w:rsid w:val="744731E5"/>
    <w:rsid w:val="74527205"/>
    <w:rsid w:val="74BBD01D"/>
    <w:rsid w:val="74ED5379"/>
    <w:rsid w:val="74FC2395"/>
    <w:rsid w:val="74FC4A6D"/>
    <w:rsid w:val="75DEEEC2"/>
    <w:rsid w:val="76B26873"/>
    <w:rsid w:val="76E3355F"/>
    <w:rsid w:val="76FF5125"/>
    <w:rsid w:val="776F6FFA"/>
    <w:rsid w:val="777A05E8"/>
    <w:rsid w:val="778769C8"/>
    <w:rsid w:val="77DC22F5"/>
    <w:rsid w:val="79086DAD"/>
    <w:rsid w:val="794D4C08"/>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B485B"/>
    <w:rsid w:val="7F5E4D54"/>
    <w:rsid w:val="7F6E0135"/>
    <w:rsid w:val="7FA30C79"/>
    <w:rsid w:val="7FAF8ABF"/>
    <w:rsid w:val="7FB7269E"/>
    <w:rsid w:val="7FC96657"/>
    <w:rsid w:val="7FCF50BB"/>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I~1\AppData\Local\Temp\baiduyunguanjia\onlinedit\cache\c4fb2528f369fa1039552c74f724277a\2025&#20851;&#20110;&#20915;&#31639;&#20316;&#22270;&#30456;&#20851;&#20107;&#23452;&#20165;&#20379;&#21442;&#3277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6700;&#38754;\&#19977;&#27827;&#21475;&#38215;&#20013;&#24515;&#26657;2025&#24180;&#20915;&#31639;&#20844;&#24320;&#36164;&#26009;\2025&#20851;&#20110;&#20915;&#31639;&#20316;&#22270;&#30456;&#20851;&#20107;&#23452;&#20165;&#20379;&#21442;&#3277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1\AppData\Local\Temp\baiduyunguanjia\onlinedit\cache\8354778fce76cf6d989dfadd9e7d9643\2025&#20851;&#20110;&#20915;&#31639;&#20316;&#22270;&#30456;&#20851;&#20107;&#23452;&#20165;&#20379;&#21442;&#3277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BaiduNetdiskDownload\2025&#20851;&#20110;&#20915;&#31639;&#20316;&#22270;&#30456;&#20851;&#20107;&#23452;&#20165;&#20379;&#21442;&#3277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6700;&#38754;\&#19977;&#27827;&#21475;&#38215;&#20013;&#24515;&#26657;2025&#24180;&#20915;&#31639;&#20844;&#24320;&#36164;&#26009;\2025&#20851;&#20110;&#20915;&#31639;&#20316;&#22270;&#30456;&#20851;&#20107;&#23452;&#20165;&#20379;&#21442;&#3277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6700;&#38754;\&#19977;&#27827;&#21475;&#38215;&#20013;&#24515;&#26657;2025&#24180;&#20915;&#31639;&#20844;&#24320;&#36164;&#26009;\2025&#20851;&#20110;&#20915;&#31639;&#20316;&#22270;&#30456;&#20851;&#20107;&#23452;&#20165;&#20379;&#21442;&#3277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rgbClr val="000000"/>
                </a:solidFill>
                <a:latin typeface="+mn-lt"/>
                <a:ea typeface="+mn-ea"/>
                <a:cs typeface="+mn-cs"/>
              </a:defRPr>
            </a:pPr>
            <a:r>
              <a:rPr lang="en-US" altLang="zh-CN"/>
              <a:t>2025</a:t>
            </a:r>
            <a:r>
              <a:rPr altLang="en-US"/>
              <a:t>年</a:t>
            </a:r>
            <a:r>
              <a:t>收入、支出决算总计变动图</a:t>
            </a:r>
          </a:p>
        </c:rich>
      </c:tx>
      <c:layout/>
      <c:overlay val="0"/>
    </c:title>
    <c:autoTitleDeleted val="0"/>
    <c:plotArea>
      <c:layout/>
      <c:barChart>
        <c:barDir val="col"/>
        <c:grouping val="clustered"/>
        <c:varyColors val="0"/>
        <c:ser>
          <c:idx val="0"/>
          <c:order val="0"/>
          <c:tx>
            <c:strRef>
              <c:f>[2025关于决算作图相关事宜仅供参考.xlsx]Sheet1!$A$3</c:f>
              <c:strCache>
                <c:ptCount val="1"/>
                <c:pt idx="0">
                  <c:v>2024</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[2025关于决算作图相关事宜仅供参考.xlsx]Sheet1!$B$2</c:f>
              <c:strCache>
                <c:ptCount val="1"/>
                <c:pt idx="0">
                  <c:v>收入支出全年预算安排情况</c:v>
                </c:pt>
              </c:strCache>
            </c:strRef>
          </c:cat>
          <c:val>
            <c:numRef>
              <c:f>[2025关于决算作图相关事宜仅供参考.xlsx]Sheet1!$B$3</c:f>
              <c:numCache>
                <c:formatCode>General</c:formatCode>
                <c:ptCount val="1"/>
                <c:pt idx="0">
                  <c:v>1185.72</c:v>
                </c:pt>
              </c:numCache>
            </c:numRef>
          </c:val>
        </c:ser>
        <c:ser>
          <c:idx val="1"/>
          <c:order val="1"/>
          <c:tx>
            <c:strRef>
              <c:f>[2025关于决算作图相关事宜仅供参考.xlsx]Sheet1!$A$4</c:f>
              <c:strCache>
                <c:ptCount val="1"/>
                <c:pt idx="0">
                  <c:v>2025</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[2025关于决算作图相关事宜仅供参考.xlsx]Sheet1!$B$2</c:f>
              <c:strCache>
                <c:ptCount val="1"/>
                <c:pt idx="0">
                  <c:v>收入支出全年预算安排情况</c:v>
                </c:pt>
              </c:strCache>
            </c:strRef>
          </c:cat>
          <c:val>
            <c:numRef>
              <c:f>[2025关于决算作图相关事宜仅供参考.xlsx]Sheet1!$B$4:$C$4</c:f>
              <c:numCache>
                <c:formatCode>General</c:formatCode>
                <c:ptCount val="2"/>
                <c:pt idx="0">
                  <c:v>1286.97</c:v>
                </c:pt>
              </c:numCache>
            </c:numRef>
          </c:val>
        </c:ser>
        <c:dLbls>
          <c:showLegendKey val="0"/>
          <c:showVal val="1"/>
          <c:showCatName val="0"/>
          <c:showSerName val="0"/>
          <c:showPercent val="0"/>
          <c:showBubbleSize val="0"/>
        </c:dLbls>
        <c:gapWidth val="150"/>
        <c:overlap val="0"/>
        <c:axId val="207082624"/>
        <c:axId val="207084160"/>
      </c:barChart>
      <c:catAx>
        <c:axId val="2070826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207084160"/>
        <c:crosses val="autoZero"/>
        <c:auto val="1"/>
        <c:lblAlgn val="ctr"/>
        <c:lblOffset val="100"/>
        <c:noMultiLvlLbl val="0"/>
      </c:catAx>
      <c:valAx>
        <c:axId val="2070841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207082624"/>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dTable>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14052051-d4c6-4a1b-acb1-80ef95aff2ce}"/>
      </c:ext>
    </c:extLst>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t>20</a:t>
            </a:r>
            <a:r>
              <a:rPr lang="en-US" altLang="zh-CN"/>
              <a:t>25</a:t>
            </a:r>
            <a:r>
              <a:t>年收入决算情况                单位：万元</a:t>
            </a:r>
          </a:p>
        </c:rich>
      </c:tx>
      <c:layout/>
      <c:overlay val="0"/>
      <c:spPr>
        <a:noFill/>
        <a:ln>
          <a:noFill/>
        </a:ln>
        <a:effectLst/>
      </c:spPr>
    </c:title>
    <c:autoTitleDeleted val="0"/>
    <c:plotArea>
      <c:layout/>
      <c:pieChart>
        <c:varyColors val="1"/>
        <c:ser>
          <c:idx val="0"/>
          <c:order val="0"/>
          <c:spPr/>
          <c:explosion val="1"/>
          <c:dPt>
            <c:idx val="0"/>
            <c:bubble3D val="0"/>
            <c:explosion val="2"/>
            <c:spPr>
              <a:solidFill>
                <a:schemeClr val="accent1">
                  <a:shade val="76667"/>
                </a:schemeClr>
              </a:solidFill>
              <a:ln>
                <a:noFill/>
              </a:ln>
              <a:effectLst>
                <a:outerShdw blurRad="254000" sx="102000" sy="102000" algn="ctr" rotWithShape="0">
                  <a:prstClr val="black">
                    <a:alpha val="20000"/>
                  </a:prstClr>
                </a:outerShdw>
              </a:effectLst>
            </c:spPr>
          </c:dPt>
          <c:dPt>
            <c:idx val="1"/>
            <c:bubble3D val="0"/>
            <c:spPr>
              <a:solidFill>
                <a:schemeClr val="accent2">
                  <a:shade val="76667"/>
                </a:schemeClr>
              </a:solidFill>
              <a:ln>
                <a:noFill/>
              </a:ln>
              <a:effectLst>
                <a:outerShdw blurRad="254000" sx="102000" sy="102000" algn="ctr" rotWithShape="0">
                  <a:prstClr val="black">
                    <a:alpha val="20000"/>
                  </a:prstClr>
                </a:outerShdw>
              </a:effectLst>
            </c:spPr>
          </c:dPt>
          <c:dPt>
            <c:idx val="2"/>
            <c:bubble3D val="0"/>
            <c:spPr>
              <a:solidFill>
                <a:schemeClr val="accent3">
                  <a:shade val="76667"/>
                </a:schemeClr>
              </a:solidFill>
              <a:ln>
                <a:noFill/>
              </a:ln>
              <a:effectLst>
                <a:outerShdw blurRad="254000" sx="102000" sy="102000" algn="ctr" rotWithShape="0">
                  <a:prstClr val="black">
                    <a:alpha val="20000"/>
                  </a:prstClr>
                </a:outerShdw>
              </a:effectLst>
            </c:spPr>
          </c:dPt>
          <c:dLbls>
            <c:dLbl>
              <c:idx val="2"/>
              <c:layout>
                <c:manualLayout>
                  <c:x val="-0.0562218447918563"/>
                  <c:y val="0.31689170162064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extLst>
                <c:ext xmlns:c15="http://schemas.microsoft.com/office/drawing/2012/chart" uri="{02D57815-91ED-43cb-92C2-25804820EDAC}">
                  <c15:fullRef>
                    <c15:sqref>[2025关于决算作图相关事宜仅供参考.xlsx]Sheet1!$H$2:$H$5</c15:sqref>
                  </c15:fullRef>
                </c:ext>
              </c:extLst>
              <c:f>[2025关于决算作图相关事宜仅供参考.xlsx]Sheet1!$H$3:$H$5</c:f>
              <c:strCache>
                <c:ptCount val="3"/>
                <c:pt idx="0">
                  <c:v>一般公共预算财政拨款收入</c:v>
                </c:pt>
                <c:pt idx="1">
                  <c:v>政府性基金预算财政拨款收入</c:v>
                </c:pt>
                <c:pt idx="2">
                  <c:v>其他收入</c:v>
                </c:pt>
              </c:strCache>
            </c:strRef>
          </c:cat>
          <c:val>
            <c:numRef>
              <c:extLst>
                <c:ext xmlns:c15="http://schemas.microsoft.com/office/drawing/2012/chart" uri="{02D57815-91ED-43cb-92C2-25804820EDAC}">
                  <c15:fullRef>
                    <c15:sqref>Sheet1!$I$2:$I$5</c15:sqref>
                  </c15:fullRef>
                </c:ext>
              </c:extLst>
              <c:f>[2025关于决算作图相关事宜仅供参考.xlsx]Sheet1!$I$3:$I$5</c:f>
              <c:numCache>
                <c:formatCode>General</c:formatCode>
                <c:ptCount val="3"/>
                <c:pt idx="0">
                  <c:v>1205.17</c:v>
                </c:pt>
                <c:pt idx="1">
                  <c:v>1</c:v>
                </c:pt>
                <c:pt idx="2">
                  <c:v>80.8</c:v>
                </c:pt>
              </c:numCache>
            </c:numRef>
          </c:val>
        </c:ser>
        <c:dLbls>
          <c:showLegendKey val="0"/>
          <c:showVal val="0"/>
          <c:showCatName val="0"/>
          <c:showSerName val="0"/>
          <c:showPercent val="1"/>
          <c:showBubbleSize val="0"/>
          <c:showLeaderLines val="0"/>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0"/>
    <c:dispBlanksAs val="gap"/>
    <c:showDLblsOverMax val="0"/>
    <c:extLst>
      <c:ext uri="{0b15fc19-7d7d-44ad-8c2d-2c3a37ce22c3}">
        <chartProps xmlns="https://web.wps.cn/et/2018/main" chartId="{84e05160-2ea1-426c-9a6f-175e62d68a85}"/>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mn-lt"/>
                <a:ea typeface="+mn-ea"/>
                <a:cs typeface="+mn-cs"/>
              </a:defRPr>
            </a:pPr>
            <a:r>
              <a:rPr lang="en-US" altLang="zh-CN"/>
              <a:t>      2025</a:t>
            </a:r>
            <a:r>
              <a:rPr lang="zh-CN" altLang="en-US"/>
              <a:t>年决算支出结构图             </a:t>
            </a:r>
            <a:r>
              <a:rPr lang="zh-CN" altLang="en-US" sz="1000"/>
              <a:t>单位：万元</a:t>
            </a:r>
            <a:endParaRPr lang="zh-CN" altLang="en-US" sz="1000"/>
          </a:p>
        </c:rich>
      </c:tx>
      <c:layout>
        <c:manualLayout>
          <c:xMode val="edge"/>
          <c:yMode val="edge"/>
          <c:x val="0.140428377689871"/>
          <c:y val="0.0223869184029474"/>
        </c:manualLayout>
      </c:layout>
      <c:overlay val="0"/>
    </c:title>
    <c:autoTitleDeleted val="0"/>
    <c:plotArea>
      <c:layout>
        <c:manualLayout>
          <c:layoutTarget val="inner"/>
          <c:xMode val="edge"/>
          <c:yMode val="edge"/>
          <c:x val="0.100756602426838"/>
          <c:y val="0.306165342579919"/>
          <c:w val="0.367560179174605"/>
          <c:h val="0.558213440575881"/>
        </c:manualLayout>
      </c:layout>
      <c:pieChart>
        <c:varyColors val="1"/>
        <c:ser>
          <c:idx val="0"/>
          <c:order val="0"/>
          <c:tx>
            <c:strRef>
              <c:f>[2025关于决算作图相关事宜仅供参考.xlsx]Sheet1!$H$13</c:f>
              <c:strCache>
                <c:ptCount val="1"/>
                <c:pt idx="0">
                  <c:v>2025年决算支出情况结构图    单位：万元</c:v>
                </c:pt>
              </c:strCache>
            </c:strRef>
          </c:tx>
          <c:explosion val="0"/>
          <c:dPt>
            <c:idx val="0"/>
            <c:bubble3D val="0"/>
          </c:dPt>
          <c:dPt>
            <c:idx val="1"/>
            <c:bubble3D val="0"/>
          </c:dPt>
          <c:dPt>
            <c:idx val="2"/>
            <c:bubble3D val="0"/>
          </c:dPt>
          <c:dPt>
            <c:idx val="3"/>
            <c:bubble3D val="0"/>
          </c:dPt>
          <c:dPt>
            <c:idx val="4"/>
            <c:bubble3D val="0"/>
          </c:dPt>
          <c:dLbls>
            <c:dLbl>
              <c:idx val="2"/>
              <c:layout/>
              <c:dLblPos val="bestFit"/>
              <c:showLegendKey val="1"/>
              <c:showVal val="1"/>
              <c:showCatName val="1"/>
              <c:showSerName val="1"/>
              <c:showPercent val="1"/>
              <c:showBubbleSize val="1"/>
              <c:extLst>
                <c:ext xmlns:c15="http://schemas.microsoft.com/office/drawing/2012/chart" uri="{CE6537A1-D6FC-4f65-9D91-7224C49458BB}"/>
              </c:extLst>
            </c:dLbl>
            <c:dLbl>
              <c:idx val="3"/>
              <c:layout>
                <c:manualLayout>
                  <c:x val="-0.105379959196749"/>
                  <c:y val="-0.00753720547761867"/>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r>
                      <a:rPr lang="en-US" altLang="en-US" sz="1000"/>
                      <a:t>20.</a:t>
                    </a:r>
                    <a:endParaRPr lang="en-US" altLang="en-US" sz="1000"/>
                  </a:p>
                  <a:p>
                    <a:pPr>
                      <a:defRPr lang="zh-CN" sz="1000" b="0" i="0" u="none" strike="noStrike" kern="1200" baseline="0">
                        <a:solidFill>
                          <a:srgbClr val="000000"/>
                        </a:solidFill>
                        <a:latin typeface="+mn-lt"/>
                        <a:ea typeface="+mn-ea"/>
                        <a:cs typeface="+mn-cs"/>
                      </a:defRPr>
                    </a:pPr>
                    <a:r>
                      <a:rPr lang="en-US" altLang="en-US" sz="1000"/>
                      <a:t>97</a:t>
                    </a:r>
                    <a:r>
                      <a:rPr lang="en-US" altLang="zh-CN" sz="1000"/>
                      <a:t>%</a:t>
                    </a:r>
                    <a:endParaRPr lang="en-US" altLang="zh-CN" sz="1000"/>
                  </a:p>
                  <a:p>
                    <a:pPr>
                      <a:defRPr lang="zh-CN" sz="1000" b="0" i="0" u="none" strike="noStrike" kern="1200" baseline="0">
                        <a:solidFill>
                          <a:srgbClr val="000000"/>
                        </a:solidFill>
                        <a:latin typeface="+mn-lt"/>
                        <a:ea typeface="+mn-ea"/>
                        <a:cs typeface="+mn-cs"/>
                      </a:defRPr>
                    </a:pP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109109691053072"/>
                  <c:y val="0.0141430150255878"/>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r>
                      <a:rPr lang="en-US" altLang="en-US"/>
                      <a:t>79.03</a:t>
                    </a:r>
                    <a:r>
                      <a:rPr lang="en-US" altLang="zh-CN"/>
                      <a:t>%</a:t>
                    </a:r>
                    <a:endParaRPr lang="en-US" altLang="zh-CN"/>
                  </a:p>
                  <a:p>
                    <a:pPr>
                      <a:defRPr lang="zh-CN" sz="1000" b="0" i="0" u="none" strike="noStrike" kern="1200" baseline="0">
                        <a:solidFill>
                          <a:srgbClr val="000000"/>
                        </a:solidFill>
                        <a:latin typeface="+mn-lt"/>
                        <a:ea typeface="+mn-ea"/>
                        <a:cs typeface="+mn-cs"/>
                      </a:defRPr>
                    </a:pP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[2025关于决算作图相关事宜仅供参考.xlsx]Sheet1!$H$14:$H$18</c:f>
              <c:strCache>
                <c:ptCount val="5"/>
                <c:pt idx="0">
                  <c:v>基本支出</c:v>
                </c:pt>
                <c:pt idx="1">
                  <c:v>项目支出</c:v>
                </c:pt>
              </c:strCache>
            </c:strRef>
          </c:cat>
          <c:val>
            <c:numRef>
              <c:f>[2025关于决算作图相关事宜仅供参考.xlsx]Sheet1!$I$14:$I$18</c:f>
              <c:numCache>
                <c:formatCode>#,##0.00</c:formatCode>
                <c:ptCount val="5"/>
                <c:pt idx="0">
                  <c:v>857.39</c:v>
                </c:pt>
                <c:pt idx="1" c:formatCode="General">
                  <c:v>429.58</c:v>
                </c:pt>
              </c:numCache>
            </c:numRef>
          </c:val>
        </c:ser>
        <c:dLbls>
          <c:showLegendKey val="0"/>
          <c:showVal val="0"/>
          <c:showCatName val="0"/>
          <c:showSerName val="0"/>
          <c:showPercent val="0"/>
          <c:showBubbleSize val="0"/>
          <c:showLeaderLines val="1"/>
        </c:dLbls>
        <c:firstSliceAng val="0"/>
      </c:pieChart>
    </c:plotArea>
    <c:legend>
      <c:legendPos val="r"/>
      <c:legendEntry>
        <c:idx val="2"/>
        <c:delete val="1"/>
      </c:legendEntry>
      <c:legendEntry>
        <c:idx val="3"/>
        <c:delete val="1"/>
      </c:legendEntry>
      <c:legendEntry>
        <c:idx val="4"/>
        <c:delete val="1"/>
      </c:legendEntry>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398551e3-8416-4462-be81-29a58977a243}"/>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solidFill>
                <a:latin typeface="+mn-lt"/>
                <a:ea typeface="+mn-ea"/>
                <a:cs typeface="+mn-cs"/>
              </a:defRPr>
            </a:pPr>
            <a:r>
              <a:rPr lang="en-US" altLang="zh-CN">
                <a:solidFill>
                  <a:schemeClr val="tx1"/>
                </a:solidFill>
              </a:rPr>
              <a:t>2025</a:t>
            </a:r>
            <a:r>
              <a:rPr altLang="en-US">
                <a:solidFill>
                  <a:schemeClr val="tx1"/>
                </a:solidFill>
              </a:rPr>
              <a:t>年</a:t>
            </a:r>
            <a:r>
              <a:rPr>
                <a:solidFill>
                  <a:schemeClr val="tx1"/>
                </a:solidFill>
              </a:rPr>
              <a:t>财政拨款收入支出决算与以年对比图</a:t>
            </a:r>
            <a:endParaRPr>
              <a:solidFill>
                <a:schemeClr val="tx1"/>
              </a:solidFill>
            </a:endParaRPr>
          </a:p>
        </c:rich>
      </c:tx>
      <c:layout>
        <c:manualLayout>
          <c:xMode val="edge"/>
          <c:yMode val="edge"/>
          <c:x val="0.124504158669226"/>
          <c:y val="0.916975971869506"/>
        </c:manualLayout>
      </c:layout>
      <c:overlay val="0"/>
      <c:spPr>
        <a:noFill/>
        <a:ln>
          <a:noFill/>
        </a:ln>
        <a:effectLst/>
      </c:spPr>
    </c:title>
    <c:autoTitleDeleted val="0"/>
    <c:plotArea>
      <c:layout>
        <c:manualLayout>
          <c:layoutTarget val="inner"/>
          <c:xMode val="edge"/>
          <c:yMode val="edge"/>
          <c:x val="0.0673405535499398"/>
          <c:y val="0.0232092168976457"/>
          <c:w val="0.869361111111111"/>
          <c:h val="0.757608695652174"/>
        </c:manualLayout>
      </c:layout>
      <c:barChart>
        <c:barDir val="col"/>
        <c:grouping val="clustered"/>
        <c:varyColors val="0"/>
        <c:ser>
          <c:idx val="0"/>
          <c:order val="0"/>
          <c:spPr>
            <a:solidFill>
              <a:srgbClr val="4F81BD"/>
            </a:solidFill>
            <a:ln>
              <a:noFill/>
            </a:ln>
            <a:effectLst/>
          </c:spPr>
          <c:invertIfNegative val="0"/>
          <c:dPt>
            <c:idx val="1"/>
            <c:invertIfNegative val="0"/>
            <c:bubble3D val="0"/>
            <c:spPr>
              <a:solidFill>
                <a:srgbClr val="D99694">
                  <a:lumMod val="60000"/>
                  <a:lumOff val="40000"/>
                </a:srgbClr>
              </a:solidFill>
              <a:ln>
                <a:noFill/>
              </a:ln>
              <a:effectLst/>
            </c:spPr>
          </c:dPt>
          <c:dPt>
            <c:idx val="3"/>
            <c:invertIfNegative val="0"/>
            <c:bubble3D val="0"/>
            <c:spPr>
              <a:solidFill>
                <a:srgbClr val="D99694">
                  <a:lumMod val="60000"/>
                  <a:lumOff val="40000"/>
                </a:srgbClr>
              </a:solidFill>
              <a:ln>
                <a:no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multiLvlStrRef>
              <c:f>[2025关于决算作图相关事宜仅供参考.xlsx]Sheet1!$A$129:$B$132</c:f>
              <c:multiLvlStrCache>
                <c:ptCount val="4"/>
                <c:lvl>
                  <c:pt idx="0">
                    <c:v>收入</c:v>
                  </c:pt>
                  <c:pt idx="1">
                    <c:v>支出</c:v>
                  </c:pt>
                  <c:pt idx="2">
                    <c:v>收入</c:v>
                  </c:pt>
                  <c:pt idx="3">
                    <c:v>支出</c:v>
                  </c:pt>
                </c:lvl>
                <c:lvl>
                  <c:pt idx="0">
                    <c:v>2024年</c:v>
                  </c:pt>
                  <c:pt idx="1">
                    <c:v>2024年</c:v>
                  </c:pt>
                  <c:pt idx="2">
                    <c:v>2025年</c:v>
                  </c:pt>
                  <c:pt idx="3">
                    <c:v>2025年</c:v>
                  </c:pt>
                </c:lvl>
              </c:multiLvlStrCache>
            </c:multiLvlStrRef>
          </c:cat>
          <c:val>
            <c:numRef>
              <c:f>[2025关于决算作图相关事宜仅供参考.xlsx]Sheet1!$C$129:$C$132</c:f>
              <c:numCache>
                <c:formatCode>General</c:formatCode>
                <c:ptCount val="4"/>
                <c:pt idx="0">
                  <c:v>1183.88</c:v>
                </c:pt>
                <c:pt idx="1">
                  <c:v>1183.88</c:v>
                </c:pt>
                <c:pt idx="2">
                  <c:v>1206.17</c:v>
                </c:pt>
                <c:pt idx="3">
                  <c:v>1206.17</c:v>
                </c:pt>
              </c:numCache>
            </c:numRef>
          </c:val>
        </c:ser>
        <c:dLbls>
          <c:showLegendKey val="0"/>
          <c:showVal val="1"/>
          <c:showCatName val="0"/>
          <c:showSerName val="0"/>
          <c:showPercent val="0"/>
          <c:showBubbleSize val="0"/>
        </c:dLbls>
        <c:gapWidth val="75"/>
        <c:overlap val="0"/>
        <c:axId val="370026797"/>
        <c:axId val="507572668"/>
      </c:barChart>
      <c:catAx>
        <c:axId val="370026797"/>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507572668"/>
        <c:crosses val="autoZero"/>
        <c:auto val="1"/>
        <c:lblAlgn val="ctr"/>
        <c:lblOffset val="100"/>
        <c:noMultiLvlLbl val="0"/>
      </c:catAx>
      <c:valAx>
        <c:axId val="50757266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37002679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manualLayout>
          <c:xMode val="edge"/>
          <c:yMode val="edge"/>
          <c:x val="0.0753808097903919"/>
          <c:y val="0.168220510741792"/>
          <c:w val="0.502408540554615"/>
          <c:h val="0.1430887717875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b858a21-0a7a-4dca-9ee1-2230f04d2d2d}"/>
      </c:ext>
    </c:extLst>
  </c:chart>
  <c:spPr>
    <a:solidFill>
      <a:srgbClr val="FFFFFF"/>
    </a:solidFill>
    <a:ln w="9525" cap="flat" cmpd="sng" algn="ctr">
      <a:solidFill>
        <a:srgbClr val="D9D9D9">
          <a:lumMod val="15000"/>
          <a:lumOff val="85000"/>
        </a:srgbClr>
      </a:solidFill>
      <a:round/>
    </a:ln>
    <a:effectLst/>
  </c:spPr>
  <c:txPr>
    <a:bodyPr/>
    <a:lstStyle/>
    <a:p>
      <a:pPr>
        <a:defRPr lang="zh-CN">
          <a:solidFill>
            <a:schemeClr val="tx1"/>
          </a:solidFill>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000"/>
              <a:t>一般公共预算财政拨款支出决算变动图</a:t>
            </a:r>
            <a:endParaRPr lang="zh-CN" altLang="en-US" sz="1000"/>
          </a:p>
        </c:rich>
      </c:tx>
      <c:layout>
        <c:manualLayout>
          <c:xMode val="edge"/>
          <c:yMode val="edge"/>
          <c:x val="0.266552509033731"/>
          <c:y val="0.051187141523276"/>
        </c:manualLayout>
      </c:layout>
      <c:overlay val="0"/>
    </c:title>
    <c:autoTitleDeleted val="0"/>
    <c:plotArea>
      <c:layout>
        <c:manualLayout>
          <c:layoutTarget val="inner"/>
          <c:xMode val="edge"/>
          <c:yMode val="edge"/>
          <c:x val="0.0861209964412811"/>
          <c:y val="0.177220661335639"/>
          <c:w val="0.618505338078292"/>
          <c:h val="0.701318348822131"/>
        </c:manualLayout>
      </c:layout>
      <c:barChart>
        <c:barDir val="col"/>
        <c:grouping val="clustered"/>
        <c:varyColors val="0"/>
        <c:ser>
          <c:idx val="0"/>
          <c:order val="0"/>
          <c:tx>
            <c:strRef>
              <c:f>[2025关于决算作图相关事宜仅供参考.xlsx]Sheet1!$A$75</c:f>
              <c:strCache>
                <c:ptCount val="1"/>
                <c:pt idx="0">
                  <c:v>一般公共预算财政拨款支出决算</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[2025关于决算作图相关事宜仅供参考.xlsx]Sheet1!$A$76:$A$77</c:f>
              <c:strCache>
                <c:ptCount val="2"/>
                <c:pt idx="0">
                  <c:v>2024年</c:v>
                </c:pt>
                <c:pt idx="1">
                  <c:v>2025年</c:v>
                </c:pt>
              </c:strCache>
            </c:strRef>
          </c:cat>
          <c:val>
            <c:numRef>
              <c:f>[2025关于决算作图相关事宜仅供参考.xlsx]Sheet1!$B$76:$B$77</c:f>
              <c:numCache>
                <c:formatCode>#,##0.00</c:formatCode>
                <c:ptCount val="2"/>
                <c:pt idx="0">
                  <c:v>1183.88</c:v>
                </c:pt>
                <c:pt idx="1">
                  <c:v>1205.17</c:v>
                </c:pt>
              </c:numCache>
            </c:numRef>
          </c:val>
        </c:ser>
        <c:dLbls>
          <c:showLegendKey val="0"/>
          <c:showVal val="0"/>
          <c:showCatName val="0"/>
          <c:showSerName val="0"/>
          <c:showPercent val="0"/>
          <c:showBubbleSize val="0"/>
        </c:dLbls>
        <c:gapWidth val="150"/>
        <c:axId val="215623936"/>
        <c:axId val="215625728"/>
      </c:barChart>
      <c:catAx>
        <c:axId val="21562393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5625728"/>
        <c:crosses val="autoZero"/>
        <c:auto val="1"/>
        <c:lblAlgn val="ctr"/>
        <c:lblOffset val="100"/>
        <c:noMultiLvlLbl val="0"/>
      </c:catAx>
      <c:valAx>
        <c:axId val="215625728"/>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5623936"/>
        <c:crosses val="autoZero"/>
        <c:crossBetween val="between"/>
      </c:valAx>
    </c:plotArea>
    <c:legend>
      <c:legendPos val="r"/>
      <c:layout>
        <c:manualLayout>
          <c:xMode val="edge"/>
          <c:yMode val="edge"/>
          <c:x val="0.722265310586177"/>
          <c:y val="0.493134660250802"/>
          <c:w val="0.252734689413823"/>
          <c:h val="0.13965660542432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2c17b96-f20a-4f72-af17-95c5237a2dc4}"/>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[2025关于决算作图相关事宜仅供参考.xlsx]Sheet1!$K$68:$K$71</c:f>
              <c:strCache>
                <c:ptCount val="4"/>
                <c:pt idx="0">
                  <c:v>教育支出</c:v>
                </c:pt>
                <c:pt idx="1">
                  <c:v>社会保障和就业支出</c:v>
                </c:pt>
                <c:pt idx="2">
                  <c:v>卫生健康支出</c:v>
                </c:pt>
                <c:pt idx="3">
                  <c:v>住房保障支出</c:v>
                </c:pt>
              </c:strCache>
            </c:strRef>
          </c:cat>
          <c:val>
            <c:numRef>
              <c:f>[2025关于决算作图相关事宜仅供参考.xlsx]Sheet1!$L$68:$L$71</c:f>
              <c:numCache>
                <c:formatCode>General</c:formatCode>
                <c:ptCount val="4"/>
                <c:pt idx="0">
                  <c:v>898.38</c:v>
                </c:pt>
                <c:pt idx="1">
                  <c:v>203.54</c:v>
                </c:pt>
                <c:pt idx="2">
                  <c:v>35.05</c:v>
                </c:pt>
                <c:pt idx="3">
                  <c:v>68.21</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[2025关于决算作图相关事宜仅供参考.xlsx]Sheet1!$K$68:$K$71</c:f>
              <c:strCache>
                <c:ptCount val="4"/>
                <c:pt idx="0">
                  <c:v>教育支出</c:v>
                </c:pt>
                <c:pt idx="1">
                  <c:v>社会保障和就业支出</c:v>
                </c:pt>
                <c:pt idx="2">
                  <c:v>卫生健康支出</c:v>
                </c:pt>
                <c:pt idx="3">
                  <c:v>住房保障支出</c:v>
                </c:pt>
              </c:strCache>
            </c:strRef>
          </c:cat>
          <c:val>
            <c:numRef>
              <c:f>[2025关于决算作图相关事宜仅供参考.xlsx]Sheet1!$M$68:$M$71</c:f>
              <c:numCache>
                <c:formatCode>0.0%</c:formatCode>
                <c:ptCount val="4"/>
                <c:pt idx="0">
                  <c:v>0.745438402880921</c:v>
                </c:pt>
                <c:pt idx="1">
                  <c:v>0.168889036401504</c:v>
                </c:pt>
                <c:pt idx="2">
                  <c:v>0.0290830339288233</c:v>
                </c:pt>
                <c:pt idx="3">
                  <c:v>0.0565978243733249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f7c8e6-f8ed-468d-b61e-d471286683c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0.88084</cdr:x>
      <cdr:y>0.16146</cdr:y>
    </cdr:from>
    <cdr:to>
      <cdr:x>0.97587</cdr:x>
      <cdr:y>0.25868</cdr:y>
    </cdr:to>
    <cdr:sp>
      <cdr:nvSpPr>
        <cdr:cNvPr id="2" name="矩形 1"/>
        <cdr:cNvSpPr/>
      </cdr:nvSpPr>
      <cdr:spPr xmlns:a="http://schemas.openxmlformats.org/drawingml/2006/main">
        <a:xfrm xmlns:a="http://schemas.openxmlformats.org/drawingml/2006/main">
          <a:off x="5562600" y="442913"/>
          <a:ext cx="600075" cy="26670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0.717418434658584</cdr:x>
      <cdr:y>0.143197058187324</cdr:y>
    </cdr:from>
    <cdr:to>
      <cdr:x>1</cdr:x>
      <cdr:y>0.327276660177374</cdr:y>
    </cdr:to>
    <cdr:sp>
      <cdr:nvSpPr>
        <cdr:cNvPr id="3" name="矩形 2"/>
        <cdr:cNvSpPr/>
      </cdr:nvSpPr>
      <cdr:spPr xmlns:a="http://schemas.openxmlformats.org/drawingml/2006/main">
        <a:xfrm xmlns:a="http://schemas.openxmlformats.org/drawingml/2006/main">
          <a:off x="2555240" y="420370"/>
          <a:ext cx="1006475" cy="54038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000"/>
            <a:t>   单位：</a:t>
          </a:r>
          <a:r>
            <a:rPr lang="en-US" altLang="zh-CN" sz="1000"/>
            <a:t>   </a:t>
          </a:r>
          <a:r>
            <a:rPr lang="zh-CN" altLang="en-US" sz="1000"/>
            <a:t>万元</a:t>
          </a:r>
          <a:endParaRPr lang="en-US" altLang="zh-CN" sz="1000"/>
        </a:p>
        <a:p>
          <a:endParaRPr lang="zh-CN" alt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519bbad2-5554-4f53-8d04-b9a8eefbe1b9</errorID>
      <errorWord>统一信用代码</errorWord>
      <group>L1_Word</group>
      <groupName>字词问题</groupName>
      <ability>L2_Typo</ability>
      <abilityName>字词错误</abilityName>
      <candidateList>
        <item>统一社会信用代码</item>
      </candidateList>
      <explain/>
      <paraID>47229B9A</paraID>
      <start>36</start>
      <end>44</end>
      <status>modified</status>
      <modifiedWord>统一社会信用代码</modifiedWord>
      <trackRevisions>false</trackRevisions>
    </reviewItem>
    <reviewItem>
      <errorID>939ef250-bc4a-4bc2-907b-becefb6c8eb9</errorID>
      <errorWord>截止</errorWord>
      <group>L1_Word</group>
      <groupName>字词问题</groupName>
      <ability>L2_Typo</ability>
      <abilityName>字词错误</abilityName>
      <candidateList>
        <item>截至</item>
      </candidateList>
      <explain>存在发音相同字词的误用。</explain>
      <paraID>4F4255D1</paraID>
      <start>0</start>
      <end>2</end>
      <status>modified</status>
      <modifiedWord>截至</modifiedWord>
      <trackRevisions>false</trackRevisions>
    </reviewItem>
    <reviewItem>
      <errorID>58d800ca-0e0f-42e8-911f-a5640eedc126</errorID>
      <errorWord>三支一扶教师</errorWord>
      <group>L1_Word</group>
      <groupName>字词问题</groupName>
      <ability>L2_Typo</ability>
      <abilityName>字词错误</abilityName>
      <candidateList>
        <item>“三支一扶”教师</item>
      </candidateList>
      <explain/>
      <paraID>4F4255D1</paraID>
      <start>32</start>
      <end>40</end>
      <status>modified</status>
      <modifiedWord>“三支一扶”教师</modifiedWord>
      <trackRevisions>false</trackRevisions>
    </reviewItem>
    <reviewItem>
      <errorID>6331a427-7f46-4f5e-8412-2bc6374d23c9</errorID>
      <errorWord>,</errorWord>
      <group>L1_Format</group>
      <groupName>格式问题</groupName>
      <ability>L2_HalfPunc_CN</ability>
      <abilityName>全半角问题</abilityName>
      <candidateList>
        <item>，</item>
      </candidateList>
      <explain>文本全半角错误。</explain>
      <paraID>4F4255D1</paraID>
      <start>73</start>
      <end>74</end>
      <status>modified</status>
      <modifiedWord>，</modifiedWord>
      <trackRevisions>false</trackRevisions>
    </reviewItem>
    <reviewItem>
      <errorID>00d97245-e724-4111-b597-58498102a34c</errorID>
      <errorWord>三支一扶教师</errorWord>
      <group>L1_Word</group>
      <groupName>字词问题</groupName>
      <ability>L2_Typo</ability>
      <abilityName>字词错误</abilityName>
      <candidateList>
        <item>“三支一扶”教师</item>
      </candidateList>
      <explain/>
      <paraID>4F4255D1</paraID>
      <start>74</start>
      <end>82</end>
      <status>modified</status>
      <modifiedWord>“三支一扶”教师</modifiedWord>
      <trackRevisions>false</trackRevisions>
    </reviewItem>
    <reviewItem>
      <errorID>037f360d-7091-4864-8d62-4a48873afd5c</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4F4255D1</paraID>
      <start>92</start>
      <end>98</end>
      <status>modified</status>
      <modifiedWord>“三支一扶”</modifiedWord>
      <trackRevisions>false</trackRevisions>
    </reviewItem>
    <reviewItem>
      <errorID>1b92b08d-475d-4e04-8cf1-9125a1f4d1c0</errorID>
      <errorWord>次，深入学习党的二十大精神</errorWord>
      <group>L1_Word</group>
      <groupName>字词问题</groupName>
      <ability>L2_Typo</ability>
      <abilityName>字词错误</abilityName>
      <candidateList>
        <item>次，深入学习贯彻党的二十大精神</item>
      </candidateList>
      <explain/>
      <paraID>5C58F455</paraID>
      <start>37</start>
      <end>52</end>
      <status>modified</status>
      <modifiedWord>次，深入学习贯彻党的二十大精神</modifiedWord>
      <trackRevisions>false</trackRevisions>
    </reviewItem>
    <reviewItem>
      <errorID>985db05b-2a12-4fc3-b570-038360d0eb54</errorID>
      <errorWord>制</errorWord>
      <group>L1_Word</group>
      <groupName>字词问题</groupName>
      <ability>L2_Typo</ability>
      <abilityName>字词错误</abilityName>
      <candidateList>
        <item>制度</item>
      </candidateList>
      <explain/>
      <paraID>6DEBFA02</paraID>
      <start>70</start>
      <end>72</end>
      <status>modified</status>
      <modifiedWord>制度</modifiedWord>
      <trackRevisions>false</trackRevisions>
    </reviewItem>
    <reviewItem>
      <errorID>949fabb4-5803-4ade-89d4-e4ac39a102ff</errorID>
      <errorWord>积</errorWord>
      <group>L1_Word</group>
      <groupName>字词问题</groupName>
      <ability>L2_Typo</ability>
      <abilityName>字词错误</abilityName>
      <candidateList>
        <item>积金</item>
      </candidateList>
      <explain/>
      <paraID>383D046C</paraID>
      <start>73</start>
      <end>75</end>
      <status>modified</status>
      <modifiedWord>积金</modifiedWord>
      <trackRevisions>false</trackRevisions>
    </reviewItem>
    <reviewItem>
      <errorID>d4667245-0f6f-4c0f-8814-47d2e6a27331</errorID>
      <errorWord>新建</errorWord>
      <group>L1_Word</group>
      <groupName>字词问题</groupName>
      <ability>L2_Typo</ability>
      <abilityName>字词错误</abilityName>
      <candidateList>
        <item>建</item>
      </candidateList>
      <explain/>
      <paraID>383D046C</paraID>
      <start>111</start>
      <end>112</end>
      <status>modified</status>
      <modifiedWord>建</modifiedWord>
      <trackRevisions>false</trackRevisions>
    </reviewItem>
    <reviewItem>
      <errorID>ce3a70ea-0db5-4a9f-becf-0ed8466795a6</errorID>
      <errorWord>万</errorWord>
      <group>L1_Word</group>
      <groupName>字词问题</groupName>
      <ability>L2_Typo</ability>
      <abilityName>字词错误</abilityName>
      <candidateList>
        <item>万元</item>
      </candidateList>
      <explain/>
      <paraID>383D046C</paraID>
      <start>119</start>
      <end>121</end>
      <status>modified</status>
      <modifiedWord>万元</modifiedWord>
      <trackRevisions>false</trackRevisions>
    </reviewItem>
    <reviewItem>
      <errorID>a1276f19-a4a6-4db2-bed1-8b76dab292b1</errorID>
      <errorWord>服</errorWord>
      <group>L1_Word</group>
      <groupName>字词问题</groupName>
      <ability>L2_Typo</ability>
      <abilityName>字词错误</abilityName>
      <candidateList>
        <item>服务</item>
      </candidateList>
      <explain/>
      <paraID>383D046C</paraID>
      <start>128</start>
      <end>130</end>
      <status>modified</status>
      <modifiedWord>服务</modifiedWord>
      <trackRevisions>false</trackRevisions>
    </reviewItem>
    <reviewItem>
      <errorID>c3aa7751-b7ae-4109-9240-05cffec8a304</errorID>
      <errorWord>收</errorWord>
      <group>L1_Word</group>
      <groupName>字词问题</groupName>
      <ability>L2_Typo</ability>
      <abilityName>字词错误</abilityName>
      <candidateList>
        <item>收入</item>
      </candidateList>
      <explain/>
      <paraID>2254A94C</paraID>
      <start>101</start>
      <end>103</end>
      <status>modified</status>
      <modifiedWord>收入</modifiedWord>
      <trackRevisions>false</trackRevisions>
    </reviewItem>
    <reviewItem>
      <errorID>296bb0f1-3b19-4081-a093-f75c189db8e4</errorID>
      <errorWord>积</errorWord>
      <group>L1_Word</group>
      <groupName>字词问题</groupName>
      <ability>L2_Typo</ability>
      <abilityName>字词错误</abilityName>
      <candidateList>
        <item>积金</item>
      </candidateList>
      <explain/>
      <paraID>3109369F</paraID>
      <start>81</start>
      <end>83</end>
      <status>modified</status>
      <modifiedWord>积金</modifiedWord>
      <trackRevisions>false</trackRevisions>
    </reviewItem>
    <reviewItem>
      <errorID>c6c6c8f4-7c4e-4c9d-993c-e37bbe5794ae</errorID>
      <errorWord>积</errorWord>
      <group>L1_Word</group>
      <groupName>字词问题</groupName>
      <ability>L2_Typo</ability>
      <abilityName>字词错误</abilityName>
      <candidateList>
        <item>积金</item>
      </candidateList>
      <explain/>
      <paraID>3109369F</paraID>
      <start>104</start>
      <end>106</end>
      <status>modified</status>
      <modifiedWord>积金</modifiedWord>
      <trackRevisions>false</trackRevisions>
    </reviewItem>
    <reviewItem>
      <errorID>2f1a14b0-d543-4fd4-b7a8-612cad4e7b62</errorID>
      <errorWord>新建</errorWord>
      <group>L1_Word</group>
      <groupName>字词问题</groupName>
      <ability>L2_Typo</ability>
      <abilityName>字词错误</abilityName>
      <candidateList>
        <item>建</item>
      </candidateList>
      <explain/>
      <paraID>3109369F</paraID>
      <start>142</start>
      <end>143</end>
      <status>modified</status>
      <modifiedWord>建</modifiedWord>
      <trackRevisions>false</trackRevisions>
    </reviewItem>
    <reviewItem>
      <errorID>33d59ce1-f711-4dc3-aa0b-8708714cf0c4</errorID>
      <errorWord>万</errorWord>
      <group>L1_Word</group>
      <groupName>字词问题</groupName>
      <ability>L2_Typo</ability>
      <abilityName>字词错误</abilityName>
      <candidateList>
        <item>万元</item>
      </candidateList>
      <explain/>
      <paraID>3109369F</paraID>
      <start>150</start>
      <end>152</end>
      <status>modified</status>
      <modifiedWord>万元</modifiedWord>
      <trackRevisions>false</trackRevisions>
    </reviewItem>
    <reviewItem>
      <errorID>67474b55-0b92-45e1-a08d-689b20046fc6</errorID>
      <errorWord>积</errorWord>
      <group>L1_Word</group>
      <groupName>字词问题</groupName>
      <ability>L2_Typo</ability>
      <abilityName>字词错误</abilityName>
      <candidateList>
        <item>积金</item>
      </candidateList>
      <explain/>
      <paraID>105A3026</paraID>
      <start>98</start>
      <end>100</end>
      <status>modified</status>
      <modifiedWord>积金</modifiedWord>
      <trackRevisions>false</trackRevisions>
    </reviewItem>
    <reviewItem>
      <errorID>39ad9c2b-9f5a-4105-9c17-ea84e77f59ec</errorID>
      <errorWord>积</errorWord>
      <group>L1_Word</group>
      <groupName>字词问题</groupName>
      <ability>L2_Typo</ability>
      <abilityName>字词错误</abilityName>
      <candidateList>
        <item>积金</item>
      </candidateList>
      <explain/>
      <paraID>105A3026</paraID>
      <start>121</start>
      <end>123</end>
      <status>modified</status>
      <modifiedWord>积金</modifiedWord>
      <trackRevisions>false</trackRevisions>
    </reviewItem>
    <reviewItem>
      <errorID>d12b3298-9d70-4b78-99b9-12a4d72104d3</errorID>
      <errorWord>新建</errorWord>
      <group>L1_Word</group>
      <groupName>字词问题</groupName>
      <ability>L2_Typo</ability>
      <abilityName>字词错误</abilityName>
      <candidateList>
        <item>建</item>
      </candidateList>
      <explain/>
      <paraID>105A3026</paraID>
      <start>159</start>
      <end>160</end>
      <status>modified</status>
      <modifiedWord>建</modifiedWord>
      <trackRevisions>false</trackRevisions>
    </reviewItem>
    <reviewItem>
      <errorID>d6640562-509d-4cd5-8441-bf714f5d9000</errorID>
      <errorWord>万</errorWord>
      <group>L1_Word</group>
      <groupName>字词问题</groupName>
      <ability>L2_Typo</ability>
      <abilityName>字词错误</abilityName>
      <candidateList>
        <item>万元</item>
      </candidateList>
      <explain/>
      <paraID>105A3026</paraID>
      <start>167</start>
      <end>169</end>
      <status>modified</status>
      <modifiedWord>万元</modifiedWord>
      <trackRevisions>false</trackRevisions>
    </reviewItem>
    <reviewItem>
      <errorID>cae9f3cd-3f9e-4453-9c6b-ae1f9f5a1048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301E5111</paraID>
      <start>0</start>
      <end>1</end>
      <status>unmodified</status>
      <modifiedWord/>
      <trackRevisions>false</trackRevisions>
    </reviewItem>
    <reviewItem>
      <errorID>ae46be66-5226-45da-b6e8-b6041e0ae5dc</errorID>
      <errorWord>，</errorWord>
      <group>L1_Word</group>
      <groupName>字词问题</groupName>
      <ability>L2_Typo</ability>
      <abilityName>字词错误</abilityName>
      <candidateList>
        <item>，在</item>
      </candidateList>
      <explain/>
      <paraID>7E4D5BCF</paraID>
      <start>67</start>
      <end>68</end>
      <status>unmodified</status>
      <modifiedWord/>
      <trackRevisions>false</trackRevisions>
    </reviewItem>
    <reviewItem>
      <errorID>ad5ffffc-8df9-4a2c-9069-f8e170bae2a3</errorID>
      <errorWord>统一信用代码</errorWord>
      <group>L1_Word</group>
      <groupName>字词问题</groupName>
      <ability>L2_Typo</ability>
      <abilityName>字词错误</abilityName>
      <candidateList>
        <item>统一社会信用代码</item>
      </candidateList>
      <explain/>
      <paraID> BDD800A</paraID>
      <start>36</start>
      <end>42</end>
      <status>unmodified</status>
      <modifiedWord/>
      <trackRevisions>false</trackRevisions>
    </reviewItem>
    <reviewItem>
      <errorID>da5eb3dd-2c7f-4261-ad65-79c7ad030f3b</errorID>
      <errorWord>。。</errorWord>
      <group>L1_Punc</group>
      <groupName>标点问题</groupName>
      <ability>L2_Punc_CN</ability>
      <abilityName>标点符号问题</abilityName>
      <candidateList>
        <item>。</item>
      </candidateList>
      <explain/>
      <paraID>3DF8842C</paraID>
      <start>42</start>
      <end>44</end>
      <status>unmodified</status>
      <modifiedWord/>
      <trackRevisions>false</trackRevisions>
    </reviewItem>
    <reviewItem>
      <errorID>f746b317-ca8a-4238-8dc7-85871f3130a6</errorID>
      <errorWord>。。</errorWord>
      <group>L1_Punc</group>
      <groupName>标点问题</groupName>
      <ability>L2_Punc_CN</ability>
      <abilityName>标点符号问题</abilityName>
      <candidateList>
        <item>。</item>
      </candidateList>
      <explain/>
      <paraID>36713A9F</paraID>
      <start>123</start>
      <end>125</end>
      <status>unmodified</status>
      <modifiedWord/>
      <trackRevisions>false</trackRevisions>
    </reviewItem>
    <reviewItem>
      <errorID>c8abca5c-2952-426e-95a1-a1f0fd374f4b</errorID>
      <errorWord>截止</errorWord>
      <group>L1_Word</group>
      <groupName>字词问题</groupName>
      <ability>L2_Typo</ability>
      <abilityName>字词错误</abilityName>
      <candidateList>
        <item>截至</item>
      </candidateList>
      <explain>存在发音相同字词的误用。</explain>
      <paraID>6FBDA098</paraID>
      <start>8</start>
      <end>10</end>
      <status>unmodified</status>
      <modifiedWord/>
      <trackRevisions>false</trackRevisions>
    </reviewItem>
    <reviewItem>
      <errorID>4c8ba627-a058-49ec-8bed-96961757ecff</errorID>
      <errorWord>三支一扶教师</errorWord>
      <group>L1_Word</group>
      <groupName>字词问题</groupName>
      <ability>L2_Typo</ability>
      <abilityName>字词错误</abilityName>
      <candidateList>
        <item>“三支一扶”教师</item>
      </candidateList>
      <explain/>
      <paraID>6FBDA098</paraID>
      <start>40</start>
      <end>46</end>
      <status>unmodified</status>
      <modifiedWord/>
      <trackRevisions>false</trackRevisions>
    </reviewItem>
    <reviewItem>
      <errorID>5b4bee70-bfd9-44c7-9f9d-cf2fe1e1e530</errorID>
      <errorWord>,</errorWord>
      <group>L1_Format</group>
      <groupName>格式问题</groupName>
      <ability>L2_HalfPunc_CN</ability>
      <abilityName>全半角问题</abilityName>
      <candidateList>
        <item>，</item>
      </candidateList>
      <explain>文本全半角错误。</explain>
      <paraID>6FBDA098</paraID>
      <start>79</start>
      <end>80</end>
      <status>unmodified</status>
      <modifiedWord/>
      <trackRevisions>false</trackRevisions>
    </reviewItem>
    <reviewItem>
      <errorID>bc565a44-6124-4362-beb4-f41a58d2af5a</errorID>
      <errorWord>三支一扶教师</errorWord>
      <group>L1_Word</group>
      <groupName>字词问题</groupName>
      <ability>L2_Typo</ability>
      <abilityName>字词错误</abilityName>
      <candidateList>
        <item>“三支一扶”教师</item>
      </candidateList>
      <explain/>
      <paraID>6FBDA098</paraID>
      <start>80</start>
      <end>86</end>
      <status>unmodified</status>
      <modifiedWord/>
      <trackRevisions>false</trackRevisions>
    </reviewItem>
    <reviewItem>
      <errorID>0405d546-4cc0-4a11-82ff-a7f449280b9e</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6FBDA098</paraID>
      <start>96</start>
      <end>100</end>
      <status>unmodified</status>
      <modifiedWord/>
      <trackRevisions>false</trackRevisions>
    </reviewItem>
    <reviewItem>
      <errorID>23223f14-9002-4eb2-9d83-a7db967ef172</errorID>
      <errorWord>收</errorWord>
      <group>L1_Word</group>
      <groupName>字词问题</groupName>
      <ability>L2_Typo</ability>
      <abilityName>字词错误</abilityName>
      <candidateList>
        <item>收入</item>
      </candidateList>
      <explain/>
      <paraID>6D78CC12</paraID>
      <start>55</start>
      <end>56</end>
      <status>unmodified</status>
      <modifiedWord/>
      <trackRevisions>false</trackRevisions>
    </reviewItem>
    <reviewItem>
      <errorID>4e56643d-8e6a-488c-9cdd-8df49d4af8e4</errorID>
      <errorWord>省级的</errorWord>
      <group>L1_Word</group>
      <groupName>字词问题</groupName>
      <ability>L2_Typo</ability>
      <abilityName>字词错误</abilityName>
      <candidateList>
        <item>省级</item>
      </candidateList>
      <explain/>
      <paraID>7AD8F4FB</paraID>
      <start>30</start>
      <end>33</end>
      <status>unmodified</status>
      <modifiedWord/>
      <trackRevisions>false</trackRevisions>
    </reviewItem>
    <reviewItem>
      <errorID>26d10e96-9fb9-4ca3-81c2-1f66a396d3f7</errorID>
      <errorWord>:</errorWord>
      <group>L1_Format</group>
      <groupName>格式问题</groupName>
      <ability>L2_HalfPunc_CN</ability>
      <abilityName>全半角问题</abilityName>
      <candidateList>
        <item>：</item>
      </candidateList>
      <explain>文本全半角错误。</explain>
      <paraID>2933FE29</paraID>
      <start>6</start>
      <end>7</end>
      <status>unmodified</status>
      <modifiedWord/>
      <trackRevisions>false</trackRevisions>
    </reviewItem>
    <reviewItem>
      <errorID>f8ff93e4-43b3-46dd-a448-276f21e25dae</errorID>
      <errorWord>:</errorWord>
      <group>L1_Format</group>
      <groupName>格式问题</groupName>
      <ability>L2_HalfPunc_CN</ability>
      <abilityName>全半角问题</abilityName>
      <candidateList>
        <item>：</item>
      </candidateList>
      <explain>文本全半角错误。</explain>
      <paraID>549AD40B</paraID>
      <start>6</start>
      <end>7</end>
      <status>unmodified</status>
      <modifiedWord/>
      <trackRevisions>false</trackRevisions>
    </reviewItem>
    <reviewItem>
      <errorID>e891ee98-498b-46df-974a-babe9ab07d10</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549AD40B</paraID>
      <start>33</start>
      <end>37</end>
      <status>unmodified</status>
      <modifiedWord/>
      <trackRevisions>false</trackRevisions>
    </reviewItem>
    <reviewItem>
      <errorID>5bfbc9a3-3cc1-488a-bb99-da2232888150</errorID>
      <errorWord>;</errorWord>
      <group>L1_Format</group>
      <groupName>格式问题</groupName>
      <ability>L2_HalfPunc_CN</ability>
      <abilityName>全半角问题</abilityName>
      <candidateList>
        <item>；</item>
      </candidateList>
      <explain>文本全半角错误。</explain>
      <paraID>549AD40B</paraID>
      <start>37</start>
      <end>38</end>
      <status>unmodified</status>
      <modifiedWord/>
      <trackRevisions>false</trackRevisions>
    </reviewItem>
    <reviewItem>
      <errorID>370f44d4-0145-4b5e-91e9-9d1393ba99c9</errorID>
      <errorWord>;</errorWord>
      <group>L1_Format</group>
      <groupName>格式问题</groupName>
      <ability>L2_HalfPunc_CN</ability>
      <abilityName>全半角问题</abilityName>
      <candidateList>
        <item>；</item>
      </candidateList>
      <explain>文本全半角错误。</explain>
      <paraID>549AD40B</paraID>
      <start>65</start>
      <end>66</end>
      <status>unmodified</status>
      <modifiedWord/>
      <trackRevisions>false</trackRevisions>
    </reviewItem>
    <reviewItem>
      <errorID>6717ebc9-3543-4571-921f-f9cd966d54c6</errorID>
      <errorWord>;</errorWord>
      <group>L1_Format</group>
      <groupName>格式问题</groupName>
      <ability>L2_HalfPunc_CN</ability>
      <abilityName>全半角问题</abilityName>
      <candidateList>
        <item>；</item>
      </candidateList>
      <explain>文本全半角错误。</explain>
      <paraID>549AD40B</paraID>
      <start>98</start>
      <end>99</end>
      <status>unmodified</status>
      <modifiedWord/>
      <trackRevisions>false</trackRevisions>
    </reviewItem>
    <reviewItem>
      <errorID>8e61fa7a-f8eb-41ce-818b-091522d38e4c</errorID>
      <errorWord>晰</errorWord>
      <group>L1_Word</group>
      <groupName>字词问题</groupName>
      <ability>L2_Typo</ability>
      <abilityName>字词错误</abilityName>
      <candidateList>
        <item>晰地</item>
      </candidateList>
      <explain/>
      <paraID>13A1202D</paraID>
      <start>61</start>
      <end>62</end>
      <status>unmodified</status>
      <modifiedWord/>
      <trackRevisions>false</trackRevisions>
    </reviewItem>
    <reviewItem>
      <errorID>278f8f95-0a36-42ad-b77f-b5bbf7300094</errorID>
      <errorWord>较</errorWord>
      <group>L1_Word</group>
      <groupName>字词问题</groupName>
      <ability>L2_Typo</ability>
      <abilityName>字词错误</abilityName>
      <candidateList>
        <item>较为</item>
      </candidateList>
      <explain/>
      <paraID>3B9746B1</paraID>
      <start>73</start>
      <end>74</end>
      <status>unmodified</status>
      <modifiedWord/>
      <trackRevisions>false</trackRevisions>
    </reviewItem>
    <reviewItem>
      <errorID>178910e7-e1c1-4c2a-8905-059e8169bde4</errorID>
      <errorWord>进一步加强对</errorWord>
      <group>L1_Word</group>
      <groupName>字词问题</groupName>
      <ability>L2_Typo</ability>
      <abilityName>字词错误</abilityName>
      <candidateList>
        <item>进一步加强</item>
      </candidateList>
      <explain/>
      <paraID>4B92CB89</paraID>
      <start>2</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0893aa-cc35-40f1-8ad5-46c20a2d3526}">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39</Words>
  <Characters>46</Characters>
  <Lines>61</Lines>
  <Paragraphs>17</Paragraphs>
  <TotalTime>2</TotalTime>
  <ScaleCrop>false</ScaleCrop>
  <LinksUpToDate>false</LinksUpToDate>
  <CharactersWithSpaces>52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骆华全</cp:lastModifiedBy>
  <cp:lastPrinted>2026-10-24T11:24:00Z</cp:lastPrinted>
  <dcterms:modified xsi:type="dcterms:W3CDTF">2026-11-06T01:25:23Z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AA6B5D58DA1441548843AF9971019A45_13</vt:lpwstr>
  </property>
  <property fmtid="{D5CDD505-2E9C-101B-9397-08002B2CF9AE}" pid="4" name="KSOTemplateDocerSaveRecord">
    <vt:lpwstr>eyJoZGlkIjoiNmU1MjA2YmNmMTJjN2FlODQ3ODQ1Y2RhOGViYTBkYzgiLCJ1c2VySWQiOiIzMTc1NzU0NTIifQ==</vt:lpwstr>
  </property>
</Properties>
</file>