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82FFC">
      <w:pPr>
        <w:spacing w:before="2600" w:line="560" w:lineRule="exact"/>
      </w:pPr>
    </w:p>
    <w:p w14:paraId="02505721">
      <w:pPr>
        <w:spacing w:after="560" w:line="560" w:lineRule="exact"/>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color w:val="000000"/>
          <w:sz w:val="44"/>
          <w:szCs w:val="44"/>
        </w:rPr>
        <w:t>2025年度</w:t>
      </w:r>
    </w:p>
    <w:p w14:paraId="211495EE">
      <w:pPr>
        <w:spacing w:after="200" w:line="720" w:lineRule="exact"/>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color w:val="000000"/>
          <w:sz w:val="44"/>
          <w:szCs w:val="44"/>
        </w:rPr>
        <w:t>马边彝族自治县经济和信息化局</w:t>
      </w:r>
    </w:p>
    <w:p w14:paraId="351CBFE8">
      <w:pPr>
        <w:spacing w:after="3800" w:line="720" w:lineRule="exact"/>
        <w:jc w:val="center"/>
        <w:rPr>
          <w:rFonts w:hint="eastAsia" w:eastAsiaTheme="minorEastAsia"/>
          <w:lang w:eastAsia="zh-CN"/>
        </w:rPr>
        <w:sectPr>
          <w:pgSz w:w="11906" w:h="16838"/>
          <w:pgMar w:top="1440" w:right="1440" w:bottom="1440" w:left="1440" w:header="708" w:footer="708" w:gutter="0"/>
          <w:cols w:space="720" w:num="1"/>
          <w:docGrid w:linePitch="360" w:charSpace="0"/>
        </w:sectPr>
      </w:pPr>
      <w:r>
        <w:rPr>
          <w:rFonts w:hint="eastAsia" w:ascii="方正小标宋简体" w:hAnsi="方正小标宋简体" w:eastAsia="方正小标宋简体" w:cs="方正小标宋简体"/>
          <w:color w:val="000000"/>
          <w:sz w:val="44"/>
          <w:szCs w:val="44"/>
          <w:lang w:eastAsia="zh-CN"/>
        </w:rPr>
        <w:t>部门决算</w:t>
      </w:r>
    </w:p>
    <w:p w14:paraId="2FEA768D">
      <w:pPr>
        <w:spacing w:before="240" w:after="480" w:line="560" w:lineRule="exact"/>
        <w:jc w:val="center"/>
      </w:pPr>
      <w:r>
        <w:rPr>
          <w:rFonts w:ascii="Times New Roman" w:hAnsi="Times New Roman" w:eastAsia="黑体" w:cs="Times New Roman"/>
          <w:b/>
          <w:bCs/>
          <w:color w:val="000000"/>
          <w:sz w:val="44"/>
          <w:szCs w:val="44"/>
        </w:rPr>
        <w:t>目  录</w:t>
      </w:r>
    </w:p>
    <w:p w14:paraId="3F88C05A">
      <w:pPr>
        <w:spacing w:after="360"/>
        <w:jc w:val="center"/>
      </w:pPr>
      <w:r>
        <w:rPr>
          <w:rFonts w:ascii="Times New Roman" w:hAnsi="Times New Roman" w:eastAsia="FangSong_GB2312" w:cs="Times New Roman"/>
          <w:color w:val="000000"/>
          <w:sz w:val="32"/>
          <w:szCs w:val="32"/>
        </w:rPr>
        <w:t>公开时间：2026年1</w:t>
      </w:r>
      <w:r>
        <w:rPr>
          <w:rFonts w:hint="eastAsia" w:ascii="Times New Roman" w:hAnsi="Times New Roman" w:eastAsia="FangSong_GB2312" w:cs="Times New Roman"/>
          <w:color w:val="000000"/>
          <w:sz w:val="32"/>
          <w:szCs w:val="32"/>
          <w:lang w:val="en-US" w:eastAsia="zh-CN"/>
        </w:rPr>
        <w:t>1</w:t>
      </w:r>
      <w:r>
        <w:rPr>
          <w:rFonts w:ascii="Times New Roman" w:hAnsi="Times New Roman" w:eastAsia="FangSong_GB2312" w:cs="Times New Roman"/>
          <w:color w:val="000000"/>
          <w:sz w:val="32"/>
          <w:szCs w:val="32"/>
        </w:rPr>
        <w:t>月</w:t>
      </w:r>
      <w:r>
        <w:rPr>
          <w:rFonts w:hint="eastAsia" w:ascii="Times New Roman" w:hAnsi="Times New Roman" w:eastAsia="FangSong_GB2312" w:cs="Times New Roman"/>
          <w:color w:val="000000"/>
          <w:sz w:val="32"/>
          <w:szCs w:val="32"/>
          <w:lang w:val="en-US" w:eastAsia="zh-CN"/>
        </w:rPr>
        <w:t>5</w:t>
      </w:r>
      <w:r>
        <w:rPr>
          <w:rFonts w:ascii="Times New Roman" w:hAnsi="Times New Roman" w:eastAsia="FangSong_GB2312" w:cs="Times New Roman"/>
          <w:color w:val="000000"/>
          <w:sz w:val="32"/>
          <w:szCs w:val="32"/>
        </w:rPr>
        <w:t>日</w:t>
      </w:r>
    </w:p>
    <w:sdt>
      <w:sdtPr>
        <w:alias w:val="目录"/>
        <w:id w:val="147463125"/>
      </w:sdtPr>
      <w:sdtContent>
        <w:p w14:paraId="2CB8EE91">
          <w:pPr>
            <w:rPr>
              <w:sz w:val="21"/>
              <w:szCs w:val="22"/>
            </w:rPr>
          </w:pPr>
          <w:r>
            <w:fldChar w:fldCharType="begin"/>
          </w:r>
          <w:r>
            <w:instrText xml:space="preserve"> TOC \o "1-2" \h \z \u </w:instrText>
          </w:r>
          <w:r>
            <w:fldChar w:fldCharType="separate"/>
          </w:r>
        </w:p>
        <w:p w14:paraId="17D91F1E">
          <w:pPr>
            <w:pStyle w:val="17"/>
            <w:tabs>
              <w:tab w:val="right" w:leader="dot" w:pos="9026"/>
            </w:tabs>
          </w:pPr>
          <w:r>
            <w:fldChar w:fldCharType="begin"/>
          </w:r>
          <w:r>
            <w:instrText xml:space="preserve"> HYPERLINK \l _Toc29885 </w:instrText>
          </w:r>
          <w:r>
            <w:fldChar w:fldCharType="separate"/>
          </w:r>
          <w:r>
            <w:rPr>
              <w:rFonts w:ascii="Times New Roman" w:hAnsi="Times New Roman" w:eastAsia="黑体" w:cs="Times New Roman"/>
              <w:szCs w:val="32"/>
            </w:rPr>
            <w:t xml:space="preserve">第一部分  </w:t>
          </w:r>
          <w:r>
            <w:rPr>
              <w:rFonts w:hint="eastAsia" w:eastAsia="黑体" w:cs="Times New Roman"/>
              <w:szCs w:val="32"/>
              <w:lang w:eastAsia="zh-CN"/>
            </w:rPr>
            <w:t>部门概况</w:t>
          </w:r>
          <w:r>
            <w:tab/>
          </w:r>
          <w:r>
            <w:fldChar w:fldCharType="begin"/>
          </w:r>
          <w:r>
            <w:instrText xml:space="preserve"> PAGEREF _Toc29885 \h </w:instrText>
          </w:r>
          <w:r>
            <w:fldChar w:fldCharType="separate"/>
          </w:r>
          <w:r>
            <w:t>4</w:t>
          </w:r>
          <w:r>
            <w:fldChar w:fldCharType="end"/>
          </w:r>
          <w:r>
            <w:fldChar w:fldCharType="end"/>
          </w:r>
        </w:p>
        <w:p w14:paraId="3ABFC355">
          <w:pPr>
            <w:pStyle w:val="21"/>
            <w:tabs>
              <w:tab w:val="right" w:leader="dot" w:pos="9026"/>
            </w:tabs>
          </w:pPr>
          <w:r>
            <w:fldChar w:fldCharType="begin"/>
          </w:r>
          <w:r>
            <w:instrText xml:space="preserve"> HYPERLINK \l _Toc8469 </w:instrText>
          </w:r>
          <w:r>
            <w:fldChar w:fldCharType="separate"/>
          </w:r>
          <w:r>
            <w:rPr>
              <w:rFonts w:ascii="Times New Roman" w:hAnsi="Times New Roman" w:eastAsia="KaiTi_GB2312" w:cs="Times New Roman"/>
              <w:bCs/>
              <w:szCs w:val="32"/>
            </w:rPr>
            <w:t>一、</w:t>
          </w:r>
          <w:r>
            <w:rPr>
              <w:rFonts w:hint="eastAsia" w:eastAsia="KaiTi_GB2312" w:cs="Times New Roman"/>
              <w:bCs/>
              <w:szCs w:val="32"/>
              <w:lang w:eastAsia="zh-CN"/>
            </w:rPr>
            <w:t>部门职责</w:t>
          </w:r>
          <w:r>
            <w:tab/>
          </w:r>
          <w:r>
            <w:fldChar w:fldCharType="begin"/>
          </w:r>
          <w:r>
            <w:instrText xml:space="preserve"> PAGEREF _Toc8469 \h </w:instrText>
          </w:r>
          <w:r>
            <w:fldChar w:fldCharType="separate"/>
          </w:r>
          <w:r>
            <w:t>4</w:t>
          </w:r>
          <w:r>
            <w:fldChar w:fldCharType="end"/>
          </w:r>
          <w:r>
            <w:fldChar w:fldCharType="end"/>
          </w:r>
        </w:p>
        <w:p w14:paraId="6617E79D">
          <w:pPr>
            <w:pStyle w:val="21"/>
            <w:tabs>
              <w:tab w:val="right" w:leader="dot" w:pos="9026"/>
            </w:tabs>
          </w:pPr>
          <w:r>
            <w:fldChar w:fldCharType="begin"/>
          </w:r>
          <w:r>
            <w:instrText xml:space="preserve"> HYPERLINK \l _Toc17359 </w:instrText>
          </w:r>
          <w:r>
            <w:fldChar w:fldCharType="separate"/>
          </w:r>
          <w:r>
            <w:rPr>
              <w:rFonts w:ascii="Times New Roman" w:hAnsi="Times New Roman" w:eastAsia="KaiTi_GB2312" w:cs="Times New Roman"/>
              <w:bCs/>
              <w:szCs w:val="32"/>
            </w:rPr>
            <w:t>二、机构设置</w:t>
          </w:r>
          <w:r>
            <w:tab/>
          </w:r>
          <w:r>
            <w:fldChar w:fldCharType="begin"/>
          </w:r>
          <w:r>
            <w:instrText xml:space="preserve"> PAGEREF _Toc17359 \h </w:instrText>
          </w:r>
          <w:r>
            <w:fldChar w:fldCharType="separate"/>
          </w:r>
          <w:r>
            <w:t>7</w:t>
          </w:r>
          <w:r>
            <w:fldChar w:fldCharType="end"/>
          </w:r>
          <w:r>
            <w:fldChar w:fldCharType="end"/>
          </w:r>
        </w:p>
        <w:p w14:paraId="36A6DDA2">
          <w:pPr>
            <w:pStyle w:val="17"/>
            <w:tabs>
              <w:tab w:val="right" w:leader="dot" w:pos="9026"/>
            </w:tabs>
          </w:pPr>
          <w:r>
            <w:fldChar w:fldCharType="begin"/>
          </w:r>
          <w:r>
            <w:instrText xml:space="preserve"> HYPERLINK \l _Toc30412 </w:instrText>
          </w:r>
          <w:r>
            <w:fldChar w:fldCharType="separate"/>
          </w:r>
          <w:r>
            <w:rPr>
              <w:rFonts w:ascii="Times New Roman" w:hAnsi="Times New Roman" w:eastAsia="黑体" w:cs="Times New Roman"/>
              <w:szCs w:val="32"/>
            </w:rPr>
            <w:t>第二部分  2025年度</w:t>
          </w:r>
          <w:r>
            <w:rPr>
              <w:rFonts w:hint="eastAsia" w:eastAsia="黑体" w:cs="Times New Roman"/>
              <w:szCs w:val="32"/>
              <w:lang w:eastAsia="zh-CN"/>
            </w:rPr>
            <w:t>部门决算</w:t>
          </w:r>
          <w:r>
            <w:rPr>
              <w:rFonts w:ascii="Times New Roman" w:hAnsi="Times New Roman" w:eastAsia="黑体" w:cs="Times New Roman"/>
              <w:szCs w:val="32"/>
            </w:rPr>
            <w:t>情况说明</w:t>
          </w:r>
          <w:r>
            <w:tab/>
          </w:r>
          <w:r>
            <w:fldChar w:fldCharType="begin"/>
          </w:r>
          <w:r>
            <w:instrText xml:space="preserve"> PAGEREF _Toc30412 \h </w:instrText>
          </w:r>
          <w:r>
            <w:fldChar w:fldCharType="separate"/>
          </w:r>
          <w:r>
            <w:t>8</w:t>
          </w:r>
          <w:r>
            <w:fldChar w:fldCharType="end"/>
          </w:r>
          <w:r>
            <w:fldChar w:fldCharType="end"/>
          </w:r>
        </w:p>
        <w:p w14:paraId="24ED8A93">
          <w:pPr>
            <w:pStyle w:val="21"/>
            <w:tabs>
              <w:tab w:val="right" w:leader="dot" w:pos="9026"/>
            </w:tabs>
          </w:pPr>
          <w:r>
            <w:fldChar w:fldCharType="begin"/>
          </w:r>
          <w:r>
            <w:instrText xml:space="preserve"> HYPERLINK \l _Toc5384 </w:instrText>
          </w:r>
          <w:r>
            <w:fldChar w:fldCharType="separate"/>
          </w:r>
          <w:r>
            <w:rPr>
              <w:rFonts w:ascii="Times New Roman" w:hAnsi="Times New Roman" w:eastAsia="KaiTi_GB2312" w:cs="Times New Roman"/>
              <w:bCs/>
              <w:szCs w:val="32"/>
            </w:rPr>
            <w:t>一、收入支出决算总体情况说明</w:t>
          </w:r>
          <w:r>
            <w:tab/>
          </w:r>
          <w:r>
            <w:fldChar w:fldCharType="begin"/>
          </w:r>
          <w:r>
            <w:instrText xml:space="preserve"> PAGEREF _Toc5384 \h </w:instrText>
          </w:r>
          <w:r>
            <w:fldChar w:fldCharType="separate"/>
          </w:r>
          <w:r>
            <w:t>8</w:t>
          </w:r>
          <w:r>
            <w:fldChar w:fldCharType="end"/>
          </w:r>
          <w:r>
            <w:fldChar w:fldCharType="end"/>
          </w:r>
        </w:p>
        <w:p w14:paraId="1A220F18">
          <w:pPr>
            <w:pStyle w:val="21"/>
            <w:tabs>
              <w:tab w:val="right" w:leader="dot" w:pos="9026"/>
            </w:tabs>
          </w:pPr>
          <w:r>
            <w:fldChar w:fldCharType="begin"/>
          </w:r>
          <w:r>
            <w:instrText xml:space="preserve"> HYPERLINK \l _Toc15025 </w:instrText>
          </w:r>
          <w:r>
            <w:fldChar w:fldCharType="separate"/>
          </w:r>
          <w:r>
            <w:rPr>
              <w:rFonts w:ascii="Times New Roman" w:hAnsi="Times New Roman" w:eastAsia="KaiTi_GB2312" w:cs="Times New Roman"/>
              <w:bCs/>
              <w:szCs w:val="32"/>
            </w:rPr>
            <w:t>二、收入决算情况说明</w:t>
          </w:r>
          <w:r>
            <w:tab/>
          </w:r>
          <w:r>
            <w:fldChar w:fldCharType="begin"/>
          </w:r>
          <w:r>
            <w:instrText xml:space="preserve"> PAGEREF _Toc15025 \h </w:instrText>
          </w:r>
          <w:r>
            <w:fldChar w:fldCharType="separate"/>
          </w:r>
          <w:r>
            <w:t>8</w:t>
          </w:r>
          <w:r>
            <w:fldChar w:fldCharType="end"/>
          </w:r>
          <w:r>
            <w:fldChar w:fldCharType="end"/>
          </w:r>
        </w:p>
        <w:p w14:paraId="7E8D2AEA">
          <w:pPr>
            <w:pStyle w:val="21"/>
            <w:tabs>
              <w:tab w:val="right" w:leader="dot" w:pos="9026"/>
            </w:tabs>
          </w:pPr>
          <w:r>
            <w:fldChar w:fldCharType="begin"/>
          </w:r>
          <w:r>
            <w:instrText xml:space="preserve"> HYPERLINK \l _Toc5835 </w:instrText>
          </w:r>
          <w:r>
            <w:fldChar w:fldCharType="separate"/>
          </w:r>
          <w:r>
            <w:rPr>
              <w:rFonts w:ascii="Times New Roman" w:hAnsi="Times New Roman" w:eastAsia="KaiTi_GB2312" w:cs="Times New Roman"/>
              <w:bCs/>
              <w:szCs w:val="32"/>
            </w:rPr>
            <w:t>三、支出决算情况说明</w:t>
          </w:r>
          <w:r>
            <w:tab/>
          </w:r>
          <w:r>
            <w:fldChar w:fldCharType="begin"/>
          </w:r>
          <w:r>
            <w:instrText xml:space="preserve"> PAGEREF _Toc5835 \h </w:instrText>
          </w:r>
          <w:r>
            <w:fldChar w:fldCharType="separate"/>
          </w:r>
          <w:r>
            <w:t>9</w:t>
          </w:r>
          <w:r>
            <w:fldChar w:fldCharType="end"/>
          </w:r>
          <w:r>
            <w:fldChar w:fldCharType="end"/>
          </w:r>
        </w:p>
        <w:p w14:paraId="7338B43F">
          <w:pPr>
            <w:pStyle w:val="21"/>
            <w:tabs>
              <w:tab w:val="right" w:leader="dot" w:pos="9026"/>
            </w:tabs>
          </w:pPr>
          <w:r>
            <w:fldChar w:fldCharType="begin"/>
          </w:r>
          <w:r>
            <w:instrText xml:space="preserve"> HYPERLINK \l _Toc28843 </w:instrText>
          </w:r>
          <w:r>
            <w:fldChar w:fldCharType="separate"/>
          </w:r>
          <w:r>
            <w:rPr>
              <w:rFonts w:ascii="Times New Roman" w:hAnsi="Times New Roman" w:eastAsia="KaiTi_GB2312" w:cs="Times New Roman"/>
              <w:bCs/>
              <w:szCs w:val="32"/>
            </w:rPr>
            <w:t>四、财政拨款收入支出决算总体情况说明</w:t>
          </w:r>
          <w:r>
            <w:tab/>
          </w:r>
          <w:r>
            <w:fldChar w:fldCharType="begin"/>
          </w:r>
          <w:r>
            <w:instrText xml:space="preserve"> PAGEREF _Toc28843 \h </w:instrText>
          </w:r>
          <w:r>
            <w:fldChar w:fldCharType="separate"/>
          </w:r>
          <w:r>
            <w:t>9</w:t>
          </w:r>
          <w:r>
            <w:fldChar w:fldCharType="end"/>
          </w:r>
          <w:r>
            <w:fldChar w:fldCharType="end"/>
          </w:r>
        </w:p>
        <w:p w14:paraId="767026CB">
          <w:pPr>
            <w:pStyle w:val="21"/>
            <w:tabs>
              <w:tab w:val="right" w:leader="dot" w:pos="9026"/>
            </w:tabs>
          </w:pPr>
          <w:r>
            <w:fldChar w:fldCharType="begin"/>
          </w:r>
          <w:r>
            <w:instrText xml:space="preserve"> HYPERLINK \l _Toc22582 </w:instrText>
          </w:r>
          <w:r>
            <w:fldChar w:fldCharType="separate"/>
          </w:r>
          <w:r>
            <w:rPr>
              <w:rFonts w:ascii="Times New Roman" w:hAnsi="Times New Roman" w:eastAsia="KaiTi_GB2312" w:cs="Times New Roman"/>
              <w:bCs/>
              <w:szCs w:val="32"/>
            </w:rPr>
            <w:t>五、一般公共预算财政拨款支出决算情况说明</w:t>
          </w:r>
          <w:r>
            <w:tab/>
          </w:r>
          <w:r>
            <w:fldChar w:fldCharType="begin"/>
          </w:r>
          <w:r>
            <w:instrText xml:space="preserve"> PAGEREF _Toc22582 \h </w:instrText>
          </w:r>
          <w:r>
            <w:fldChar w:fldCharType="separate"/>
          </w:r>
          <w:r>
            <w:t>10</w:t>
          </w:r>
          <w:r>
            <w:fldChar w:fldCharType="end"/>
          </w:r>
          <w:r>
            <w:fldChar w:fldCharType="end"/>
          </w:r>
        </w:p>
        <w:p w14:paraId="00F2CD5F">
          <w:pPr>
            <w:pStyle w:val="21"/>
            <w:tabs>
              <w:tab w:val="right" w:leader="dot" w:pos="9026"/>
            </w:tabs>
          </w:pPr>
          <w:r>
            <w:fldChar w:fldCharType="begin"/>
          </w:r>
          <w:r>
            <w:instrText xml:space="preserve"> HYPERLINK \l _Toc17153 </w:instrText>
          </w:r>
          <w:r>
            <w:fldChar w:fldCharType="separate"/>
          </w:r>
          <w:r>
            <w:rPr>
              <w:rFonts w:ascii="Times New Roman" w:hAnsi="Times New Roman" w:eastAsia="KaiTi_GB2312" w:cs="Times New Roman"/>
              <w:bCs/>
              <w:szCs w:val="32"/>
            </w:rPr>
            <w:t>六、一般公共预算财政拨款基本支出决算情况说明</w:t>
          </w:r>
          <w:r>
            <w:tab/>
          </w:r>
          <w:r>
            <w:fldChar w:fldCharType="begin"/>
          </w:r>
          <w:r>
            <w:instrText xml:space="preserve"> PAGEREF _Toc17153 \h </w:instrText>
          </w:r>
          <w:r>
            <w:fldChar w:fldCharType="separate"/>
          </w:r>
          <w:r>
            <w:t>15</w:t>
          </w:r>
          <w:r>
            <w:fldChar w:fldCharType="end"/>
          </w:r>
          <w:r>
            <w:fldChar w:fldCharType="end"/>
          </w:r>
        </w:p>
        <w:p w14:paraId="0C437428">
          <w:pPr>
            <w:pStyle w:val="21"/>
            <w:tabs>
              <w:tab w:val="right" w:leader="dot" w:pos="9026"/>
            </w:tabs>
          </w:pPr>
          <w:r>
            <w:fldChar w:fldCharType="begin"/>
          </w:r>
          <w:r>
            <w:instrText xml:space="preserve"> HYPERLINK \l _Toc23432 </w:instrText>
          </w:r>
          <w:r>
            <w:fldChar w:fldCharType="separate"/>
          </w:r>
          <w:r>
            <w:rPr>
              <w:rFonts w:ascii="Times New Roman" w:hAnsi="Times New Roman" w:eastAsia="KaiTi_GB2312" w:cs="Times New Roman"/>
              <w:bCs/>
              <w:szCs w:val="32"/>
            </w:rPr>
            <w:t>七、财政拨款“三公”经费支出决算情况说明</w:t>
          </w:r>
          <w:r>
            <w:tab/>
          </w:r>
          <w:r>
            <w:fldChar w:fldCharType="begin"/>
          </w:r>
          <w:r>
            <w:instrText xml:space="preserve"> PAGEREF _Toc23432 \h </w:instrText>
          </w:r>
          <w:r>
            <w:fldChar w:fldCharType="separate"/>
          </w:r>
          <w:r>
            <w:t>15</w:t>
          </w:r>
          <w:r>
            <w:fldChar w:fldCharType="end"/>
          </w:r>
          <w:r>
            <w:fldChar w:fldCharType="end"/>
          </w:r>
        </w:p>
        <w:p w14:paraId="0FADF3CF">
          <w:pPr>
            <w:pStyle w:val="21"/>
            <w:tabs>
              <w:tab w:val="right" w:leader="dot" w:pos="9026"/>
            </w:tabs>
          </w:pPr>
          <w:r>
            <w:fldChar w:fldCharType="begin"/>
          </w:r>
          <w:r>
            <w:instrText xml:space="preserve"> HYPERLINK \l _Toc4014 </w:instrText>
          </w:r>
          <w:r>
            <w:fldChar w:fldCharType="separate"/>
          </w:r>
          <w:r>
            <w:rPr>
              <w:rFonts w:ascii="Times New Roman" w:hAnsi="Times New Roman" w:eastAsia="KaiTi_GB2312" w:cs="Times New Roman"/>
              <w:bCs/>
              <w:szCs w:val="32"/>
            </w:rPr>
            <w:t>八、政府性基金预算支出决算情况说明</w:t>
          </w:r>
          <w:r>
            <w:tab/>
          </w:r>
          <w:r>
            <w:fldChar w:fldCharType="begin"/>
          </w:r>
          <w:r>
            <w:instrText xml:space="preserve"> PAGEREF _Toc4014 \h </w:instrText>
          </w:r>
          <w:r>
            <w:fldChar w:fldCharType="separate"/>
          </w:r>
          <w:r>
            <w:t>17</w:t>
          </w:r>
          <w:r>
            <w:fldChar w:fldCharType="end"/>
          </w:r>
          <w:r>
            <w:fldChar w:fldCharType="end"/>
          </w:r>
        </w:p>
        <w:p w14:paraId="3E9D8ECF">
          <w:pPr>
            <w:pStyle w:val="21"/>
            <w:tabs>
              <w:tab w:val="right" w:leader="dot" w:pos="9026"/>
            </w:tabs>
          </w:pPr>
          <w:r>
            <w:fldChar w:fldCharType="begin"/>
          </w:r>
          <w:r>
            <w:instrText xml:space="preserve"> HYPERLINK \l _Toc8381 </w:instrText>
          </w:r>
          <w:r>
            <w:fldChar w:fldCharType="separate"/>
          </w:r>
          <w:r>
            <w:rPr>
              <w:rFonts w:ascii="Times New Roman" w:hAnsi="Times New Roman" w:eastAsia="KaiTi_GB2312" w:cs="Times New Roman"/>
              <w:bCs/>
              <w:szCs w:val="32"/>
            </w:rPr>
            <w:t>九、国有资本经营预算支出决算情况说明</w:t>
          </w:r>
          <w:r>
            <w:tab/>
          </w:r>
          <w:r>
            <w:fldChar w:fldCharType="begin"/>
          </w:r>
          <w:r>
            <w:instrText xml:space="preserve"> PAGEREF _Toc8381 \h </w:instrText>
          </w:r>
          <w:r>
            <w:fldChar w:fldCharType="separate"/>
          </w:r>
          <w:r>
            <w:t>17</w:t>
          </w:r>
          <w:r>
            <w:fldChar w:fldCharType="end"/>
          </w:r>
          <w:r>
            <w:fldChar w:fldCharType="end"/>
          </w:r>
        </w:p>
        <w:p w14:paraId="3AB20B07">
          <w:pPr>
            <w:pStyle w:val="21"/>
            <w:tabs>
              <w:tab w:val="right" w:leader="dot" w:pos="9026"/>
            </w:tabs>
          </w:pPr>
          <w:r>
            <w:fldChar w:fldCharType="begin"/>
          </w:r>
          <w:r>
            <w:instrText xml:space="preserve"> HYPERLINK \l _Toc12539 </w:instrText>
          </w:r>
          <w:r>
            <w:fldChar w:fldCharType="separate"/>
          </w:r>
          <w:r>
            <w:rPr>
              <w:rFonts w:ascii="Times New Roman" w:hAnsi="Times New Roman" w:eastAsia="KaiTi_GB2312" w:cs="Times New Roman"/>
              <w:bCs/>
              <w:szCs w:val="32"/>
            </w:rPr>
            <w:t>十、其他重要事项的情况说明</w:t>
          </w:r>
          <w:r>
            <w:tab/>
          </w:r>
          <w:r>
            <w:fldChar w:fldCharType="begin"/>
          </w:r>
          <w:r>
            <w:instrText xml:space="preserve"> PAGEREF _Toc12539 \h </w:instrText>
          </w:r>
          <w:r>
            <w:fldChar w:fldCharType="separate"/>
          </w:r>
          <w:r>
            <w:t>17</w:t>
          </w:r>
          <w:r>
            <w:fldChar w:fldCharType="end"/>
          </w:r>
          <w:r>
            <w:fldChar w:fldCharType="end"/>
          </w:r>
        </w:p>
        <w:p w14:paraId="3F81ABA0">
          <w:pPr>
            <w:pStyle w:val="17"/>
            <w:tabs>
              <w:tab w:val="right" w:leader="dot" w:pos="9026"/>
            </w:tabs>
          </w:pPr>
          <w:r>
            <w:fldChar w:fldCharType="begin"/>
          </w:r>
          <w:r>
            <w:instrText xml:space="preserve"> HYPERLINK \l _Toc4660 </w:instrText>
          </w:r>
          <w:r>
            <w:fldChar w:fldCharType="separate"/>
          </w:r>
          <w:r>
            <w:rPr>
              <w:rFonts w:ascii="Times New Roman" w:hAnsi="Times New Roman" w:eastAsia="黑体" w:cs="Times New Roman"/>
              <w:szCs w:val="32"/>
            </w:rPr>
            <w:t>第三部分  名词解释</w:t>
          </w:r>
          <w:r>
            <w:tab/>
          </w:r>
          <w:r>
            <w:fldChar w:fldCharType="begin"/>
          </w:r>
          <w:r>
            <w:instrText xml:space="preserve"> PAGEREF _Toc4660 \h </w:instrText>
          </w:r>
          <w:r>
            <w:fldChar w:fldCharType="separate"/>
          </w:r>
          <w:r>
            <w:t>20</w:t>
          </w:r>
          <w:r>
            <w:fldChar w:fldCharType="end"/>
          </w:r>
          <w:r>
            <w:fldChar w:fldCharType="end"/>
          </w:r>
        </w:p>
        <w:p w14:paraId="260DE56B">
          <w:pPr>
            <w:pStyle w:val="17"/>
            <w:tabs>
              <w:tab w:val="right" w:leader="dot" w:pos="9026"/>
            </w:tabs>
          </w:pPr>
          <w:r>
            <w:fldChar w:fldCharType="begin"/>
          </w:r>
          <w:r>
            <w:instrText xml:space="preserve"> HYPERLINK \l _Toc25628 </w:instrText>
          </w:r>
          <w:r>
            <w:fldChar w:fldCharType="separate"/>
          </w:r>
          <w:r>
            <w:rPr>
              <w:rFonts w:ascii="Times New Roman" w:hAnsi="Times New Roman" w:eastAsia="黑体" w:cs="Times New Roman"/>
              <w:szCs w:val="32"/>
            </w:rPr>
            <w:t>第四部分  附件</w:t>
          </w:r>
          <w:r>
            <w:tab/>
          </w:r>
          <w:r>
            <w:fldChar w:fldCharType="begin"/>
          </w:r>
          <w:r>
            <w:instrText xml:space="preserve"> PAGEREF _Toc25628 \h </w:instrText>
          </w:r>
          <w:r>
            <w:fldChar w:fldCharType="separate"/>
          </w:r>
          <w:r>
            <w:t>22</w:t>
          </w:r>
          <w:r>
            <w:fldChar w:fldCharType="end"/>
          </w:r>
          <w:r>
            <w:fldChar w:fldCharType="end"/>
          </w:r>
        </w:p>
        <w:p w14:paraId="568A00CF">
          <w:pPr>
            <w:pStyle w:val="17"/>
            <w:tabs>
              <w:tab w:val="right" w:leader="dot" w:pos="9026"/>
            </w:tabs>
          </w:pPr>
          <w:r>
            <w:fldChar w:fldCharType="begin"/>
          </w:r>
          <w:r>
            <w:instrText xml:space="preserve"> HYPERLINK \l _Toc19288 </w:instrText>
          </w:r>
          <w:r>
            <w:fldChar w:fldCharType="separate"/>
          </w:r>
          <w:r>
            <w:rPr>
              <w:rFonts w:ascii="Times New Roman" w:hAnsi="Times New Roman" w:eastAsia="黑体" w:cs="Times New Roman"/>
              <w:szCs w:val="32"/>
            </w:rPr>
            <w:t>第五部分  附表</w:t>
          </w:r>
          <w:r>
            <w:tab/>
          </w:r>
          <w:r>
            <w:fldChar w:fldCharType="begin"/>
          </w:r>
          <w:r>
            <w:instrText xml:space="preserve"> PAGEREF _Toc19288 \h </w:instrText>
          </w:r>
          <w:r>
            <w:fldChar w:fldCharType="separate"/>
          </w:r>
          <w:r>
            <w:t>98</w:t>
          </w:r>
          <w:r>
            <w:fldChar w:fldCharType="end"/>
          </w:r>
          <w:r>
            <w:fldChar w:fldCharType="end"/>
          </w:r>
        </w:p>
        <w:p w14:paraId="157C2C28">
          <w:pPr>
            <w:pStyle w:val="21"/>
            <w:tabs>
              <w:tab w:val="right" w:leader="dot" w:pos="9026"/>
            </w:tabs>
          </w:pPr>
          <w:r>
            <w:fldChar w:fldCharType="begin"/>
          </w:r>
          <w:r>
            <w:instrText xml:space="preserve"> HYPERLINK \l _Toc1462 </w:instrText>
          </w:r>
          <w:r>
            <w:fldChar w:fldCharType="separate"/>
          </w:r>
          <w:r>
            <w:rPr>
              <w:rFonts w:ascii="Times New Roman" w:hAnsi="Times New Roman" w:eastAsia="FangSong_GB2312" w:cs="Times New Roman"/>
              <w:bCs w:val="0"/>
              <w:szCs w:val="32"/>
            </w:rPr>
            <w:t>一、收入支出决算总表</w:t>
          </w:r>
          <w:r>
            <w:tab/>
          </w:r>
          <w:r>
            <w:fldChar w:fldCharType="begin"/>
          </w:r>
          <w:r>
            <w:instrText xml:space="preserve"> PAGEREF _Toc1462 \h </w:instrText>
          </w:r>
          <w:r>
            <w:fldChar w:fldCharType="separate"/>
          </w:r>
          <w:r>
            <w:t>98</w:t>
          </w:r>
          <w:r>
            <w:fldChar w:fldCharType="end"/>
          </w:r>
          <w:r>
            <w:fldChar w:fldCharType="end"/>
          </w:r>
        </w:p>
        <w:p w14:paraId="2CE1ECE0">
          <w:pPr>
            <w:pStyle w:val="21"/>
            <w:tabs>
              <w:tab w:val="right" w:leader="dot" w:pos="9026"/>
            </w:tabs>
          </w:pPr>
          <w:r>
            <w:fldChar w:fldCharType="begin"/>
          </w:r>
          <w:r>
            <w:instrText xml:space="preserve"> HYPERLINK \l _Toc12698 </w:instrText>
          </w:r>
          <w:r>
            <w:fldChar w:fldCharType="separate"/>
          </w:r>
          <w:r>
            <w:rPr>
              <w:rFonts w:ascii="Times New Roman" w:hAnsi="Times New Roman" w:eastAsia="FangSong_GB2312" w:cs="Times New Roman"/>
              <w:bCs w:val="0"/>
              <w:szCs w:val="32"/>
            </w:rPr>
            <w:t>二、收入决算表</w:t>
          </w:r>
          <w:r>
            <w:tab/>
          </w:r>
          <w:r>
            <w:fldChar w:fldCharType="begin"/>
          </w:r>
          <w:r>
            <w:instrText xml:space="preserve"> PAGEREF _Toc12698 \h </w:instrText>
          </w:r>
          <w:r>
            <w:fldChar w:fldCharType="separate"/>
          </w:r>
          <w:r>
            <w:t>98</w:t>
          </w:r>
          <w:r>
            <w:fldChar w:fldCharType="end"/>
          </w:r>
          <w:r>
            <w:fldChar w:fldCharType="end"/>
          </w:r>
        </w:p>
        <w:p w14:paraId="58D406F1">
          <w:pPr>
            <w:pStyle w:val="21"/>
            <w:tabs>
              <w:tab w:val="right" w:leader="dot" w:pos="9026"/>
            </w:tabs>
          </w:pPr>
          <w:r>
            <w:fldChar w:fldCharType="begin"/>
          </w:r>
          <w:r>
            <w:instrText xml:space="preserve"> HYPERLINK \l _Toc23399 </w:instrText>
          </w:r>
          <w:r>
            <w:fldChar w:fldCharType="separate"/>
          </w:r>
          <w:r>
            <w:rPr>
              <w:rFonts w:ascii="Times New Roman" w:hAnsi="Times New Roman" w:eastAsia="FangSong_GB2312" w:cs="Times New Roman"/>
              <w:bCs w:val="0"/>
              <w:szCs w:val="32"/>
            </w:rPr>
            <w:t>三、支出决算表</w:t>
          </w:r>
          <w:r>
            <w:tab/>
          </w:r>
          <w:r>
            <w:fldChar w:fldCharType="begin"/>
          </w:r>
          <w:r>
            <w:instrText xml:space="preserve"> PAGEREF _Toc23399 \h </w:instrText>
          </w:r>
          <w:r>
            <w:fldChar w:fldCharType="separate"/>
          </w:r>
          <w:r>
            <w:t>98</w:t>
          </w:r>
          <w:r>
            <w:fldChar w:fldCharType="end"/>
          </w:r>
          <w:r>
            <w:fldChar w:fldCharType="end"/>
          </w:r>
        </w:p>
        <w:p w14:paraId="46687FB5">
          <w:pPr>
            <w:pStyle w:val="21"/>
            <w:tabs>
              <w:tab w:val="right" w:leader="dot" w:pos="9026"/>
            </w:tabs>
          </w:pPr>
          <w:r>
            <w:fldChar w:fldCharType="begin"/>
          </w:r>
          <w:r>
            <w:instrText xml:space="preserve"> HYPERLINK \l _Toc23109 </w:instrText>
          </w:r>
          <w:r>
            <w:fldChar w:fldCharType="separate"/>
          </w:r>
          <w:r>
            <w:rPr>
              <w:rFonts w:ascii="Times New Roman" w:hAnsi="Times New Roman" w:eastAsia="FangSong_GB2312" w:cs="Times New Roman"/>
              <w:bCs w:val="0"/>
              <w:szCs w:val="32"/>
            </w:rPr>
            <w:t>四、财政拨款收入支出决算总表</w:t>
          </w:r>
          <w:r>
            <w:tab/>
          </w:r>
          <w:r>
            <w:fldChar w:fldCharType="begin"/>
          </w:r>
          <w:r>
            <w:instrText xml:space="preserve"> PAGEREF _Toc23109 \h </w:instrText>
          </w:r>
          <w:r>
            <w:fldChar w:fldCharType="separate"/>
          </w:r>
          <w:r>
            <w:t>98</w:t>
          </w:r>
          <w:r>
            <w:fldChar w:fldCharType="end"/>
          </w:r>
          <w:r>
            <w:fldChar w:fldCharType="end"/>
          </w:r>
        </w:p>
        <w:p w14:paraId="2798BB7D">
          <w:pPr>
            <w:pStyle w:val="21"/>
            <w:tabs>
              <w:tab w:val="right" w:leader="dot" w:pos="9026"/>
            </w:tabs>
          </w:pPr>
          <w:r>
            <w:fldChar w:fldCharType="begin"/>
          </w:r>
          <w:r>
            <w:instrText xml:space="preserve"> HYPERLINK \l _Toc6862 </w:instrText>
          </w:r>
          <w:r>
            <w:fldChar w:fldCharType="separate"/>
          </w:r>
          <w:r>
            <w:rPr>
              <w:rFonts w:ascii="Times New Roman" w:hAnsi="Times New Roman" w:eastAsia="FangSong_GB2312" w:cs="Times New Roman"/>
              <w:bCs w:val="0"/>
              <w:szCs w:val="32"/>
            </w:rPr>
            <w:t>五、财政拨款支出决算明细表</w:t>
          </w:r>
          <w:r>
            <w:tab/>
          </w:r>
          <w:r>
            <w:fldChar w:fldCharType="begin"/>
          </w:r>
          <w:r>
            <w:instrText xml:space="preserve"> PAGEREF _Toc6862 \h </w:instrText>
          </w:r>
          <w:r>
            <w:fldChar w:fldCharType="separate"/>
          </w:r>
          <w:r>
            <w:t>98</w:t>
          </w:r>
          <w:r>
            <w:fldChar w:fldCharType="end"/>
          </w:r>
          <w:r>
            <w:fldChar w:fldCharType="end"/>
          </w:r>
        </w:p>
        <w:p w14:paraId="55E30804">
          <w:pPr>
            <w:pStyle w:val="21"/>
            <w:tabs>
              <w:tab w:val="right" w:leader="dot" w:pos="9026"/>
            </w:tabs>
          </w:pPr>
          <w:r>
            <w:fldChar w:fldCharType="begin"/>
          </w:r>
          <w:r>
            <w:instrText xml:space="preserve"> HYPERLINK \l _Toc19444 </w:instrText>
          </w:r>
          <w:r>
            <w:fldChar w:fldCharType="separate"/>
          </w:r>
          <w:r>
            <w:rPr>
              <w:rFonts w:ascii="Times New Roman" w:hAnsi="Times New Roman" w:eastAsia="FangSong_GB2312" w:cs="Times New Roman"/>
              <w:bCs w:val="0"/>
              <w:szCs w:val="32"/>
            </w:rPr>
            <w:t>六、一般公共预算财政拨款支出决算表</w:t>
          </w:r>
          <w:r>
            <w:tab/>
          </w:r>
          <w:r>
            <w:fldChar w:fldCharType="begin"/>
          </w:r>
          <w:r>
            <w:instrText xml:space="preserve"> PAGEREF _Toc19444 \h </w:instrText>
          </w:r>
          <w:r>
            <w:fldChar w:fldCharType="separate"/>
          </w:r>
          <w:r>
            <w:t>98</w:t>
          </w:r>
          <w:r>
            <w:fldChar w:fldCharType="end"/>
          </w:r>
          <w:r>
            <w:fldChar w:fldCharType="end"/>
          </w:r>
        </w:p>
        <w:p w14:paraId="3620F393">
          <w:pPr>
            <w:pStyle w:val="21"/>
            <w:tabs>
              <w:tab w:val="right" w:leader="dot" w:pos="9026"/>
            </w:tabs>
          </w:pPr>
          <w:r>
            <w:fldChar w:fldCharType="begin"/>
          </w:r>
          <w:r>
            <w:instrText xml:space="preserve"> HYPERLINK \l _Toc8621 </w:instrText>
          </w:r>
          <w:r>
            <w:fldChar w:fldCharType="separate"/>
          </w:r>
          <w:r>
            <w:rPr>
              <w:rFonts w:ascii="Times New Roman" w:hAnsi="Times New Roman" w:eastAsia="FangSong_GB2312" w:cs="Times New Roman"/>
              <w:bCs w:val="0"/>
              <w:szCs w:val="32"/>
            </w:rPr>
            <w:t>七、一般公共预算财政拨款支出决算明细表</w:t>
          </w:r>
          <w:r>
            <w:tab/>
          </w:r>
          <w:r>
            <w:fldChar w:fldCharType="begin"/>
          </w:r>
          <w:r>
            <w:instrText xml:space="preserve"> PAGEREF _Toc8621 \h </w:instrText>
          </w:r>
          <w:r>
            <w:fldChar w:fldCharType="separate"/>
          </w:r>
          <w:r>
            <w:t>98</w:t>
          </w:r>
          <w:r>
            <w:fldChar w:fldCharType="end"/>
          </w:r>
          <w:r>
            <w:fldChar w:fldCharType="end"/>
          </w:r>
        </w:p>
        <w:p w14:paraId="2C1031DF">
          <w:pPr>
            <w:pStyle w:val="21"/>
            <w:tabs>
              <w:tab w:val="right" w:leader="dot" w:pos="9026"/>
            </w:tabs>
          </w:pPr>
          <w:r>
            <w:fldChar w:fldCharType="begin"/>
          </w:r>
          <w:r>
            <w:instrText xml:space="preserve"> HYPERLINK \l _Toc24753 </w:instrText>
          </w:r>
          <w:r>
            <w:fldChar w:fldCharType="separate"/>
          </w:r>
          <w:r>
            <w:rPr>
              <w:rFonts w:ascii="Times New Roman" w:hAnsi="Times New Roman" w:eastAsia="FangSong_GB2312" w:cs="Times New Roman"/>
              <w:bCs w:val="0"/>
              <w:szCs w:val="32"/>
            </w:rPr>
            <w:t>八、一般公共预算财政拨款基本支出决算明细表</w:t>
          </w:r>
          <w:r>
            <w:tab/>
          </w:r>
          <w:r>
            <w:fldChar w:fldCharType="begin"/>
          </w:r>
          <w:r>
            <w:instrText xml:space="preserve"> PAGEREF _Toc24753 \h </w:instrText>
          </w:r>
          <w:r>
            <w:fldChar w:fldCharType="separate"/>
          </w:r>
          <w:r>
            <w:t>98</w:t>
          </w:r>
          <w:r>
            <w:fldChar w:fldCharType="end"/>
          </w:r>
          <w:r>
            <w:fldChar w:fldCharType="end"/>
          </w:r>
        </w:p>
        <w:p w14:paraId="1CF9A6BB">
          <w:pPr>
            <w:pStyle w:val="21"/>
            <w:tabs>
              <w:tab w:val="right" w:leader="dot" w:pos="9026"/>
            </w:tabs>
          </w:pPr>
          <w:r>
            <w:fldChar w:fldCharType="begin"/>
          </w:r>
          <w:r>
            <w:instrText xml:space="preserve"> HYPERLINK \l _Toc12298 </w:instrText>
          </w:r>
          <w:r>
            <w:fldChar w:fldCharType="separate"/>
          </w:r>
          <w:r>
            <w:rPr>
              <w:rFonts w:ascii="Times New Roman" w:hAnsi="Times New Roman" w:eastAsia="FangSong_GB2312" w:cs="Times New Roman"/>
              <w:bCs w:val="0"/>
              <w:szCs w:val="32"/>
            </w:rPr>
            <w:t>九、一般公共预算财政拨款项目支出决算表</w:t>
          </w:r>
          <w:r>
            <w:tab/>
          </w:r>
          <w:r>
            <w:fldChar w:fldCharType="begin"/>
          </w:r>
          <w:r>
            <w:instrText xml:space="preserve"> PAGEREF _Toc12298 \h </w:instrText>
          </w:r>
          <w:r>
            <w:fldChar w:fldCharType="separate"/>
          </w:r>
          <w:r>
            <w:t>98</w:t>
          </w:r>
          <w:r>
            <w:fldChar w:fldCharType="end"/>
          </w:r>
          <w:r>
            <w:fldChar w:fldCharType="end"/>
          </w:r>
        </w:p>
        <w:p w14:paraId="1BCABC95">
          <w:pPr>
            <w:pStyle w:val="21"/>
            <w:tabs>
              <w:tab w:val="right" w:leader="dot" w:pos="9026"/>
            </w:tabs>
          </w:pPr>
          <w:r>
            <w:fldChar w:fldCharType="begin"/>
          </w:r>
          <w:r>
            <w:instrText xml:space="preserve"> HYPERLINK \l _Toc30209 </w:instrText>
          </w:r>
          <w:r>
            <w:fldChar w:fldCharType="separate"/>
          </w:r>
          <w:r>
            <w:rPr>
              <w:rFonts w:ascii="Times New Roman" w:hAnsi="Times New Roman" w:eastAsia="FangSong_GB2312" w:cs="Times New Roman"/>
              <w:bCs w:val="0"/>
              <w:szCs w:val="32"/>
            </w:rPr>
            <w:t>十、政府性基金预算财政拨款收入支出决算表</w:t>
          </w:r>
          <w:r>
            <w:tab/>
          </w:r>
          <w:r>
            <w:fldChar w:fldCharType="begin"/>
          </w:r>
          <w:r>
            <w:instrText xml:space="preserve"> PAGEREF _Toc30209 \h </w:instrText>
          </w:r>
          <w:r>
            <w:fldChar w:fldCharType="separate"/>
          </w:r>
          <w:r>
            <w:t>98</w:t>
          </w:r>
          <w:r>
            <w:fldChar w:fldCharType="end"/>
          </w:r>
          <w:r>
            <w:fldChar w:fldCharType="end"/>
          </w:r>
        </w:p>
        <w:p w14:paraId="3D10CE17">
          <w:pPr>
            <w:pStyle w:val="21"/>
            <w:tabs>
              <w:tab w:val="right" w:leader="dot" w:pos="9026"/>
            </w:tabs>
          </w:pPr>
          <w:r>
            <w:fldChar w:fldCharType="begin"/>
          </w:r>
          <w:r>
            <w:instrText xml:space="preserve"> HYPERLINK \l _Toc15492 </w:instrText>
          </w:r>
          <w:r>
            <w:fldChar w:fldCharType="separate"/>
          </w:r>
          <w:r>
            <w:rPr>
              <w:rFonts w:ascii="Times New Roman" w:hAnsi="Times New Roman" w:eastAsia="FangSong_GB2312" w:cs="Times New Roman"/>
              <w:bCs w:val="0"/>
              <w:szCs w:val="32"/>
            </w:rPr>
            <w:t>十一、国有资本经营预算财政拨款收入支出决算表</w:t>
          </w:r>
          <w:r>
            <w:tab/>
          </w:r>
          <w:r>
            <w:fldChar w:fldCharType="begin"/>
          </w:r>
          <w:r>
            <w:instrText xml:space="preserve"> PAGEREF _Toc15492 \h </w:instrText>
          </w:r>
          <w:r>
            <w:fldChar w:fldCharType="separate"/>
          </w:r>
          <w:r>
            <w:t>98</w:t>
          </w:r>
          <w:r>
            <w:fldChar w:fldCharType="end"/>
          </w:r>
          <w:r>
            <w:fldChar w:fldCharType="end"/>
          </w:r>
        </w:p>
        <w:p w14:paraId="35C48852">
          <w:pPr>
            <w:pStyle w:val="21"/>
            <w:tabs>
              <w:tab w:val="right" w:leader="dot" w:pos="9026"/>
            </w:tabs>
          </w:pPr>
          <w:r>
            <w:fldChar w:fldCharType="begin"/>
          </w:r>
          <w:r>
            <w:instrText xml:space="preserve"> HYPERLINK \l _Toc17009 </w:instrText>
          </w:r>
          <w:r>
            <w:fldChar w:fldCharType="separate"/>
          </w:r>
          <w:r>
            <w:rPr>
              <w:rFonts w:ascii="Times New Roman" w:hAnsi="Times New Roman" w:eastAsia="FangSong_GB2312" w:cs="Times New Roman"/>
              <w:bCs w:val="0"/>
              <w:szCs w:val="32"/>
            </w:rPr>
            <w:t>十二、国有资本经营预算财政拨款支出决算表</w:t>
          </w:r>
          <w:r>
            <w:tab/>
          </w:r>
          <w:r>
            <w:fldChar w:fldCharType="begin"/>
          </w:r>
          <w:r>
            <w:instrText xml:space="preserve"> PAGEREF _Toc17009 \h </w:instrText>
          </w:r>
          <w:r>
            <w:fldChar w:fldCharType="separate"/>
          </w:r>
          <w:r>
            <w:t>98</w:t>
          </w:r>
          <w:r>
            <w:fldChar w:fldCharType="end"/>
          </w:r>
          <w:r>
            <w:fldChar w:fldCharType="end"/>
          </w:r>
        </w:p>
        <w:p w14:paraId="2E491ED0">
          <w:pPr>
            <w:pStyle w:val="21"/>
            <w:tabs>
              <w:tab w:val="right" w:leader="dot" w:pos="9026"/>
            </w:tabs>
          </w:pPr>
          <w:r>
            <w:fldChar w:fldCharType="begin"/>
          </w:r>
          <w:r>
            <w:instrText xml:space="preserve"> HYPERLINK \l _Toc31804 </w:instrText>
          </w:r>
          <w:r>
            <w:fldChar w:fldCharType="separate"/>
          </w:r>
          <w:r>
            <w:rPr>
              <w:rFonts w:ascii="Times New Roman" w:hAnsi="Times New Roman" w:eastAsia="FangSong_GB2312" w:cs="Times New Roman"/>
              <w:bCs w:val="0"/>
              <w:szCs w:val="32"/>
            </w:rPr>
            <w:t>十三、财政拨款“三公”经费支出决算表</w:t>
          </w:r>
          <w:r>
            <w:tab/>
          </w:r>
          <w:r>
            <w:fldChar w:fldCharType="begin"/>
          </w:r>
          <w:r>
            <w:instrText xml:space="preserve"> PAGEREF _Toc31804 \h </w:instrText>
          </w:r>
          <w:r>
            <w:fldChar w:fldCharType="separate"/>
          </w:r>
          <w:r>
            <w:t>98</w:t>
          </w:r>
          <w:r>
            <w:fldChar w:fldCharType="end"/>
          </w:r>
          <w:r>
            <w:fldChar w:fldCharType="end"/>
          </w:r>
        </w:p>
        <w:p w14:paraId="19BE2C31">
          <w:r>
            <w:fldChar w:fldCharType="end"/>
          </w:r>
        </w:p>
      </w:sdtContent>
    </w:sdt>
    <w:p w14:paraId="26B117F2">
      <w:r>
        <w:br w:type="page"/>
      </w:r>
    </w:p>
    <w:p w14:paraId="79B0A98A">
      <w:pPr>
        <w:pStyle w:val="3"/>
        <w:spacing w:before="260" w:after="160" w:line="560" w:lineRule="exact"/>
        <w:outlineLvl w:val="0"/>
        <w:rPr>
          <w:rFonts w:hint="eastAsia" w:eastAsia="黑体"/>
          <w:lang w:eastAsia="zh-CN"/>
        </w:rPr>
      </w:pPr>
      <w:bookmarkStart w:id="0" w:name="_Toc29885"/>
      <w:r>
        <w:rPr>
          <w:rFonts w:ascii="Times New Roman" w:hAnsi="Times New Roman" w:eastAsia="黑体" w:cs="Times New Roman"/>
          <w:color w:val="000000"/>
          <w:sz w:val="32"/>
          <w:szCs w:val="32"/>
        </w:rPr>
        <w:t xml:space="preserve">第一部分  </w:t>
      </w:r>
      <w:bookmarkEnd w:id="0"/>
      <w:r>
        <w:rPr>
          <w:rFonts w:hint="eastAsia" w:ascii="Times New Roman" w:hAnsi="Times New Roman" w:eastAsia="黑体" w:cs="Times New Roman"/>
          <w:color w:val="000000"/>
          <w:sz w:val="32"/>
          <w:szCs w:val="32"/>
          <w:lang w:eastAsia="zh-CN"/>
        </w:rPr>
        <w:t>部门概况</w:t>
      </w:r>
    </w:p>
    <w:p w14:paraId="32361114">
      <w:pPr>
        <w:pStyle w:val="4"/>
        <w:spacing w:before="200" w:after="120" w:line="560" w:lineRule="exact"/>
        <w:outlineLvl w:val="1"/>
        <w:rPr>
          <w:rFonts w:hint="eastAsia" w:eastAsia="KaiTi_GB2312"/>
          <w:lang w:eastAsia="zh-CN"/>
        </w:rPr>
      </w:pPr>
      <w:bookmarkStart w:id="1" w:name="_Toc8469"/>
      <w:r>
        <w:rPr>
          <w:rFonts w:ascii="Times New Roman" w:hAnsi="Times New Roman" w:eastAsia="KaiTi_GB2312" w:cs="Times New Roman"/>
          <w:b/>
          <w:bCs/>
          <w:color w:val="000000"/>
          <w:sz w:val="32"/>
          <w:szCs w:val="32"/>
        </w:rPr>
        <w:t>一、</w:t>
      </w:r>
      <w:bookmarkEnd w:id="1"/>
      <w:r>
        <w:rPr>
          <w:rFonts w:hint="eastAsia" w:ascii="Times New Roman" w:hAnsi="Times New Roman" w:eastAsia="KaiTi_GB2312" w:cs="Times New Roman"/>
          <w:b/>
          <w:bCs/>
          <w:color w:val="000000"/>
          <w:sz w:val="32"/>
          <w:szCs w:val="32"/>
          <w:lang w:eastAsia="zh-CN"/>
        </w:rPr>
        <w:t>部门职责</w:t>
      </w:r>
    </w:p>
    <w:p w14:paraId="7B95E98A">
      <w:pPr>
        <w:spacing w:after="0" w:line="560" w:lineRule="exact"/>
        <w:ind w:firstLine="640"/>
        <w:jc w:val="both"/>
      </w:pPr>
      <w:r>
        <w:rPr>
          <w:rFonts w:ascii="Times New Roman" w:hAnsi="Times New Roman" w:eastAsia="FangSong_GB2312" w:cs="Times New Roman"/>
          <w:color w:val="000000"/>
          <w:sz w:val="32"/>
          <w:szCs w:val="32"/>
        </w:rPr>
        <w:t>马边彝族自治县经济和信息化局主要职能是：贯彻执行国家有关工业经济、信息化、无线电管理相关方针、政策和法规，组织实施国家西部大开发战略的有关工业经济的政策措施，研究拟订全县有关工业经济、信息化和无线电管理的政策并组织实施。负责本系统、本部门依法行政工作，落实行政执法责任制；指导推进中小企业发展，组织推动信息化和工业化融合、工业化联动，负责推进全县工业结构调整和产业布局工作。</w:t>
      </w:r>
    </w:p>
    <w:p w14:paraId="49ACB63C">
      <w:pPr>
        <w:spacing w:after="0" w:line="560" w:lineRule="exact"/>
        <w:ind w:firstLine="640"/>
        <w:jc w:val="both"/>
      </w:pPr>
      <w:r>
        <w:rPr>
          <w:rFonts w:ascii="Times New Roman" w:hAnsi="Times New Roman" w:eastAsia="FangSong_GB2312" w:cs="Times New Roman"/>
          <w:color w:val="000000"/>
          <w:sz w:val="32"/>
          <w:szCs w:val="32"/>
        </w:rPr>
        <w:t>2025年重点工作完成情况。</w:t>
      </w:r>
    </w:p>
    <w:p w14:paraId="2B816B81">
      <w:pPr>
        <w:spacing w:after="0" w:line="560" w:lineRule="exact"/>
        <w:ind w:firstLine="640"/>
        <w:jc w:val="both"/>
      </w:pPr>
      <w:r>
        <w:rPr>
          <w:rFonts w:ascii="Times New Roman" w:hAnsi="Times New Roman" w:eastAsia="FangSong_GB2312" w:cs="Times New Roman"/>
          <w:color w:val="000000"/>
          <w:sz w:val="32"/>
          <w:szCs w:val="32"/>
        </w:rPr>
        <w:t>1．经济指标不断提升。2025年1—11月规上工业产值达63亿元、同比增长17.1%，增加值增速15.7%（增速排全市第2位），磷矿石开采639万吨、同比增长25%，规上工业营收53.4亿元、同比增长16.2%。完成工业投资15.9亿元、同比增长54.8%；完成制造业投资6.4亿元，同比增长226.2%。社消零总额实现31.6亿元、同比增长6.7%，全市排名第6位。前三季度，全县服务业增加值实现25.4亿元、同比增长6.6%，全市排名第7位。</w:t>
      </w:r>
    </w:p>
    <w:p w14:paraId="399728DC">
      <w:pPr>
        <w:spacing w:after="0" w:line="560" w:lineRule="exact"/>
        <w:ind w:firstLine="640"/>
        <w:jc w:val="both"/>
      </w:pPr>
      <w:r>
        <w:rPr>
          <w:rFonts w:ascii="Times New Roman" w:hAnsi="Times New Roman" w:eastAsia="FangSong_GB2312" w:cs="Times New Roman"/>
          <w:color w:val="000000"/>
          <w:sz w:val="32"/>
          <w:szCs w:val="32"/>
        </w:rPr>
        <w:t>2．打造优良营商环境。持续优化建设“马上办”服务品牌，落实“企业之家”“县领导挂联企业”制度，探索信息沟通多元渠道，定期研判解决企业发展问题。2025年以来，召开磷矿企业新春座谈会、深入开展“访民企、解难题、助发展”行动，收集协调解决企业生产经营、项目建设难题30余个，为工业帮扶扫清障碍。新增出台《先进制造业和磷产业高质量发展十条措施》等一系列惠企政策，会同县财政局统筹县级资金3000余万元助力企业发展生产，筹措3671.81万元偿还拖欠企业账款，完成全年目标任务的105.9%，全力营造富有马边特色的优良营商环境。</w:t>
      </w:r>
    </w:p>
    <w:p w14:paraId="5D596A36">
      <w:pPr>
        <w:spacing w:after="0" w:line="560" w:lineRule="exact"/>
        <w:ind w:firstLine="640"/>
        <w:jc w:val="both"/>
      </w:pPr>
      <w:r>
        <w:rPr>
          <w:rFonts w:ascii="Times New Roman" w:hAnsi="Times New Roman" w:eastAsia="FangSong_GB2312" w:cs="Times New Roman"/>
          <w:color w:val="000000"/>
          <w:sz w:val="32"/>
          <w:szCs w:val="32"/>
        </w:rPr>
        <w:t>3．招商引资成效显著。精准招商，2025年通过产业链、平台、以商招商等方式，结合“走出去+请进来”模式，累计对接企业近250家，吸引企业实地考察150余家；成功签约招商引资项目7个，签约金额达56.2亿元，完成市下达目标任务38亿元的147.89%；1—11月，省外引进产业项目新增实际投资上报数21.98亿元，完成年度目标任务的115%。近两年正式签约的11个项目中，履约率、开工率、投产率分别达100%、81.81%、54.54%。其中，6个项目已建成投产，总投资36.9亿元，实现“签约即落地、落地即投产”；5个在建项目，总投资70.3亿元，建设进度均超预期计划，当前已形成“投产一批、建设一批、储备一批”的良性循环。搭建平台，充分依托定点帮扶、东西协作、托底性帮扶等资源优势，组织企业“走出去”参与旅博会、西博会、中国餐饮发展大会等10余场重大展会；“请进来”举办“马边绿茶”采茶季招商推介会、2025年第二季度集中签约仪式、2025“越商走马”招商推介活动等专场活动，构建“展会拓渠道、专场促签约”双平台格局，有效释放马边茶叶、文旅、矿产等特色产业招商吸引力。项目保障，推行项目“清单化”管理服务，实现“签约—建设—投产”全流程跟踪，持续解决企业在落地、开工、投产中的困难和问题50余个，为蜀能矿产、德顺源公司、中科鼎耀、福来中旅等4家企业兑现招商奖补资金4507.9139万元，以“真金白银”提振企业信心。</w:t>
      </w:r>
    </w:p>
    <w:p w14:paraId="5E714115">
      <w:pPr>
        <w:spacing w:after="0" w:line="560" w:lineRule="exact"/>
        <w:ind w:firstLine="640"/>
        <w:jc w:val="both"/>
      </w:pPr>
      <w:r>
        <w:rPr>
          <w:rFonts w:ascii="Times New Roman" w:hAnsi="Times New Roman" w:eastAsia="FangSong_GB2312" w:cs="Times New Roman"/>
          <w:color w:val="000000"/>
          <w:sz w:val="32"/>
          <w:szCs w:val="32"/>
        </w:rPr>
        <w:t>4．商贸工作承压前行。项目建设稳劲有力，完成苏坝镇农贸市场建设、马边星农农产品仓储中心、马边快递物流县乡村三级物流、仓储配送建设等10个项目并投入运营，项目总投资2516.94万元，奖补资金划拨791.21万元，拨付比例为79.12%，实现“连接城乡、购销并举、综合经营、系列服务”的综合功能，建成产业结构优、支撑能力强、品牌效应好的县域商业体系。市场活力促进发展，全年共有30余家企业参与家电、电动自行车以旧换新和3C促消费活动，累计销售8739台，销售额达2692.8万元，发放奖补共计465.44万元。紧扣“蜀里安逸·购在马边”活动主题，举办第九届小凉山火把节等促消费活动不少于5场，发放线上、线下消费券63万元，直接带动消费约2亿元，有力激发市场活力。用好用活帮扶资源，开展电商普及、技能提升、直播专项培训5场次，累计培训人员超280余人次，举办特色直播活动20余场，授予10名优秀学员“彝乡推荐官”称号。扩展电商线上销售渠道，带动农特产品线上交易额4300万余元，助力农特产品销往东部地区预计突破6341.7万元。</w:t>
      </w:r>
    </w:p>
    <w:p w14:paraId="162607D5">
      <w:pPr>
        <w:spacing w:after="0" w:line="560" w:lineRule="exact"/>
        <w:ind w:firstLine="640"/>
        <w:jc w:val="both"/>
      </w:pPr>
      <w:r>
        <w:rPr>
          <w:rFonts w:ascii="Times New Roman" w:hAnsi="Times New Roman" w:eastAsia="FangSong_GB2312" w:cs="Times New Roman"/>
          <w:color w:val="000000"/>
          <w:sz w:val="32"/>
          <w:szCs w:val="32"/>
        </w:rPr>
        <w:t>5．创先争优增添活力。坚持深学争优、敢为争先、实干争效。今年以来，牵头成功申报四川省县域商业建设行动激励县和2025年县域商业建设行动县，牵头完成的全市一季度产业拉练中排名二类区县第一位。因招商引资成效突出、经济指标排名靠前、推介活动举办有力等工作在市县两级奔跑实干亮榜行动中多次上榜，位居全县第二；被市委市政府表彰为乐山市“节奏更快、效率更高、质量更优”实干比拼先进集体，荣获全市推进工业经济高质量发展表现突出单位、投资促进平台活动先进单位、升规入统工作表现突出单位等多个市级荣誉。同时，扩大声量，强化线上多平台宣传力度，顺利在《乐山日报》头版头条刊登《马边：跑出工业振兴“加速度”》、在《乐山新闻联播》专题报道《马边以“新”破局 奏响工业振兴强音》等内容，营造县域经济高质量发展浓厚氛围。</w:t>
      </w:r>
    </w:p>
    <w:p w14:paraId="29F430F4">
      <w:pPr>
        <w:pStyle w:val="4"/>
        <w:spacing w:before="200" w:after="120" w:line="560" w:lineRule="exact"/>
        <w:outlineLvl w:val="1"/>
      </w:pPr>
      <w:bookmarkStart w:id="2" w:name="_Toc17359"/>
      <w:r>
        <w:rPr>
          <w:rFonts w:ascii="Times New Roman" w:hAnsi="Times New Roman" w:eastAsia="KaiTi_GB2312" w:cs="Times New Roman"/>
          <w:b/>
          <w:bCs/>
          <w:color w:val="000000"/>
          <w:sz w:val="32"/>
          <w:szCs w:val="32"/>
        </w:rPr>
        <w:t>二、机构设置</w:t>
      </w:r>
      <w:bookmarkEnd w:id="2"/>
    </w:p>
    <w:p w14:paraId="7F55D7F6">
      <w:pPr>
        <w:spacing w:after="0" w:line="560" w:lineRule="exact"/>
        <w:ind w:firstLine="640"/>
        <w:jc w:val="both"/>
      </w:pPr>
      <w:r>
        <w:rPr>
          <w:rFonts w:ascii="Times New Roman" w:hAnsi="Times New Roman" w:eastAsia="FangSong_GB2312" w:cs="Times New Roman"/>
          <w:color w:val="000000"/>
          <w:sz w:val="32"/>
          <w:szCs w:val="32"/>
        </w:rPr>
        <w:t>1．机构情况。马边彝族自治县经济和信息化局属一级预算单位，单位性质为行政单位，下属二级单位</w:t>
      </w:r>
      <w:r>
        <w:rPr>
          <w:rFonts w:hint="eastAsia" w:ascii="Times New Roman" w:hAnsi="Times New Roman" w:eastAsia="FangSong_GB2312" w:cs="Times New Roman"/>
          <w:color w:val="000000"/>
          <w:sz w:val="32"/>
          <w:szCs w:val="32"/>
          <w:lang w:val="en-US" w:eastAsia="zh-CN"/>
        </w:rPr>
        <w:t>1</w:t>
      </w:r>
      <w:r>
        <w:rPr>
          <w:rFonts w:ascii="Times New Roman" w:hAnsi="Times New Roman" w:eastAsia="FangSong_GB2312" w:cs="Times New Roman"/>
          <w:color w:val="000000"/>
          <w:sz w:val="32"/>
          <w:szCs w:val="32"/>
        </w:rPr>
        <w:t>个，其中行政单位0个，参照公务员法管理的事业单位0个，其他事业单位</w:t>
      </w:r>
      <w:r>
        <w:rPr>
          <w:rFonts w:hint="eastAsia" w:ascii="Times New Roman" w:hAnsi="Times New Roman" w:eastAsia="FangSong_GB2312" w:cs="Times New Roman"/>
          <w:color w:val="000000"/>
          <w:sz w:val="32"/>
          <w:szCs w:val="32"/>
          <w:lang w:val="en-US" w:eastAsia="zh-CN"/>
        </w:rPr>
        <w:t>1</w:t>
      </w:r>
      <w:r>
        <w:rPr>
          <w:rFonts w:ascii="Times New Roman" w:hAnsi="Times New Roman" w:eastAsia="FangSong_GB2312" w:cs="Times New Roman"/>
          <w:color w:val="000000"/>
          <w:sz w:val="32"/>
          <w:szCs w:val="32"/>
        </w:rPr>
        <w:t>个。年末独立编制机构2个，独立核算机构1个。</w:t>
      </w:r>
    </w:p>
    <w:p w14:paraId="45F66FB5">
      <w:pPr>
        <w:spacing w:after="0" w:line="560" w:lineRule="exact"/>
        <w:ind w:firstLine="640"/>
        <w:jc w:val="both"/>
      </w:pPr>
      <w:r>
        <w:rPr>
          <w:rFonts w:ascii="Times New Roman" w:hAnsi="Times New Roman" w:eastAsia="FangSong_GB2312" w:cs="Times New Roman"/>
          <w:color w:val="000000"/>
          <w:sz w:val="32"/>
          <w:szCs w:val="32"/>
        </w:rPr>
        <w:t>2．人员情况。马边彝族自治县经济和信息化局2025年末编制内实有人数13名，其中财政拨款开支人员13名、经费自理人员0名，编制外其他人员1名。在职公务员9名、在职参照公务员法管理事业人员0名、在职非</w:t>
      </w:r>
      <w:bookmarkStart w:id="30" w:name="_GoBack"/>
      <w:bookmarkEnd w:id="30"/>
      <w:r>
        <w:rPr>
          <w:rFonts w:ascii="Times New Roman" w:hAnsi="Times New Roman" w:eastAsia="FangSong_GB2312" w:cs="Times New Roman"/>
          <w:color w:val="000000"/>
          <w:sz w:val="32"/>
          <w:szCs w:val="32"/>
        </w:rPr>
        <w:t>参公事业人员4名、在职机关和事业工人0名。</w:t>
      </w:r>
      <w:r>
        <w:rPr>
          <w:rFonts w:hint="eastAsia" w:ascii="Times New Roman" w:hAnsi="Times New Roman" w:eastAsia="FangSong_GB2312" w:cs="Times New Roman"/>
          <w:color w:val="000000"/>
          <w:sz w:val="32"/>
          <w:szCs w:val="32"/>
          <w:lang w:eastAsia="zh-CN"/>
        </w:rPr>
        <w:t>本部门</w:t>
      </w:r>
      <w:r>
        <w:rPr>
          <w:rFonts w:ascii="Times New Roman" w:hAnsi="Times New Roman" w:eastAsia="FangSong_GB2312" w:cs="Times New Roman"/>
          <w:color w:val="000000"/>
          <w:sz w:val="32"/>
          <w:szCs w:val="32"/>
        </w:rPr>
        <w:t>2025年人员增加</w:t>
      </w:r>
      <w:r>
        <w:rPr>
          <w:rFonts w:hint="eastAsia" w:ascii="Times New Roman" w:hAnsi="Times New Roman" w:eastAsia="FangSong_GB2312" w:cs="Times New Roman"/>
          <w:color w:val="000000"/>
          <w:sz w:val="32"/>
          <w:szCs w:val="32"/>
          <w:lang w:val="en-US" w:eastAsia="zh-CN"/>
        </w:rPr>
        <w:t>4</w:t>
      </w:r>
      <w:r>
        <w:rPr>
          <w:rFonts w:ascii="Times New Roman" w:hAnsi="Times New Roman" w:eastAsia="FangSong_GB2312" w:cs="Times New Roman"/>
          <w:color w:val="000000"/>
          <w:sz w:val="32"/>
          <w:szCs w:val="32"/>
        </w:rPr>
        <w:t>名，变动原因是2025年罗宇、高彩玲、阿杜石杜、</w:t>
      </w:r>
      <w:r>
        <w:rPr>
          <w:rFonts w:hint="eastAsia" w:ascii="Times New Roman" w:hAnsi="Times New Roman" w:eastAsia="FangSong_GB2312" w:cs="Times New Roman"/>
          <w:color w:val="000000"/>
          <w:sz w:val="32"/>
          <w:szCs w:val="32"/>
          <w:lang w:eastAsia="zh-CN"/>
        </w:rPr>
        <w:t>衣顺超、</w:t>
      </w:r>
      <w:r>
        <w:rPr>
          <w:rFonts w:ascii="Times New Roman" w:hAnsi="Times New Roman" w:eastAsia="FangSong_GB2312" w:cs="Times New Roman"/>
          <w:color w:val="000000"/>
          <w:sz w:val="32"/>
          <w:szCs w:val="32"/>
        </w:rPr>
        <w:t>金勇</w:t>
      </w:r>
      <w:r>
        <w:rPr>
          <w:rFonts w:hint="eastAsia" w:ascii="Times New Roman" w:hAnsi="Times New Roman" w:eastAsia="FangSong_GB2312" w:cs="Times New Roman"/>
          <w:color w:val="000000"/>
          <w:sz w:val="32"/>
          <w:szCs w:val="32"/>
          <w:lang w:val="en-US" w:eastAsia="zh-CN"/>
        </w:rPr>
        <w:t>5</w:t>
      </w:r>
      <w:r>
        <w:rPr>
          <w:rFonts w:ascii="Times New Roman" w:hAnsi="Times New Roman" w:eastAsia="FangSong_GB2312" w:cs="Times New Roman"/>
          <w:color w:val="000000"/>
          <w:sz w:val="32"/>
          <w:szCs w:val="32"/>
        </w:rPr>
        <w:t>人调入单位，</w:t>
      </w:r>
      <w:r>
        <w:rPr>
          <w:rFonts w:hint="eastAsia" w:ascii="Times New Roman" w:hAnsi="Times New Roman" w:eastAsia="FangSong_GB2312" w:cs="Times New Roman"/>
          <w:color w:val="000000"/>
          <w:sz w:val="32"/>
          <w:szCs w:val="32"/>
          <w:lang w:eastAsia="zh-CN"/>
        </w:rPr>
        <w:t>辞职</w:t>
      </w:r>
      <w:r>
        <w:rPr>
          <w:rFonts w:ascii="Times New Roman" w:hAnsi="Times New Roman" w:eastAsia="FangSong_GB2312" w:cs="Times New Roman"/>
          <w:color w:val="000000"/>
          <w:sz w:val="32"/>
          <w:szCs w:val="32"/>
        </w:rPr>
        <w:t>1人。</w:t>
      </w:r>
    </w:p>
    <w:p w14:paraId="212B0EC0">
      <w:r>
        <w:br w:type="page"/>
      </w:r>
    </w:p>
    <w:p w14:paraId="1C8C6EF3">
      <w:pPr>
        <w:pStyle w:val="3"/>
        <w:spacing w:before="260" w:after="160" w:line="560" w:lineRule="exact"/>
        <w:outlineLvl w:val="0"/>
      </w:pPr>
      <w:bookmarkStart w:id="3" w:name="_Toc30412"/>
      <w:r>
        <w:rPr>
          <w:rFonts w:ascii="Times New Roman" w:hAnsi="Times New Roman" w:eastAsia="黑体" w:cs="Times New Roman"/>
          <w:color w:val="000000"/>
          <w:sz w:val="32"/>
          <w:szCs w:val="32"/>
        </w:rPr>
        <w:t>第二部分  2025年度</w:t>
      </w:r>
      <w:r>
        <w:rPr>
          <w:rFonts w:hint="eastAsia" w:ascii="Times New Roman" w:hAnsi="Times New Roman" w:eastAsia="黑体" w:cs="Times New Roman"/>
          <w:color w:val="000000"/>
          <w:sz w:val="32"/>
          <w:szCs w:val="32"/>
          <w:lang w:eastAsia="zh-CN"/>
        </w:rPr>
        <w:t>部门决算</w:t>
      </w:r>
      <w:r>
        <w:rPr>
          <w:rFonts w:ascii="Times New Roman" w:hAnsi="Times New Roman" w:eastAsia="黑体" w:cs="Times New Roman"/>
          <w:color w:val="000000"/>
          <w:sz w:val="32"/>
          <w:szCs w:val="32"/>
        </w:rPr>
        <w:t>情况说明</w:t>
      </w:r>
      <w:bookmarkEnd w:id="3"/>
    </w:p>
    <w:p w14:paraId="4BCB1F33">
      <w:pPr>
        <w:pStyle w:val="4"/>
        <w:spacing w:before="200" w:after="120" w:line="560" w:lineRule="exact"/>
        <w:outlineLvl w:val="1"/>
      </w:pPr>
      <w:bookmarkStart w:id="4" w:name="_Toc5384"/>
      <w:r>
        <w:rPr>
          <w:rFonts w:ascii="Times New Roman" w:hAnsi="Times New Roman" w:eastAsia="KaiTi_GB2312" w:cs="Times New Roman"/>
          <w:b/>
          <w:bCs/>
          <w:color w:val="000000"/>
          <w:sz w:val="32"/>
          <w:szCs w:val="32"/>
        </w:rPr>
        <w:t>一、收入支出决算总体情况说明</w:t>
      </w:r>
      <w:bookmarkEnd w:id="4"/>
    </w:p>
    <w:p w14:paraId="376D0ACC">
      <w:pPr>
        <w:spacing w:after="0" w:line="560" w:lineRule="exact"/>
        <w:ind w:firstLine="640"/>
        <w:jc w:val="both"/>
      </w:pPr>
      <w:r>
        <w:rPr>
          <w:rFonts w:ascii="Times New Roman" w:hAnsi="Times New Roman" w:eastAsia="FangSong_GB2312" w:cs="Times New Roman"/>
          <w:color w:val="000000"/>
          <w:sz w:val="32"/>
          <w:szCs w:val="32"/>
        </w:rPr>
        <w:t>2025年度收、支总计均为12483.78万元。与2024年度相比，收、支总计各增加8238.70万元，增长194.08%。主要变动原因是本年度为推进特定工作任务，项目支出预算有所增加。</w:t>
      </w:r>
    </w:p>
    <w:tbl>
      <w:tblPr>
        <w:tblStyle w:val="24"/>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29F62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323F274E">
            <w:pPr>
              <w:keepNext/>
              <w:spacing w:before="120" w:after="60" w:line="360" w:lineRule="auto"/>
              <w:jc w:val="center"/>
            </w:pPr>
            <w:r>
              <w:drawing>
                <wp:inline distT="0" distB="0" distL="0" distR="0">
                  <wp:extent cx="4381500" cy="24669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a:srcRect/>
                          <a:stretch>
                            <a:fillRect/>
                          </a:stretch>
                        </pic:blipFill>
                        <pic:spPr>
                          <a:xfrm>
                            <a:off x="0" y="0"/>
                            <a:ext cx="4381500" cy="2466975"/>
                          </a:xfrm>
                          <a:prstGeom prst="rect">
                            <a:avLst/>
                          </a:prstGeom>
                        </pic:spPr>
                      </pic:pic>
                    </a:graphicData>
                  </a:graphic>
                </wp:inline>
              </w:drawing>
            </w:r>
          </w:p>
          <w:p w14:paraId="55650FC7">
            <w:pPr>
              <w:spacing w:before="60" w:after="200" w:line="360" w:lineRule="auto"/>
              <w:jc w:val="center"/>
            </w:pPr>
            <w:r>
              <w:rPr>
                <w:rFonts w:ascii="Times New Roman" w:hAnsi="Times New Roman" w:eastAsia="KaiTi_GB2312" w:cs="Times New Roman"/>
                <w:color w:val="000000"/>
                <w:sz w:val="24"/>
                <w:szCs w:val="24"/>
              </w:rPr>
              <w:t>图1：收、支决算总计变动图（单位：万元）</w:t>
            </w:r>
          </w:p>
        </w:tc>
      </w:tr>
    </w:tbl>
    <w:p w14:paraId="2703F25B">
      <w:pPr>
        <w:pStyle w:val="4"/>
        <w:spacing w:before="200" w:after="120" w:line="560" w:lineRule="exact"/>
        <w:outlineLvl w:val="1"/>
      </w:pPr>
      <w:bookmarkStart w:id="5" w:name="_Toc15025"/>
      <w:r>
        <w:rPr>
          <w:rFonts w:ascii="Times New Roman" w:hAnsi="Times New Roman" w:eastAsia="KaiTi_GB2312" w:cs="Times New Roman"/>
          <w:b/>
          <w:bCs/>
          <w:color w:val="000000"/>
          <w:sz w:val="32"/>
          <w:szCs w:val="32"/>
        </w:rPr>
        <w:t>二、收入决算情况说明</w:t>
      </w:r>
      <w:bookmarkEnd w:id="5"/>
    </w:p>
    <w:p w14:paraId="2AB09F8D">
      <w:pPr>
        <w:spacing w:after="0" w:line="560" w:lineRule="exact"/>
        <w:ind w:firstLine="640"/>
        <w:jc w:val="both"/>
      </w:pPr>
      <w:r>
        <w:rPr>
          <w:rFonts w:ascii="Times New Roman" w:hAnsi="Times New Roman" w:eastAsia="FangSong_GB2312" w:cs="Times New Roman"/>
          <w:color w:val="000000"/>
          <w:sz w:val="32"/>
          <w:szCs w:val="32"/>
        </w:rPr>
        <w:t>2025年度本年收入合计11871.71万元，其中：一般公共预算财政拨款收入7572.10万元，占63.78%；政府性基金预算财政拨款收入4275.58万元，占36.01%；其他收入24.03万元，占0.21%。</w:t>
      </w:r>
    </w:p>
    <w:tbl>
      <w:tblPr>
        <w:tblStyle w:val="24"/>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3E152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5C699A48">
            <w:pPr>
              <w:keepNext/>
              <w:spacing w:before="120" w:after="60" w:line="360" w:lineRule="auto"/>
              <w:jc w:val="center"/>
            </w:pPr>
            <w:r>
              <w:drawing>
                <wp:inline distT="0" distB="0" distL="0" distR="0">
                  <wp:extent cx="4000500" cy="24669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a:srcRect/>
                          <a:stretch>
                            <a:fillRect/>
                          </a:stretch>
                        </pic:blipFill>
                        <pic:spPr>
                          <a:xfrm>
                            <a:off x="0" y="0"/>
                            <a:ext cx="4000500" cy="2466975"/>
                          </a:xfrm>
                          <a:prstGeom prst="rect">
                            <a:avLst/>
                          </a:prstGeom>
                        </pic:spPr>
                      </pic:pic>
                    </a:graphicData>
                  </a:graphic>
                </wp:inline>
              </w:drawing>
            </w:r>
          </w:p>
          <w:p w14:paraId="53F3DB8B">
            <w:pPr>
              <w:spacing w:before="60" w:after="200" w:line="360" w:lineRule="auto"/>
              <w:jc w:val="center"/>
            </w:pPr>
            <w:r>
              <w:rPr>
                <w:rFonts w:ascii="Times New Roman" w:hAnsi="Times New Roman" w:eastAsia="KaiTi_GB2312" w:cs="Times New Roman"/>
                <w:color w:val="000000"/>
                <w:sz w:val="24"/>
                <w:szCs w:val="24"/>
              </w:rPr>
              <w:t>图2：收入决算结构图</w:t>
            </w:r>
          </w:p>
        </w:tc>
      </w:tr>
    </w:tbl>
    <w:p w14:paraId="56FDA32D">
      <w:pPr>
        <w:pStyle w:val="4"/>
        <w:spacing w:before="200" w:after="120" w:line="560" w:lineRule="exact"/>
        <w:outlineLvl w:val="1"/>
      </w:pPr>
      <w:bookmarkStart w:id="6" w:name="_Toc5835"/>
      <w:r>
        <w:rPr>
          <w:rFonts w:ascii="Times New Roman" w:hAnsi="Times New Roman" w:eastAsia="KaiTi_GB2312" w:cs="Times New Roman"/>
          <w:b/>
          <w:bCs/>
          <w:color w:val="000000"/>
          <w:sz w:val="32"/>
          <w:szCs w:val="32"/>
        </w:rPr>
        <w:t>三、支出决算情况说明</w:t>
      </w:r>
      <w:bookmarkEnd w:id="6"/>
    </w:p>
    <w:p w14:paraId="04B982C2">
      <w:pPr>
        <w:spacing w:after="0" w:line="560" w:lineRule="exact"/>
        <w:ind w:firstLine="640"/>
        <w:jc w:val="both"/>
      </w:pPr>
      <w:r>
        <w:rPr>
          <w:rFonts w:ascii="Times New Roman" w:hAnsi="Times New Roman" w:eastAsia="FangSong_GB2312" w:cs="Times New Roman"/>
          <w:color w:val="000000"/>
          <w:sz w:val="32"/>
          <w:szCs w:val="32"/>
        </w:rPr>
        <w:t>2025年度本年支出合计12483.78万元，其中：基本支出362.39万元，占2.90%；项目支出12121.39万元，占97.10%。</w:t>
      </w:r>
    </w:p>
    <w:tbl>
      <w:tblPr>
        <w:tblStyle w:val="24"/>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29BB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4D97BAAE">
            <w:pPr>
              <w:keepNext/>
              <w:spacing w:before="120" w:after="60" w:line="360" w:lineRule="auto"/>
              <w:jc w:val="center"/>
            </w:pPr>
            <w:r>
              <w:drawing>
                <wp:inline distT="0" distB="0" distL="0" distR="0">
                  <wp:extent cx="4000500" cy="26003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a:srcRect/>
                          <a:stretch>
                            <a:fillRect/>
                          </a:stretch>
                        </pic:blipFill>
                        <pic:spPr>
                          <a:xfrm>
                            <a:off x="0" y="0"/>
                            <a:ext cx="4000500" cy="2600325"/>
                          </a:xfrm>
                          <a:prstGeom prst="rect">
                            <a:avLst/>
                          </a:prstGeom>
                        </pic:spPr>
                      </pic:pic>
                    </a:graphicData>
                  </a:graphic>
                </wp:inline>
              </w:drawing>
            </w:r>
          </w:p>
          <w:p w14:paraId="50E57452">
            <w:pPr>
              <w:spacing w:before="60" w:after="200" w:line="360" w:lineRule="auto"/>
              <w:jc w:val="center"/>
            </w:pPr>
            <w:r>
              <w:rPr>
                <w:rFonts w:ascii="Times New Roman" w:hAnsi="Times New Roman" w:eastAsia="KaiTi_GB2312" w:cs="Times New Roman"/>
                <w:color w:val="000000"/>
                <w:sz w:val="24"/>
                <w:szCs w:val="24"/>
              </w:rPr>
              <w:t>图3：支出决算结构图</w:t>
            </w:r>
          </w:p>
        </w:tc>
      </w:tr>
    </w:tbl>
    <w:p w14:paraId="633BEBBB">
      <w:pPr>
        <w:pStyle w:val="4"/>
        <w:spacing w:before="200" w:after="120" w:line="560" w:lineRule="exact"/>
        <w:outlineLvl w:val="1"/>
      </w:pPr>
      <w:bookmarkStart w:id="7" w:name="_Toc28843"/>
      <w:r>
        <w:rPr>
          <w:rFonts w:ascii="Times New Roman" w:hAnsi="Times New Roman" w:eastAsia="KaiTi_GB2312" w:cs="Times New Roman"/>
          <w:b/>
          <w:bCs/>
          <w:color w:val="000000"/>
          <w:sz w:val="32"/>
          <w:szCs w:val="32"/>
        </w:rPr>
        <w:t>四、财政拨款收入支出决算总体情况说明</w:t>
      </w:r>
      <w:bookmarkEnd w:id="7"/>
    </w:p>
    <w:p w14:paraId="38F354B9">
      <w:pPr>
        <w:spacing w:after="0" w:line="560" w:lineRule="exact"/>
        <w:ind w:firstLine="640"/>
        <w:jc w:val="both"/>
      </w:pPr>
      <w:r>
        <w:rPr>
          <w:rFonts w:ascii="Times New Roman" w:hAnsi="Times New Roman" w:eastAsia="FangSong_GB2312" w:cs="Times New Roman"/>
          <w:color w:val="000000"/>
          <w:sz w:val="32"/>
          <w:szCs w:val="32"/>
        </w:rPr>
        <w:t>2025年度财政拨款收、支总计均为12459.75万元。与2024年度相比，财政拨款收、支总计各增加8214.67万元，增长193.51%。主要变动原因是本年度为推进特定工作任务，项目支出预算有所增加。</w:t>
      </w:r>
    </w:p>
    <w:tbl>
      <w:tblPr>
        <w:tblStyle w:val="24"/>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11D05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1E409B16">
            <w:pPr>
              <w:keepNext/>
              <w:spacing w:before="120" w:after="60" w:line="360" w:lineRule="auto"/>
              <w:jc w:val="center"/>
            </w:pPr>
            <w:r>
              <w:drawing>
                <wp:inline distT="0" distB="0" distL="0" distR="0">
                  <wp:extent cx="4381500" cy="246697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a:srcRect/>
                          <a:stretch>
                            <a:fillRect/>
                          </a:stretch>
                        </pic:blipFill>
                        <pic:spPr>
                          <a:xfrm>
                            <a:off x="0" y="0"/>
                            <a:ext cx="4381500" cy="2466975"/>
                          </a:xfrm>
                          <a:prstGeom prst="rect">
                            <a:avLst/>
                          </a:prstGeom>
                        </pic:spPr>
                      </pic:pic>
                    </a:graphicData>
                  </a:graphic>
                </wp:inline>
              </w:drawing>
            </w:r>
          </w:p>
          <w:p w14:paraId="7AA90553">
            <w:pPr>
              <w:spacing w:before="60" w:after="200" w:line="360" w:lineRule="auto"/>
              <w:jc w:val="center"/>
            </w:pPr>
            <w:r>
              <w:rPr>
                <w:rFonts w:ascii="Times New Roman" w:hAnsi="Times New Roman" w:eastAsia="KaiTi_GB2312" w:cs="Times New Roman"/>
                <w:color w:val="000000"/>
                <w:sz w:val="24"/>
                <w:szCs w:val="24"/>
              </w:rPr>
              <w:t>图4：财政拨款收、支决算总计变动情况（单位：万元）</w:t>
            </w:r>
          </w:p>
        </w:tc>
      </w:tr>
    </w:tbl>
    <w:p w14:paraId="356A99DF">
      <w:pPr>
        <w:pStyle w:val="4"/>
        <w:spacing w:before="200" w:after="120" w:line="560" w:lineRule="exact"/>
        <w:outlineLvl w:val="1"/>
      </w:pPr>
      <w:bookmarkStart w:id="8" w:name="_Toc22582"/>
      <w:r>
        <w:rPr>
          <w:rFonts w:ascii="Times New Roman" w:hAnsi="Times New Roman" w:eastAsia="KaiTi_GB2312" w:cs="Times New Roman"/>
          <w:b/>
          <w:bCs/>
          <w:color w:val="000000"/>
          <w:sz w:val="32"/>
          <w:szCs w:val="32"/>
        </w:rPr>
        <w:t>五、一般公共预算财政拨款支出决算情况说明</w:t>
      </w:r>
      <w:bookmarkEnd w:id="8"/>
    </w:p>
    <w:p w14:paraId="4B9A4B66">
      <w:pPr>
        <w:pStyle w:val="5"/>
        <w:spacing w:before="120" w:after="60" w:line="560" w:lineRule="exact"/>
        <w:ind w:firstLine="640"/>
        <w:outlineLvl w:val="2"/>
      </w:pPr>
      <w:r>
        <w:rPr>
          <w:rFonts w:ascii="Times New Roman" w:hAnsi="Times New Roman" w:eastAsia="FangSong_GB2312" w:cs="Times New Roman"/>
          <w:b/>
          <w:bCs/>
          <w:color w:val="000000"/>
          <w:sz w:val="32"/>
          <w:szCs w:val="32"/>
        </w:rPr>
        <w:t>（一）一般公共预算财政拨款支出决算总体情况</w:t>
      </w:r>
    </w:p>
    <w:p w14:paraId="1AF80A35">
      <w:pPr>
        <w:spacing w:after="0" w:line="560" w:lineRule="exact"/>
        <w:ind w:firstLine="640"/>
        <w:jc w:val="both"/>
      </w:pPr>
      <w:r>
        <w:rPr>
          <w:rFonts w:ascii="Times New Roman" w:hAnsi="Times New Roman" w:eastAsia="FangSong_GB2312" w:cs="Times New Roman"/>
          <w:color w:val="000000"/>
          <w:sz w:val="32"/>
          <w:szCs w:val="32"/>
        </w:rPr>
        <w:t>2025年度一般公共预算财政拨款支出8184.18万元，占本年支出合计的65.56%。与2024年度相比，一般公共预算财政拨款支出增加6409.90万元，增长361.27%。主要变动原因是本年度为推进特定工作任务，项目支出预算有所增加。</w:t>
      </w:r>
    </w:p>
    <w:tbl>
      <w:tblPr>
        <w:tblStyle w:val="24"/>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3E1F6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5F037927">
            <w:pPr>
              <w:keepNext/>
              <w:spacing w:before="120" w:after="60" w:line="360" w:lineRule="auto"/>
              <w:jc w:val="center"/>
            </w:pPr>
            <w:r>
              <w:drawing>
                <wp:inline distT="0" distB="0" distL="0" distR="0">
                  <wp:extent cx="4191000" cy="23622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
                          <a:srcRect/>
                          <a:stretch>
                            <a:fillRect/>
                          </a:stretch>
                        </pic:blipFill>
                        <pic:spPr>
                          <a:xfrm>
                            <a:off x="0" y="0"/>
                            <a:ext cx="4191000" cy="2362200"/>
                          </a:xfrm>
                          <a:prstGeom prst="rect">
                            <a:avLst/>
                          </a:prstGeom>
                        </pic:spPr>
                      </pic:pic>
                    </a:graphicData>
                  </a:graphic>
                </wp:inline>
              </w:drawing>
            </w:r>
          </w:p>
          <w:p w14:paraId="4EE6B84F">
            <w:pPr>
              <w:spacing w:before="60" w:after="200" w:line="360" w:lineRule="auto"/>
              <w:jc w:val="center"/>
            </w:pPr>
            <w:r>
              <w:rPr>
                <w:rFonts w:ascii="Times New Roman" w:hAnsi="Times New Roman" w:eastAsia="KaiTi_GB2312" w:cs="Times New Roman"/>
                <w:color w:val="000000"/>
                <w:sz w:val="24"/>
                <w:szCs w:val="24"/>
              </w:rPr>
              <w:t>图5：一般公共预算财政拨款支出决算变动情况（单位：万元）</w:t>
            </w:r>
          </w:p>
        </w:tc>
      </w:tr>
    </w:tbl>
    <w:p w14:paraId="4D642730">
      <w:pPr>
        <w:pStyle w:val="5"/>
        <w:spacing w:before="120" w:after="60" w:line="560" w:lineRule="exact"/>
        <w:ind w:firstLine="640"/>
        <w:outlineLvl w:val="2"/>
      </w:pPr>
      <w:r>
        <w:rPr>
          <w:rFonts w:ascii="Times New Roman" w:hAnsi="Times New Roman" w:eastAsia="FangSong_GB2312" w:cs="Times New Roman"/>
          <w:b/>
          <w:bCs/>
          <w:color w:val="000000"/>
          <w:sz w:val="32"/>
          <w:szCs w:val="32"/>
        </w:rPr>
        <w:t>（二）一般公共预算财政拨款支出决算结构情况</w:t>
      </w:r>
    </w:p>
    <w:p w14:paraId="3716D4AC">
      <w:pPr>
        <w:spacing w:after="0" w:line="560" w:lineRule="exact"/>
        <w:ind w:firstLine="640"/>
        <w:jc w:val="both"/>
      </w:pPr>
      <w:r>
        <w:rPr>
          <w:rFonts w:ascii="Times New Roman" w:hAnsi="Times New Roman" w:eastAsia="FangSong_GB2312" w:cs="Times New Roman"/>
          <w:color w:val="000000"/>
          <w:sz w:val="32"/>
          <w:szCs w:val="32"/>
        </w:rPr>
        <w:t>2025年度一般公共预算财政拨款支出8184.18万元，主要用于以下方面：一般公共服务支出281.06万元，占3.43%；科学技术支出1200.00万元，占14.66%；社会保障和就业支出46.89万元，占0.57%；卫生健康支出9.77万元，占0.12%；农林水支出107.93万元，占1.32%；资源勘探工业信息等支出3899.78万元，占47.65%；商业服务业等支出2614.08万元，占31.94%；住房保障支出24.67万元，占0.31%。</w:t>
      </w:r>
    </w:p>
    <w:tbl>
      <w:tblPr>
        <w:tblStyle w:val="24"/>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1EC80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15CDC755">
            <w:pPr>
              <w:keepNext/>
              <w:spacing w:before="120" w:after="60" w:line="360" w:lineRule="auto"/>
              <w:jc w:val="center"/>
            </w:pPr>
            <w:r>
              <w:drawing>
                <wp:inline distT="0" distB="0" distL="0" distR="0">
                  <wp:extent cx="4191000" cy="24003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0"/>
                          <a:srcRect/>
                          <a:stretch>
                            <a:fillRect/>
                          </a:stretch>
                        </pic:blipFill>
                        <pic:spPr>
                          <a:xfrm>
                            <a:off x="0" y="0"/>
                            <a:ext cx="4191000" cy="2400300"/>
                          </a:xfrm>
                          <a:prstGeom prst="rect">
                            <a:avLst/>
                          </a:prstGeom>
                        </pic:spPr>
                      </pic:pic>
                    </a:graphicData>
                  </a:graphic>
                </wp:inline>
              </w:drawing>
            </w:r>
          </w:p>
          <w:p w14:paraId="162AA473">
            <w:pPr>
              <w:spacing w:before="60" w:after="200" w:line="360" w:lineRule="auto"/>
              <w:jc w:val="center"/>
            </w:pPr>
            <w:r>
              <w:rPr>
                <w:rFonts w:ascii="Times New Roman" w:hAnsi="Times New Roman" w:eastAsia="KaiTi_GB2312" w:cs="Times New Roman"/>
                <w:color w:val="000000"/>
                <w:sz w:val="24"/>
                <w:szCs w:val="24"/>
              </w:rPr>
              <w:t>图6：一般公共预算财政拨款支出决算结构图</w:t>
            </w:r>
          </w:p>
        </w:tc>
      </w:tr>
    </w:tbl>
    <w:p w14:paraId="040B5DE0">
      <w:pPr>
        <w:pStyle w:val="5"/>
        <w:spacing w:before="120" w:after="60" w:line="560" w:lineRule="exact"/>
        <w:ind w:firstLine="640"/>
        <w:outlineLvl w:val="2"/>
      </w:pPr>
      <w:r>
        <w:rPr>
          <w:rFonts w:ascii="Times New Roman" w:hAnsi="Times New Roman" w:eastAsia="FangSong_GB2312" w:cs="Times New Roman"/>
          <w:b/>
          <w:bCs/>
          <w:color w:val="000000"/>
          <w:sz w:val="32"/>
          <w:szCs w:val="32"/>
        </w:rPr>
        <w:t>（三）一般公共预算财政拨款支出决算具体情况</w:t>
      </w:r>
    </w:p>
    <w:p w14:paraId="50F05A80">
      <w:pPr>
        <w:spacing w:after="0" w:line="560" w:lineRule="exact"/>
        <w:ind w:firstLine="640"/>
        <w:jc w:val="both"/>
      </w:pPr>
      <w:r>
        <w:rPr>
          <w:rFonts w:ascii="Times New Roman" w:hAnsi="Times New Roman" w:eastAsia="FangSong_GB2312" w:cs="Times New Roman"/>
          <w:color w:val="000000"/>
          <w:sz w:val="32"/>
          <w:szCs w:val="32"/>
        </w:rPr>
        <w:t>2025年度一般公共预算财政拨款支出决算数为8184.18万元，全年预算数为8184.18万元，执行率为100%。各项支出决算具体情况如下：</w:t>
      </w:r>
    </w:p>
    <w:p w14:paraId="7EB36DD9">
      <w:pPr>
        <w:spacing w:after="0" w:line="560" w:lineRule="exact"/>
        <w:ind w:firstLine="640"/>
        <w:jc w:val="both"/>
      </w:pPr>
      <w:r>
        <w:rPr>
          <w:rFonts w:ascii="Times New Roman" w:hAnsi="Times New Roman" w:eastAsia="FangSong_GB2312" w:cs="Times New Roman"/>
          <w:color w:val="000000"/>
          <w:sz w:val="32"/>
          <w:szCs w:val="32"/>
        </w:rPr>
        <w:t>1．一般公共服务（类）政府办公厅（室）及相关机构事务（款）事业运行（项）：支出决算为0.51万元，完成预算数100%，决算数与预算数持平。</w:t>
      </w:r>
    </w:p>
    <w:p w14:paraId="4F90C8A1">
      <w:pPr>
        <w:spacing w:after="0" w:line="560" w:lineRule="exact"/>
        <w:ind w:firstLine="640"/>
        <w:jc w:val="both"/>
      </w:pPr>
      <w:r>
        <w:rPr>
          <w:rFonts w:ascii="Times New Roman" w:hAnsi="Times New Roman" w:eastAsia="FangSong_GB2312" w:cs="Times New Roman"/>
          <w:color w:val="000000"/>
          <w:sz w:val="32"/>
          <w:szCs w:val="32"/>
        </w:rPr>
        <w:t>2．一般公共服务（类）发展与改革事务（款）事业运行（项）：支出决算为2.37万元，完成预算数100%，决算数与预算数持平。</w:t>
      </w:r>
    </w:p>
    <w:p w14:paraId="56D61215">
      <w:pPr>
        <w:spacing w:after="0" w:line="560" w:lineRule="exact"/>
        <w:ind w:firstLine="640"/>
        <w:jc w:val="both"/>
      </w:pPr>
      <w:r>
        <w:rPr>
          <w:rFonts w:ascii="Times New Roman" w:hAnsi="Times New Roman" w:eastAsia="FangSong_GB2312" w:cs="Times New Roman"/>
          <w:color w:val="000000"/>
          <w:sz w:val="32"/>
          <w:szCs w:val="32"/>
        </w:rPr>
        <w:t>3．一般公共服务（类）商贸事务（款）行政运行（项）：支出决算为184.66万元，完成预算数100%，决算数与预算数持平。</w:t>
      </w:r>
    </w:p>
    <w:p w14:paraId="7F09219A">
      <w:pPr>
        <w:spacing w:after="0" w:line="560" w:lineRule="exact"/>
        <w:ind w:firstLine="640"/>
        <w:jc w:val="both"/>
      </w:pPr>
      <w:r>
        <w:rPr>
          <w:rFonts w:ascii="Times New Roman" w:hAnsi="Times New Roman" w:eastAsia="FangSong_GB2312" w:cs="Times New Roman"/>
          <w:color w:val="000000"/>
          <w:sz w:val="32"/>
          <w:szCs w:val="32"/>
        </w:rPr>
        <w:t>4．一般公共服务（类）商贸事务（款）事业运行（项）：支出决算为93.52万元，完成预算数100%，决算数与预算数持平。</w:t>
      </w:r>
    </w:p>
    <w:p w14:paraId="15CBD4DF">
      <w:pPr>
        <w:spacing w:after="0" w:line="560" w:lineRule="exact"/>
        <w:ind w:firstLine="640"/>
        <w:jc w:val="both"/>
      </w:pPr>
      <w:r>
        <w:rPr>
          <w:rFonts w:ascii="Times New Roman" w:hAnsi="Times New Roman" w:eastAsia="FangSong_GB2312" w:cs="Times New Roman"/>
          <w:color w:val="000000"/>
          <w:sz w:val="32"/>
          <w:szCs w:val="32"/>
        </w:rPr>
        <w:t>5．科学技术（类）技术研究与开发（款）其他技术研究与开发支出（项）：支出决算为1000.00万元，完成预算数100%，决算数与预算数持平。</w:t>
      </w:r>
    </w:p>
    <w:p w14:paraId="5C55A95B">
      <w:pPr>
        <w:spacing w:after="0" w:line="560" w:lineRule="exact"/>
        <w:ind w:firstLine="640"/>
        <w:jc w:val="both"/>
      </w:pPr>
      <w:r>
        <w:rPr>
          <w:rFonts w:ascii="Times New Roman" w:hAnsi="Times New Roman" w:eastAsia="FangSong_GB2312" w:cs="Times New Roman"/>
          <w:color w:val="000000"/>
          <w:sz w:val="32"/>
          <w:szCs w:val="32"/>
        </w:rPr>
        <w:t>6．科学技术（类）其他科学技术支出（款）其他科学技术支出（项）：支出决算为200.00万元，完成预算数100%，决算数与预算数持平。</w:t>
      </w:r>
    </w:p>
    <w:p w14:paraId="358D44EE">
      <w:pPr>
        <w:spacing w:after="0" w:line="560" w:lineRule="exact"/>
        <w:ind w:firstLine="640"/>
        <w:jc w:val="both"/>
      </w:pPr>
      <w:r>
        <w:rPr>
          <w:rFonts w:ascii="Times New Roman" w:hAnsi="Times New Roman" w:eastAsia="FangSong_GB2312" w:cs="Times New Roman"/>
          <w:color w:val="000000"/>
          <w:sz w:val="32"/>
          <w:szCs w:val="32"/>
        </w:rPr>
        <w:t>7．社会保障和就业（类）行政事业单位养老支出（款）机关事业单位基本养老保险缴费支出（项）：支出决算为29.14万元，完成预算数100%，决算数与预算数持平。</w:t>
      </w:r>
    </w:p>
    <w:p w14:paraId="20E7AC85">
      <w:pPr>
        <w:spacing w:after="0" w:line="560" w:lineRule="exact"/>
        <w:ind w:firstLine="640"/>
        <w:jc w:val="both"/>
      </w:pPr>
      <w:r>
        <w:rPr>
          <w:rFonts w:ascii="Times New Roman" w:hAnsi="Times New Roman" w:eastAsia="FangSong_GB2312" w:cs="Times New Roman"/>
          <w:color w:val="000000"/>
          <w:sz w:val="32"/>
          <w:szCs w:val="32"/>
        </w:rPr>
        <w:t>8．社会保障和就业（类）行政事业单位养老支出（款）机关事业单位职业年金缴费支出（项）：支出决算为14.57万元，完成预算数100%，决算数与预算数持平。</w:t>
      </w:r>
    </w:p>
    <w:p w14:paraId="423F7ACC">
      <w:pPr>
        <w:spacing w:after="0" w:line="560" w:lineRule="exact"/>
        <w:ind w:firstLine="640"/>
        <w:jc w:val="both"/>
      </w:pPr>
      <w:r>
        <w:rPr>
          <w:rFonts w:ascii="Times New Roman" w:hAnsi="Times New Roman" w:eastAsia="FangSong_GB2312" w:cs="Times New Roman"/>
          <w:color w:val="000000"/>
          <w:sz w:val="32"/>
          <w:szCs w:val="32"/>
        </w:rPr>
        <w:t>9．社会保障和就业（类）其他社会保障和就业支出（款）其他社会保障和就业支出（项）：支出决算为3.18万元，完成预算数100%，决算数与预算数持平。</w:t>
      </w:r>
    </w:p>
    <w:p w14:paraId="150D40AA">
      <w:pPr>
        <w:spacing w:after="0" w:line="560" w:lineRule="exact"/>
        <w:ind w:firstLine="640"/>
        <w:jc w:val="both"/>
      </w:pPr>
      <w:r>
        <w:rPr>
          <w:rFonts w:ascii="Times New Roman" w:hAnsi="Times New Roman" w:eastAsia="FangSong_GB2312" w:cs="Times New Roman"/>
          <w:color w:val="000000"/>
          <w:sz w:val="32"/>
          <w:szCs w:val="32"/>
        </w:rPr>
        <w:t>10．卫生健康（类）行政事业单位医疗（款）行政单位医疗（项）：支出决算为4.79万元，完成预算数100%，决算数与预算数持平。</w:t>
      </w:r>
    </w:p>
    <w:p w14:paraId="1B72D2AF">
      <w:pPr>
        <w:spacing w:after="0" w:line="560" w:lineRule="exact"/>
        <w:ind w:firstLine="640"/>
        <w:jc w:val="both"/>
      </w:pPr>
      <w:r>
        <w:rPr>
          <w:rFonts w:ascii="Times New Roman" w:hAnsi="Times New Roman" w:eastAsia="FangSong_GB2312" w:cs="Times New Roman"/>
          <w:color w:val="000000"/>
          <w:sz w:val="32"/>
          <w:szCs w:val="32"/>
        </w:rPr>
        <w:t>11．卫生健康（类）行政事业单位医疗（款）事业单位医疗（项）：支出决算为3.34万元，完成预算数100%，决算数与预算数持平。</w:t>
      </w:r>
    </w:p>
    <w:p w14:paraId="394E8602">
      <w:pPr>
        <w:spacing w:after="0" w:line="560" w:lineRule="exact"/>
        <w:ind w:firstLine="640"/>
        <w:jc w:val="both"/>
      </w:pPr>
      <w:r>
        <w:rPr>
          <w:rFonts w:ascii="Times New Roman" w:hAnsi="Times New Roman" w:eastAsia="FangSong_GB2312" w:cs="Times New Roman"/>
          <w:color w:val="000000"/>
          <w:sz w:val="32"/>
          <w:szCs w:val="32"/>
        </w:rPr>
        <w:t>12．卫生健康（类）行政事业单位医疗（款）公务员医疗补助（项）：支出决算为0.59万元，完成预算数100%，决算数与预算数持平。</w:t>
      </w:r>
    </w:p>
    <w:p w14:paraId="12008298">
      <w:pPr>
        <w:spacing w:after="0" w:line="560" w:lineRule="exact"/>
        <w:ind w:firstLine="640"/>
        <w:jc w:val="both"/>
      </w:pPr>
      <w:r>
        <w:rPr>
          <w:rFonts w:ascii="Times New Roman" w:hAnsi="Times New Roman" w:eastAsia="FangSong_GB2312" w:cs="Times New Roman"/>
          <w:color w:val="000000"/>
          <w:sz w:val="32"/>
          <w:szCs w:val="32"/>
        </w:rPr>
        <w:t>13．卫生健康（类）行政事业单位医疗（款）其他行政事业单位医疗支出（项）：支出决算为1.05万元，完成预算数100%，决算数与预算数持平。</w:t>
      </w:r>
    </w:p>
    <w:p w14:paraId="493E357C">
      <w:pPr>
        <w:spacing w:after="0" w:line="560" w:lineRule="exact"/>
        <w:ind w:firstLine="640"/>
        <w:jc w:val="both"/>
      </w:pPr>
      <w:r>
        <w:rPr>
          <w:rFonts w:ascii="Times New Roman" w:hAnsi="Times New Roman" w:eastAsia="FangSong_GB2312" w:cs="Times New Roman"/>
          <w:color w:val="000000"/>
          <w:sz w:val="32"/>
          <w:szCs w:val="32"/>
        </w:rPr>
        <w:t>14．农林水（类）巩固脱贫攻坚成果衔接乡村振兴（款）其他巩固脱贫攻坚成果衔接乡村振兴支出（项）：支出决算为107.93万元，完成预算数100%，决算数与预算数持平。</w:t>
      </w:r>
    </w:p>
    <w:p w14:paraId="7745693E">
      <w:pPr>
        <w:spacing w:after="0" w:line="560" w:lineRule="exact"/>
        <w:ind w:firstLine="640"/>
        <w:jc w:val="both"/>
      </w:pPr>
      <w:r>
        <w:rPr>
          <w:rFonts w:ascii="Times New Roman" w:hAnsi="Times New Roman" w:eastAsia="FangSong_GB2312" w:cs="Times New Roman"/>
          <w:color w:val="000000"/>
          <w:sz w:val="32"/>
          <w:szCs w:val="32"/>
        </w:rPr>
        <w:t>15．资源勘探工业信息等（类）制造业（款）其他制造业支出（项）：支出决算为957.78万元，完成预算数100%，决算数与预算数持平。</w:t>
      </w:r>
    </w:p>
    <w:p w14:paraId="6A54691F">
      <w:pPr>
        <w:spacing w:after="0" w:line="560" w:lineRule="exact"/>
        <w:ind w:firstLine="640"/>
        <w:jc w:val="both"/>
      </w:pPr>
      <w:r>
        <w:rPr>
          <w:rFonts w:ascii="Times New Roman" w:hAnsi="Times New Roman" w:eastAsia="FangSong_GB2312" w:cs="Times New Roman"/>
          <w:color w:val="000000"/>
          <w:sz w:val="32"/>
          <w:szCs w:val="32"/>
        </w:rPr>
        <w:t>16．资源勘探工业信息等（类）工业和信息产业（款）产业发展（项）：支出决算为2907.20万元，完成预算数100%，决算数与预算数持平。</w:t>
      </w:r>
    </w:p>
    <w:p w14:paraId="446B4CA4">
      <w:pPr>
        <w:spacing w:after="0" w:line="560" w:lineRule="exact"/>
        <w:ind w:firstLine="640"/>
        <w:jc w:val="both"/>
      </w:pPr>
      <w:r>
        <w:rPr>
          <w:rFonts w:ascii="Times New Roman" w:hAnsi="Times New Roman" w:eastAsia="FangSong_GB2312" w:cs="Times New Roman"/>
          <w:color w:val="000000"/>
          <w:sz w:val="32"/>
          <w:szCs w:val="32"/>
        </w:rPr>
        <w:t>17．资源勘探工业信息等（类）支持中小企业发展和管理支出（款）中小企业发展专项（项）：支出决算为34.80万元，完成预算数100%，决算数与预算数持平。</w:t>
      </w:r>
    </w:p>
    <w:p w14:paraId="6268DEA0">
      <w:pPr>
        <w:spacing w:after="0" w:line="560" w:lineRule="exact"/>
        <w:ind w:firstLine="640"/>
        <w:jc w:val="both"/>
      </w:pPr>
      <w:r>
        <w:rPr>
          <w:rFonts w:ascii="Times New Roman" w:hAnsi="Times New Roman" w:eastAsia="FangSong_GB2312" w:cs="Times New Roman"/>
          <w:color w:val="000000"/>
          <w:sz w:val="32"/>
          <w:szCs w:val="32"/>
        </w:rPr>
        <w:t>18．商业服务业等（类）商业流通事务（款）其他商业流通事务支出（项）：支出决算为1553.71万元，完成预算数100%，决算数与预算数持平。</w:t>
      </w:r>
    </w:p>
    <w:p w14:paraId="62D32D18">
      <w:pPr>
        <w:spacing w:after="0" w:line="560" w:lineRule="exact"/>
        <w:ind w:firstLine="640"/>
        <w:jc w:val="both"/>
      </w:pPr>
      <w:r>
        <w:rPr>
          <w:rFonts w:ascii="Times New Roman" w:hAnsi="Times New Roman" w:eastAsia="FangSong_GB2312" w:cs="Times New Roman"/>
          <w:color w:val="000000"/>
          <w:sz w:val="32"/>
          <w:szCs w:val="32"/>
        </w:rPr>
        <w:t>19．商业服务业等（类）涉外发展服务支出（款）其他涉外发展服务支出（项）：支出决算为30.25万元，完成预算数100%，决算数与预算数持平。</w:t>
      </w:r>
    </w:p>
    <w:p w14:paraId="7922A936">
      <w:pPr>
        <w:spacing w:after="0" w:line="560" w:lineRule="exact"/>
        <w:ind w:firstLine="640"/>
        <w:jc w:val="both"/>
      </w:pPr>
      <w:r>
        <w:rPr>
          <w:rFonts w:ascii="Times New Roman" w:hAnsi="Times New Roman" w:eastAsia="FangSong_GB2312" w:cs="Times New Roman"/>
          <w:color w:val="000000"/>
          <w:sz w:val="32"/>
          <w:szCs w:val="32"/>
        </w:rPr>
        <w:t>20．商业服务业等（类）其他商业服务业等支出（款）其他商业服务业等支出（项）：支出决算为1030.12万元，完成预算数100%，决算数与预算数持平。</w:t>
      </w:r>
    </w:p>
    <w:p w14:paraId="12A42950">
      <w:pPr>
        <w:spacing w:after="0" w:line="560" w:lineRule="exact"/>
        <w:ind w:firstLine="640"/>
        <w:jc w:val="both"/>
      </w:pPr>
      <w:r>
        <w:rPr>
          <w:rFonts w:ascii="Times New Roman" w:hAnsi="Times New Roman" w:eastAsia="FangSong_GB2312" w:cs="Times New Roman"/>
          <w:color w:val="000000"/>
          <w:sz w:val="32"/>
          <w:szCs w:val="32"/>
        </w:rPr>
        <w:t>21．住房保障（类）住房改革支出（款）住房公积金（项）：支出决算为24.67万元，完成预算数100%，决算数与预算数持平。</w:t>
      </w:r>
    </w:p>
    <w:p w14:paraId="06C40438">
      <w:pPr>
        <w:pStyle w:val="4"/>
        <w:spacing w:before="200" w:after="120" w:line="560" w:lineRule="exact"/>
        <w:outlineLvl w:val="1"/>
      </w:pPr>
      <w:bookmarkStart w:id="9" w:name="_Toc17153"/>
      <w:r>
        <w:rPr>
          <w:rFonts w:ascii="Times New Roman" w:hAnsi="Times New Roman" w:eastAsia="KaiTi_GB2312" w:cs="Times New Roman"/>
          <w:b/>
          <w:bCs/>
          <w:color w:val="000000"/>
          <w:sz w:val="32"/>
          <w:szCs w:val="32"/>
        </w:rPr>
        <w:t>六、一般公共预算财政拨款基本支出决算情况说明</w:t>
      </w:r>
      <w:bookmarkEnd w:id="9"/>
    </w:p>
    <w:p w14:paraId="1F92697F">
      <w:pPr>
        <w:spacing w:after="0" w:line="560" w:lineRule="exact"/>
        <w:ind w:firstLine="640"/>
        <w:jc w:val="both"/>
      </w:pPr>
      <w:r>
        <w:rPr>
          <w:rFonts w:ascii="Times New Roman" w:hAnsi="Times New Roman" w:eastAsia="FangSong_GB2312" w:cs="Times New Roman"/>
          <w:color w:val="000000"/>
          <w:sz w:val="32"/>
          <w:szCs w:val="32"/>
        </w:rPr>
        <w:t>2025年度一般公共预算财政拨款基本支出362.39万元，其中：</w:t>
      </w:r>
    </w:p>
    <w:p w14:paraId="554CCA55">
      <w:pPr>
        <w:spacing w:after="0" w:line="560" w:lineRule="exact"/>
        <w:ind w:firstLine="640"/>
        <w:jc w:val="both"/>
      </w:pPr>
      <w:r>
        <w:rPr>
          <w:rFonts w:ascii="Times New Roman" w:hAnsi="Times New Roman" w:eastAsia="FangSong_GB2312" w:cs="Times New Roman"/>
          <w:color w:val="000000"/>
          <w:sz w:val="32"/>
          <w:szCs w:val="32"/>
        </w:rPr>
        <w:t>人员经费319.94万元，主要包括：基本工资、津贴补贴、奖金、伙食补助费、绩效工资、机关事业单位基本养老保险缴费、职业年金缴费、职工基本医疗保险缴费、公务员医疗补助缴费、其他社会保障缴费、住房公积金、其他工资福利支出、医疗费补助、奖励金。</w:t>
      </w:r>
    </w:p>
    <w:p w14:paraId="4E142230">
      <w:pPr>
        <w:spacing w:after="0" w:line="560" w:lineRule="exact"/>
        <w:ind w:firstLine="640"/>
        <w:jc w:val="both"/>
      </w:pPr>
      <w:r>
        <w:rPr>
          <w:rFonts w:ascii="Times New Roman" w:hAnsi="Times New Roman" w:eastAsia="FangSong_GB2312" w:cs="Times New Roman"/>
          <w:color w:val="000000"/>
          <w:sz w:val="32"/>
          <w:szCs w:val="32"/>
        </w:rPr>
        <w:t>公用经费42.45万元，主要包括：办公费、邮电费、差旅费、公务接待费、劳务费、工会经费、福利费、其他交通费用、其他商品和服务支出。</w:t>
      </w:r>
    </w:p>
    <w:p w14:paraId="02BD9B2B">
      <w:pPr>
        <w:pStyle w:val="4"/>
        <w:spacing w:before="200" w:after="120" w:line="560" w:lineRule="exact"/>
        <w:outlineLvl w:val="1"/>
      </w:pPr>
      <w:bookmarkStart w:id="10" w:name="_Toc23432"/>
      <w:r>
        <w:rPr>
          <w:rFonts w:ascii="Times New Roman" w:hAnsi="Times New Roman" w:eastAsia="KaiTi_GB2312" w:cs="Times New Roman"/>
          <w:b/>
          <w:bCs/>
          <w:color w:val="000000"/>
          <w:sz w:val="32"/>
          <w:szCs w:val="32"/>
        </w:rPr>
        <w:t>七、财政拨款“三公”经费支出决算情况说明</w:t>
      </w:r>
      <w:bookmarkEnd w:id="10"/>
    </w:p>
    <w:p w14:paraId="14A69EA4">
      <w:pPr>
        <w:pStyle w:val="5"/>
        <w:spacing w:before="120" w:after="60" w:line="560" w:lineRule="exact"/>
        <w:ind w:firstLine="640"/>
        <w:outlineLvl w:val="2"/>
      </w:pPr>
      <w:r>
        <w:rPr>
          <w:rFonts w:ascii="Times New Roman" w:hAnsi="Times New Roman" w:eastAsia="FangSong_GB2312" w:cs="Times New Roman"/>
          <w:b/>
          <w:bCs/>
          <w:color w:val="000000"/>
          <w:sz w:val="32"/>
          <w:szCs w:val="32"/>
        </w:rPr>
        <w:t>（一）“三公”经费财政拨款支出决算总体情况说明</w:t>
      </w:r>
    </w:p>
    <w:p w14:paraId="469B1ACC">
      <w:pPr>
        <w:spacing w:after="0" w:line="560" w:lineRule="exact"/>
        <w:ind w:firstLine="640"/>
        <w:jc w:val="both"/>
      </w:pPr>
      <w:r>
        <w:rPr>
          <w:rFonts w:ascii="Times New Roman" w:hAnsi="Times New Roman" w:eastAsia="FangSong_GB2312" w:cs="Times New Roman"/>
          <w:color w:val="000000"/>
          <w:sz w:val="32"/>
          <w:szCs w:val="32"/>
        </w:rPr>
        <w:t>2025年度“三公”经费财政拨款支出决算为0.29万元，与全年预算数0.29万元持平；比2024年度决算数增加0.04万元，增长16.00%。主要原因是接待上级专项督查、跨地区交流频繁，按规定标准支出，致公务接待费增加。</w:t>
      </w:r>
    </w:p>
    <w:p w14:paraId="00F4CB32">
      <w:pPr>
        <w:pStyle w:val="5"/>
        <w:spacing w:before="120" w:after="60" w:line="560" w:lineRule="exact"/>
        <w:ind w:firstLine="640"/>
        <w:outlineLvl w:val="2"/>
      </w:pPr>
      <w:r>
        <w:rPr>
          <w:rFonts w:ascii="Times New Roman" w:hAnsi="Times New Roman" w:eastAsia="FangSong_GB2312" w:cs="Times New Roman"/>
          <w:b/>
          <w:bCs/>
          <w:color w:val="000000"/>
          <w:sz w:val="32"/>
          <w:szCs w:val="32"/>
        </w:rPr>
        <w:t>（二）“三公”经费财政拨款支出决算具体情况说明</w:t>
      </w:r>
    </w:p>
    <w:p w14:paraId="6F1B021A">
      <w:pPr>
        <w:spacing w:after="0" w:line="560" w:lineRule="exact"/>
        <w:ind w:firstLine="640"/>
        <w:jc w:val="both"/>
      </w:pPr>
      <w:r>
        <w:rPr>
          <w:rFonts w:ascii="Times New Roman" w:hAnsi="Times New Roman" w:eastAsia="FangSong_GB2312" w:cs="Times New Roman"/>
          <w:color w:val="000000"/>
          <w:sz w:val="32"/>
          <w:szCs w:val="32"/>
        </w:rPr>
        <w:t>2025年度“三公”经费财政拨款支出决算中，因公出国（境）费支出决算0万元；公务用车购置及运行维护费支出决算0万元；公务接待费支出决算0.29万元。具体情况如下：</w:t>
      </w:r>
    </w:p>
    <w:tbl>
      <w:tblPr>
        <w:tblStyle w:val="24"/>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5322B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4D1A3350">
            <w:pPr>
              <w:keepNext/>
              <w:spacing w:before="120" w:after="60" w:line="360" w:lineRule="auto"/>
              <w:jc w:val="center"/>
            </w:pPr>
            <w:r>
              <w:drawing>
                <wp:inline distT="0" distB="0" distL="0" distR="0">
                  <wp:extent cx="3810000" cy="252412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1"/>
                          <a:srcRect/>
                          <a:stretch>
                            <a:fillRect/>
                          </a:stretch>
                        </pic:blipFill>
                        <pic:spPr>
                          <a:xfrm>
                            <a:off x="0" y="0"/>
                            <a:ext cx="3810000" cy="2524125"/>
                          </a:xfrm>
                          <a:prstGeom prst="rect">
                            <a:avLst/>
                          </a:prstGeom>
                        </pic:spPr>
                      </pic:pic>
                    </a:graphicData>
                  </a:graphic>
                </wp:inline>
              </w:drawing>
            </w:r>
          </w:p>
          <w:p w14:paraId="70A8D4BA">
            <w:pPr>
              <w:spacing w:before="60" w:after="200" w:line="360" w:lineRule="auto"/>
              <w:jc w:val="center"/>
            </w:pPr>
            <w:r>
              <w:rPr>
                <w:rFonts w:ascii="Times New Roman" w:hAnsi="Times New Roman" w:eastAsia="KaiTi_GB2312" w:cs="Times New Roman"/>
                <w:color w:val="000000"/>
                <w:sz w:val="24"/>
                <w:szCs w:val="24"/>
              </w:rPr>
              <w:t>图7：财政拨款“三公”经费支出结构</w:t>
            </w:r>
          </w:p>
        </w:tc>
      </w:tr>
    </w:tbl>
    <w:p w14:paraId="752B3B43">
      <w:pPr>
        <w:spacing w:after="0" w:line="560" w:lineRule="exact"/>
        <w:ind w:firstLine="640"/>
        <w:jc w:val="both"/>
      </w:pPr>
      <w:r>
        <w:rPr>
          <w:rFonts w:ascii="Times New Roman" w:hAnsi="Times New Roman" w:eastAsia="FangSong_GB2312" w:cs="Times New Roman"/>
          <w:b/>
          <w:bCs/>
          <w:color w:val="000000"/>
          <w:sz w:val="32"/>
          <w:szCs w:val="32"/>
        </w:rPr>
        <w:t>1. 因公出国（境）经费支出0万元，与预算数持平。</w:t>
      </w:r>
      <w:r>
        <w:rPr>
          <w:rFonts w:ascii="Times New Roman" w:hAnsi="Times New Roman" w:eastAsia="FangSong_GB2312" w:cs="Times New Roman"/>
          <w:color w:val="000000"/>
          <w:sz w:val="32"/>
          <w:szCs w:val="32"/>
        </w:rPr>
        <w:t>全年安排因公出国（境）团组0次，出国（境）0人。因公出国（境）支出决算与2024年度持平。</w:t>
      </w:r>
    </w:p>
    <w:p w14:paraId="05F9C557">
      <w:pPr>
        <w:spacing w:after="0" w:line="560" w:lineRule="exact"/>
        <w:ind w:firstLine="640"/>
        <w:jc w:val="both"/>
      </w:pPr>
      <w:r>
        <w:rPr>
          <w:rFonts w:ascii="Times New Roman" w:hAnsi="Times New Roman" w:eastAsia="FangSong_GB2312" w:cs="Times New Roman"/>
          <w:b/>
          <w:bCs/>
          <w:color w:val="000000"/>
          <w:sz w:val="32"/>
          <w:szCs w:val="32"/>
        </w:rPr>
        <w:t>2. 公务用车购置及运行维护费支出0万元，与预算数持平。</w:t>
      </w:r>
      <w:r>
        <w:rPr>
          <w:rFonts w:ascii="Times New Roman" w:hAnsi="Times New Roman" w:eastAsia="FangSong_GB2312" w:cs="Times New Roman"/>
          <w:color w:val="000000"/>
          <w:sz w:val="32"/>
          <w:szCs w:val="32"/>
        </w:rPr>
        <w:t>公务用车购置及运行维护费支出决算与2024年度持平。</w:t>
      </w:r>
    </w:p>
    <w:p w14:paraId="171458F0">
      <w:pPr>
        <w:spacing w:after="0" w:line="560" w:lineRule="exact"/>
        <w:ind w:firstLine="640"/>
        <w:jc w:val="both"/>
      </w:pPr>
      <w:r>
        <w:rPr>
          <w:rFonts w:ascii="Times New Roman" w:hAnsi="Times New Roman" w:eastAsia="FangSong_GB2312" w:cs="Times New Roman"/>
          <w:color w:val="000000"/>
          <w:sz w:val="32"/>
          <w:szCs w:val="32"/>
        </w:rPr>
        <w:t>其中：</w:t>
      </w:r>
      <w:r>
        <w:rPr>
          <w:rFonts w:ascii="Times New Roman" w:hAnsi="Times New Roman" w:eastAsia="FangSong_GB2312" w:cs="Times New Roman"/>
          <w:b/>
          <w:bCs/>
          <w:color w:val="000000"/>
          <w:sz w:val="32"/>
          <w:szCs w:val="32"/>
        </w:rPr>
        <w:t>公务用车购置支出</w:t>
      </w:r>
      <w:r>
        <w:rPr>
          <w:rFonts w:ascii="Times New Roman" w:hAnsi="Times New Roman" w:eastAsia="FangSong_GB2312" w:cs="Times New Roman"/>
          <w:color w:val="000000"/>
          <w:sz w:val="32"/>
          <w:szCs w:val="32"/>
        </w:rPr>
        <w:t>0万元。全年按规定更新购置公务用车0辆、金额0万元。截至2025年12月31日，单位共有公务用车0辆</w:t>
      </w:r>
      <w:r>
        <w:rPr>
          <w:rFonts w:hint="eastAsia" w:ascii="Times New Roman" w:hAnsi="Times New Roman" w:eastAsia="FangSong_GB2312" w:cs="Times New Roman"/>
          <w:color w:val="000000"/>
          <w:sz w:val="32"/>
          <w:szCs w:val="32"/>
          <w:lang w:eastAsia="zh-CN"/>
        </w:rPr>
        <w:t>，</w:t>
      </w:r>
      <w:r>
        <w:rPr>
          <w:rFonts w:hint="eastAsia" w:ascii="Times New Roman" w:hAnsi="Times New Roman" w:eastAsia="FangSong_GB2312" w:cs="Times New Roman"/>
          <w:color w:val="000000"/>
          <w:sz w:val="32"/>
          <w:szCs w:val="32"/>
          <w:lang w:val="en-US" w:eastAsia="zh-CN"/>
        </w:rPr>
        <w:t>其中：轿车0辆、越野车0辆、载客汽车0辆</w:t>
      </w:r>
      <w:r>
        <w:rPr>
          <w:rFonts w:ascii="Times New Roman" w:hAnsi="Times New Roman" w:eastAsia="FangSong_GB2312" w:cs="Times New Roman"/>
          <w:color w:val="000000"/>
          <w:sz w:val="32"/>
          <w:szCs w:val="32"/>
        </w:rPr>
        <w:t>。</w:t>
      </w:r>
    </w:p>
    <w:p w14:paraId="09A18D7B">
      <w:pPr>
        <w:spacing w:after="0" w:line="560" w:lineRule="exact"/>
        <w:ind w:firstLine="640"/>
        <w:jc w:val="both"/>
      </w:pPr>
      <w:r>
        <w:rPr>
          <w:rFonts w:ascii="Times New Roman" w:hAnsi="Times New Roman" w:eastAsia="FangSong_GB2312" w:cs="Times New Roman"/>
          <w:b/>
          <w:bCs/>
          <w:color w:val="000000"/>
          <w:sz w:val="32"/>
          <w:szCs w:val="32"/>
        </w:rPr>
        <w:t>公务用车运行维护费支出0万元。</w:t>
      </w:r>
    </w:p>
    <w:p w14:paraId="7D621ACE">
      <w:pPr>
        <w:spacing w:after="0" w:line="560" w:lineRule="exact"/>
        <w:ind w:firstLine="640"/>
        <w:jc w:val="both"/>
      </w:pPr>
      <w:r>
        <w:rPr>
          <w:rFonts w:ascii="Times New Roman" w:hAnsi="Times New Roman" w:eastAsia="FangSong_GB2312" w:cs="Times New Roman"/>
          <w:b/>
          <w:bCs/>
          <w:color w:val="000000"/>
          <w:sz w:val="32"/>
          <w:szCs w:val="32"/>
        </w:rPr>
        <w:t>3. 公务接待费支出0.29万元，完成预算100%。</w:t>
      </w:r>
      <w:r>
        <w:rPr>
          <w:rFonts w:ascii="Times New Roman" w:hAnsi="Times New Roman" w:eastAsia="FangSong_GB2312" w:cs="Times New Roman"/>
          <w:color w:val="000000"/>
          <w:sz w:val="32"/>
          <w:szCs w:val="32"/>
        </w:rPr>
        <w:t>公务接待费支出决算比上年度增加0.04万元，增长16.00%。主要原因是接待上级专项督查、跨地区交流频繁，按规定标准支出。其中：</w:t>
      </w:r>
    </w:p>
    <w:p w14:paraId="4D1E0518">
      <w:pPr>
        <w:spacing w:after="0" w:line="560" w:lineRule="exact"/>
        <w:ind w:firstLine="640"/>
        <w:jc w:val="both"/>
      </w:pPr>
      <w:r>
        <w:rPr>
          <w:rFonts w:ascii="Times New Roman" w:hAnsi="Times New Roman" w:eastAsia="FangSong_GB2312" w:cs="Times New Roman"/>
          <w:color w:val="000000"/>
          <w:sz w:val="32"/>
          <w:szCs w:val="32"/>
        </w:rPr>
        <w:t>国内公务接待支出0.29万元，主要用于执行公务、开展业务活动开支的交通费、住宿费、用餐费等。国内公务接待5批次，35人次（不包括陪同人员），共计支出0.29万元。</w:t>
      </w:r>
    </w:p>
    <w:p w14:paraId="00CF048C">
      <w:pPr>
        <w:spacing w:after="0" w:line="560" w:lineRule="exact"/>
        <w:ind w:firstLine="640"/>
        <w:jc w:val="both"/>
      </w:pPr>
      <w:r>
        <w:rPr>
          <w:rFonts w:ascii="Times New Roman" w:hAnsi="Times New Roman" w:eastAsia="FangSong_GB2312" w:cs="Times New Roman"/>
          <w:color w:val="000000"/>
          <w:sz w:val="32"/>
          <w:szCs w:val="32"/>
        </w:rPr>
        <w:t>外事接待支出0万元。外事接待0批次，0人次（不包括陪同人员），共计支出0万元。</w:t>
      </w:r>
    </w:p>
    <w:p w14:paraId="1726DB00">
      <w:pPr>
        <w:pStyle w:val="4"/>
        <w:spacing w:before="200" w:after="120" w:line="560" w:lineRule="exact"/>
        <w:outlineLvl w:val="1"/>
      </w:pPr>
      <w:bookmarkStart w:id="11" w:name="_Toc4014"/>
      <w:r>
        <w:rPr>
          <w:rFonts w:ascii="Times New Roman" w:hAnsi="Times New Roman" w:eastAsia="KaiTi_GB2312" w:cs="Times New Roman"/>
          <w:b/>
          <w:bCs/>
          <w:color w:val="000000"/>
          <w:sz w:val="32"/>
          <w:szCs w:val="32"/>
        </w:rPr>
        <w:t>八、政府性基金预算支出决算情况说明</w:t>
      </w:r>
      <w:bookmarkEnd w:id="11"/>
    </w:p>
    <w:p w14:paraId="7F801D31">
      <w:pPr>
        <w:spacing w:after="0" w:line="560" w:lineRule="exact"/>
        <w:ind w:firstLine="640"/>
        <w:jc w:val="both"/>
      </w:pPr>
      <w:r>
        <w:rPr>
          <w:rFonts w:ascii="Times New Roman" w:hAnsi="Times New Roman" w:eastAsia="FangSong_GB2312" w:cs="Times New Roman"/>
          <w:color w:val="000000"/>
          <w:sz w:val="32"/>
          <w:szCs w:val="32"/>
        </w:rPr>
        <w:t>2025年度政府性基金预算财政拨款支出4275.58万元，与2024年度相比增加1804.78万元，增长73.04%。主要变动原因是本年度为推进特定工作任务，项目支出预算有所增加。</w:t>
      </w:r>
    </w:p>
    <w:p w14:paraId="625D378A">
      <w:pPr>
        <w:pStyle w:val="4"/>
        <w:spacing w:before="200" w:after="120" w:line="560" w:lineRule="exact"/>
        <w:outlineLvl w:val="1"/>
      </w:pPr>
      <w:bookmarkStart w:id="12" w:name="_Toc8381"/>
      <w:r>
        <w:rPr>
          <w:rFonts w:ascii="Times New Roman" w:hAnsi="Times New Roman" w:eastAsia="KaiTi_GB2312" w:cs="Times New Roman"/>
          <w:b/>
          <w:bCs/>
          <w:color w:val="000000"/>
          <w:sz w:val="32"/>
          <w:szCs w:val="32"/>
        </w:rPr>
        <w:t>九、国有资本经营预算支出决算情况说明</w:t>
      </w:r>
      <w:bookmarkEnd w:id="12"/>
    </w:p>
    <w:p w14:paraId="3E903964">
      <w:pPr>
        <w:spacing w:after="0" w:line="560" w:lineRule="exact"/>
        <w:ind w:firstLine="640"/>
        <w:jc w:val="both"/>
      </w:pPr>
      <w:r>
        <w:rPr>
          <w:rFonts w:ascii="Times New Roman" w:hAnsi="Times New Roman" w:eastAsia="FangSong_GB2312" w:cs="Times New Roman"/>
          <w:color w:val="000000"/>
          <w:sz w:val="32"/>
          <w:szCs w:val="32"/>
        </w:rPr>
        <w:t>2025年度国有资本经营预算财政拨款支出0万元，与2024年度持平。</w:t>
      </w:r>
    </w:p>
    <w:p w14:paraId="7346F42F">
      <w:pPr>
        <w:pStyle w:val="4"/>
        <w:spacing w:before="200" w:after="120" w:line="560" w:lineRule="exact"/>
        <w:outlineLvl w:val="1"/>
      </w:pPr>
      <w:bookmarkStart w:id="13" w:name="_Toc12539"/>
      <w:r>
        <w:rPr>
          <w:rFonts w:ascii="Times New Roman" w:hAnsi="Times New Roman" w:eastAsia="KaiTi_GB2312" w:cs="Times New Roman"/>
          <w:b/>
          <w:bCs/>
          <w:color w:val="000000"/>
          <w:sz w:val="32"/>
          <w:szCs w:val="32"/>
        </w:rPr>
        <w:t>十、其他重要事项的情况说明</w:t>
      </w:r>
      <w:bookmarkEnd w:id="13"/>
    </w:p>
    <w:p w14:paraId="13461CCD">
      <w:pPr>
        <w:pStyle w:val="5"/>
        <w:spacing w:before="120" w:after="60" w:line="560" w:lineRule="exact"/>
        <w:ind w:firstLine="640"/>
        <w:outlineLvl w:val="2"/>
      </w:pPr>
      <w:r>
        <w:rPr>
          <w:rFonts w:ascii="Times New Roman" w:hAnsi="Times New Roman" w:eastAsia="FangSong_GB2312" w:cs="Times New Roman"/>
          <w:b/>
          <w:bCs/>
          <w:color w:val="000000"/>
          <w:sz w:val="32"/>
          <w:szCs w:val="32"/>
        </w:rPr>
        <w:t>（一）机关运行经费支出情况</w:t>
      </w:r>
    </w:p>
    <w:p w14:paraId="5D0904B8">
      <w:pPr>
        <w:spacing w:after="0" w:line="560" w:lineRule="exact"/>
        <w:ind w:firstLine="640"/>
        <w:jc w:val="both"/>
      </w:pPr>
      <w:r>
        <w:rPr>
          <w:rFonts w:ascii="Times New Roman" w:hAnsi="Times New Roman" w:eastAsia="FangSong_GB2312" w:cs="Times New Roman"/>
          <w:color w:val="000000"/>
          <w:sz w:val="32"/>
          <w:szCs w:val="32"/>
        </w:rPr>
        <w:t>2025年，马边彝族自治县经济和信息化局机关运行经费支出42.45万元，比2024年度增加16.21万元，增长61.78%。主要原因是受物价因素影响，维持正常运转的办公、水电等刚性支出成本同比有所增加。</w:t>
      </w:r>
    </w:p>
    <w:p w14:paraId="6099E043">
      <w:pPr>
        <w:pStyle w:val="5"/>
        <w:spacing w:before="120" w:after="60" w:line="560" w:lineRule="exact"/>
        <w:ind w:firstLine="640"/>
        <w:outlineLvl w:val="2"/>
      </w:pPr>
      <w:r>
        <w:rPr>
          <w:rFonts w:ascii="Times New Roman" w:hAnsi="Times New Roman" w:eastAsia="FangSong_GB2312" w:cs="Times New Roman"/>
          <w:b/>
          <w:bCs/>
          <w:color w:val="000000"/>
          <w:sz w:val="32"/>
          <w:szCs w:val="32"/>
        </w:rPr>
        <w:t>（二）政府采购支出情况</w:t>
      </w:r>
    </w:p>
    <w:p w14:paraId="1688FAAD">
      <w:pPr>
        <w:spacing w:after="0" w:line="560" w:lineRule="exact"/>
        <w:ind w:firstLine="640"/>
        <w:jc w:val="both"/>
      </w:pPr>
      <w:r>
        <w:rPr>
          <w:rFonts w:ascii="Times New Roman" w:hAnsi="Times New Roman" w:eastAsia="FangSong_GB2312" w:cs="Times New Roman"/>
          <w:color w:val="000000"/>
          <w:sz w:val="32"/>
          <w:szCs w:val="32"/>
        </w:rPr>
        <w:t>2025年度，</w:t>
      </w:r>
      <w:r>
        <w:rPr>
          <w:rFonts w:hint="eastAsia" w:ascii="Times New Roman" w:hAnsi="Times New Roman" w:eastAsia="FangSong_GB2312" w:cs="Times New Roman"/>
          <w:color w:val="000000"/>
          <w:sz w:val="32"/>
          <w:szCs w:val="32"/>
          <w:lang w:eastAsia="zh-CN"/>
        </w:rPr>
        <w:t>本部门</w:t>
      </w:r>
      <w:r>
        <w:rPr>
          <w:rFonts w:ascii="Times New Roman" w:hAnsi="Times New Roman" w:eastAsia="FangSong_GB2312" w:cs="Times New Roman"/>
          <w:color w:val="000000"/>
          <w:sz w:val="32"/>
          <w:szCs w:val="32"/>
        </w:rPr>
        <w:t>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404B2AF0">
      <w:pPr>
        <w:pStyle w:val="5"/>
        <w:spacing w:before="120" w:after="60" w:line="560" w:lineRule="exact"/>
        <w:ind w:firstLine="640"/>
        <w:outlineLvl w:val="2"/>
      </w:pPr>
      <w:r>
        <w:rPr>
          <w:rFonts w:ascii="Times New Roman" w:hAnsi="Times New Roman" w:eastAsia="FangSong_GB2312" w:cs="Times New Roman"/>
          <w:b/>
          <w:bCs/>
          <w:color w:val="000000"/>
          <w:sz w:val="32"/>
          <w:szCs w:val="32"/>
        </w:rPr>
        <w:t>（三）国有资产占有使用情况</w:t>
      </w:r>
    </w:p>
    <w:p w14:paraId="2296F144">
      <w:pPr>
        <w:spacing w:after="0" w:line="560" w:lineRule="exact"/>
        <w:ind w:firstLine="640"/>
        <w:jc w:val="both"/>
      </w:pPr>
      <w:r>
        <w:rPr>
          <w:rFonts w:ascii="Times New Roman" w:hAnsi="Times New Roman" w:eastAsia="FangSong_GB2312" w:cs="Times New Roman"/>
          <w:color w:val="000000"/>
          <w:sz w:val="32"/>
          <w:szCs w:val="32"/>
        </w:rPr>
        <w:t>截至2025年12月31日，</w:t>
      </w:r>
      <w:r>
        <w:rPr>
          <w:rFonts w:hint="eastAsia" w:ascii="Times New Roman" w:hAnsi="Times New Roman" w:eastAsia="FangSong_GB2312" w:cs="Times New Roman"/>
          <w:color w:val="000000"/>
          <w:sz w:val="32"/>
          <w:szCs w:val="32"/>
          <w:lang w:eastAsia="zh-CN"/>
        </w:rPr>
        <w:t>本部门</w:t>
      </w:r>
      <w:r>
        <w:rPr>
          <w:rFonts w:ascii="Times New Roman" w:hAnsi="Times New Roman" w:eastAsia="FangSong_GB2312" w:cs="Times New Roman"/>
          <w:color w:val="000000"/>
          <w:sz w:val="32"/>
          <w:szCs w:val="32"/>
        </w:rPr>
        <w:t>共有车辆0辆，其中：主要领导干部用车0辆、机要通信用车0辆、应急保障用车0辆、执法执勤用车0辆、特种专业技术用车0辆、其他用车0辆。单价100万元（含）以上设备（不含车辆）0台（套）。</w:t>
      </w:r>
    </w:p>
    <w:p w14:paraId="44EB9B49">
      <w:pPr>
        <w:pStyle w:val="5"/>
        <w:spacing w:before="120" w:after="60" w:line="560" w:lineRule="exact"/>
        <w:ind w:firstLine="640"/>
        <w:outlineLvl w:val="2"/>
      </w:pPr>
      <w:r>
        <w:rPr>
          <w:rFonts w:ascii="Times New Roman" w:hAnsi="Times New Roman" w:eastAsia="FangSong_GB2312" w:cs="Times New Roman"/>
          <w:b/>
          <w:bCs/>
          <w:color w:val="000000"/>
          <w:sz w:val="32"/>
          <w:szCs w:val="32"/>
        </w:rPr>
        <w:t>（四）预算绩效管理情况</w:t>
      </w:r>
    </w:p>
    <w:p w14:paraId="4C6CC206">
      <w:pPr>
        <w:spacing w:after="0" w:line="560" w:lineRule="exact"/>
        <w:ind w:firstLine="640"/>
        <w:jc w:val="both"/>
        <w:rPr>
          <w:rFonts w:hint="eastAsia" w:ascii="Times New Roman" w:hAnsi="Times New Roman" w:eastAsia="FangSong_GB2312" w:cs="Times New Roman"/>
          <w:color w:val="000000"/>
          <w:sz w:val="32"/>
          <w:szCs w:val="32"/>
          <w:lang w:eastAsia="zh-CN"/>
        </w:rPr>
      </w:pPr>
      <w:r>
        <w:rPr>
          <w:rFonts w:ascii="Times New Roman" w:hAnsi="Times New Roman" w:eastAsia="FangSong_GB2312" w:cs="Times New Roman"/>
          <w:color w:val="000000"/>
          <w:sz w:val="32"/>
          <w:szCs w:val="32"/>
        </w:rPr>
        <w:t>根据预算绩效管理要求，</w:t>
      </w:r>
      <w:r>
        <w:rPr>
          <w:rFonts w:hint="eastAsia" w:ascii="Times New Roman" w:hAnsi="Times New Roman" w:eastAsia="FangSong_GB2312" w:cs="Times New Roman"/>
          <w:color w:val="000000"/>
          <w:sz w:val="32"/>
          <w:szCs w:val="32"/>
          <w:lang w:eastAsia="zh-CN"/>
        </w:rPr>
        <w:t>本部门</w:t>
      </w:r>
      <w:r>
        <w:rPr>
          <w:rFonts w:ascii="Times New Roman" w:hAnsi="Times New Roman" w:eastAsia="FangSong_GB2312" w:cs="Times New Roman"/>
          <w:color w:val="000000"/>
          <w:sz w:val="32"/>
          <w:szCs w:val="32"/>
        </w:rPr>
        <w:t>在2025年度预算编制阶段，组织对</w:t>
      </w:r>
      <w:r>
        <w:rPr>
          <w:rFonts w:hint="eastAsia" w:ascii="Times New Roman" w:hAnsi="Times New Roman" w:eastAsia="FangSong_GB2312" w:cs="Times New Roman"/>
          <w:color w:val="000000"/>
          <w:sz w:val="32"/>
          <w:szCs w:val="32"/>
        </w:rPr>
        <w:t>2021年第二批省级工业发展资金、2021年脱贫攻坚特色农产品大联展暨年货采购节费用3.5万、2017年国家级电子商务进农村综合示范项目项目管理费用、2021年脱贫攻坚特色农产品大联展暨年货采购节费用60万、2023年第二批省级外经贸发展专项资金、2024年超长期特别国债资金（大规模设备更新和消费品以旧换新方向）、2024年第四批省级工业发展专项资金、2024年东西协作项目：越商走马边货入城项目（越商走马活动）、20</w:t>
      </w:r>
      <w:r>
        <w:rPr>
          <w:rFonts w:ascii="Times New Roman" w:hAnsi="Times New Roman" w:eastAsia="FangSong_GB2312" w:cs="Times New Roman"/>
          <w:color w:val="000000"/>
          <w:sz w:val="32"/>
          <w:szCs w:val="32"/>
        </w:rPr>
        <w:t>等</w:t>
      </w:r>
      <w:r>
        <w:rPr>
          <w:rFonts w:hint="eastAsia" w:ascii="Times New Roman" w:hAnsi="Times New Roman" w:eastAsia="FangSong_GB2312" w:cs="Times New Roman"/>
          <w:color w:val="000000"/>
          <w:sz w:val="32"/>
          <w:szCs w:val="32"/>
          <w:lang w:val="en-US" w:eastAsia="zh-CN"/>
        </w:rPr>
        <w:t>28</w:t>
      </w:r>
      <w:r>
        <w:rPr>
          <w:rFonts w:ascii="Times New Roman" w:hAnsi="Times New Roman" w:eastAsia="FangSong_GB2312" w:cs="Times New Roman"/>
          <w:color w:val="000000"/>
          <w:sz w:val="32"/>
          <w:szCs w:val="32"/>
        </w:rPr>
        <w:t>个项目开展了预算事前绩效评估，对</w:t>
      </w:r>
      <w:r>
        <w:rPr>
          <w:rFonts w:hint="eastAsia" w:ascii="Times New Roman" w:hAnsi="Times New Roman" w:eastAsia="FangSong_GB2312" w:cs="Times New Roman"/>
          <w:color w:val="000000"/>
          <w:sz w:val="32"/>
          <w:szCs w:val="32"/>
          <w:lang w:val="en-US" w:eastAsia="zh-CN"/>
        </w:rPr>
        <w:t>28</w:t>
      </w:r>
      <w:r>
        <w:rPr>
          <w:rFonts w:ascii="Times New Roman" w:hAnsi="Times New Roman" w:eastAsia="FangSong_GB2312" w:cs="Times New Roman"/>
          <w:color w:val="000000"/>
          <w:sz w:val="32"/>
          <w:szCs w:val="32"/>
        </w:rPr>
        <w:t>个项目编制了绩效目标，预算执行过程中，选取</w:t>
      </w:r>
      <w:r>
        <w:rPr>
          <w:rFonts w:hint="eastAsia" w:ascii="Times New Roman" w:hAnsi="Times New Roman" w:eastAsia="FangSong_GB2312" w:cs="Times New Roman"/>
          <w:color w:val="000000"/>
          <w:sz w:val="32"/>
          <w:szCs w:val="32"/>
          <w:lang w:val="en-US" w:eastAsia="zh-CN"/>
        </w:rPr>
        <w:t>28</w:t>
      </w:r>
      <w:r>
        <w:rPr>
          <w:rFonts w:ascii="Times New Roman" w:hAnsi="Times New Roman" w:eastAsia="FangSong_GB2312" w:cs="Times New Roman"/>
          <w:color w:val="000000"/>
          <w:sz w:val="32"/>
          <w:szCs w:val="32"/>
        </w:rPr>
        <w:t>个项目开展绩效监控</w:t>
      </w:r>
      <w:r>
        <w:rPr>
          <w:rFonts w:hint="eastAsia" w:ascii="Times New Roman" w:hAnsi="Times New Roman" w:eastAsia="FangSong_GB2312" w:cs="Times New Roman"/>
          <w:color w:val="000000"/>
          <w:sz w:val="32"/>
          <w:szCs w:val="32"/>
          <w:lang w:eastAsia="zh-CN"/>
        </w:rPr>
        <w:t>。</w:t>
      </w:r>
    </w:p>
    <w:p w14:paraId="0B2BC1E1">
      <w:pPr>
        <w:spacing w:after="0" w:line="560" w:lineRule="exact"/>
        <w:ind w:firstLine="640"/>
        <w:jc w:val="both"/>
      </w:pPr>
      <w:r>
        <w:rPr>
          <w:rFonts w:hint="eastAsia" w:ascii="Times New Roman" w:hAnsi="Times New Roman" w:eastAsia="FangSong_GB2312" w:cs="Times New Roman"/>
          <w:color w:val="000000"/>
          <w:sz w:val="32"/>
          <w:szCs w:val="32"/>
        </w:rPr>
        <w:t>组织对2025年度一般公共预算、政府性基金预算、国有资本经营预算、社会保险基金预算以及资本资产、债券资金等全面开展绩效自评，形成马边彝族自治县经济和信息化局部门整体（含部门预算项目）绩效自评报告，其中，部门整体（含部门预算项目）绩效自评得分为</w:t>
      </w:r>
      <w:r>
        <w:rPr>
          <w:rFonts w:hint="eastAsia" w:ascii="Times New Roman" w:hAnsi="Times New Roman" w:eastAsia="FangSong_GB2312" w:cs="Times New Roman"/>
          <w:color w:val="000000"/>
          <w:sz w:val="32"/>
          <w:szCs w:val="32"/>
          <w:lang w:val="en-US" w:eastAsia="zh-CN"/>
        </w:rPr>
        <w:t>94</w:t>
      </w:r>
      <w:r>
        <w:rPr>
          <w:rFonts w:hint="eastAsia" w:ascii="Times New Roman" w:hAnsi="Times New Roman" w:eastAsia="FangSong_GB2312" w:cs="Times New Roman"/>
          <w:color w:val="000000"/>
          <w:sz w:val="32"/>
          <w:szCs w:val="32"/>
        </w:rPr>
        <w:t>分，绩效自评综述基本达到预期目标。绩效自评报告详见附件</w:t>
      </w:r>
      <w:r>
        <w:rPr>
          <w:rFonts w:ascii="Times New Roman" w:hAnsi="Times New Roman" w:eastAsia="FangSong_GB2312" w:cs="Times New Roman"/>
          <w:color w:val="000000"/>
          <w:sz w:val="32"/>
          <w:szCs w:val="32"/>
        </w:rPr>
        <w:t>。</w:t>
      </w:r>
    </w:p>
    <w:p w14:paraId="51911FD6">
      <w:r>
        <w:br w:type="page"/>
      </w:r>
    </w:p>
    <w:p w14:paraId="12CC46F7">
      <w:pPr>
        <w:pStyle w:val="3"/>
        <w:spacing w:before="260" w:after="160" w:line="560" w:lineRule="exact"/>
        <w:outlineLvl w:val="0"/>
      </w:pPr>
      <w:bookmarkStart w:id="14" w:name="_Toc4660"/>
      <w:r>
        <w:rPr>
          <w:rFonts w:ascii="Times New Roman" w:hAnsi="Times New Roman" w:eastAsia="黑体" w:cs="Times New Roman"/>
          <w:color w:val="000000"/>
          <w:sz w:val="32"/>
          <w:szCs w:val="32"/>
        </w:rPr>
        <w:t>第三部分  名词解释</w:t>
      </w:r>
      <w:bookmarkEnd w:id="14"/>
    </w:p>
    <w:p w14:paraId="0B307778">
      <w:pPr>
        <w:spacing w:after="0" w:line="560" w:lineRule="exact"/>
        <w:ind w:firstLine="640"/>
        <w:jc w:val="both"/>
      </w:pPr>
      <w:r>
        <w:rPr>
          <w:rFonts w:ascii="Times New Roman" w:hAnsi="Times New Roman" w:eastAsia="FangSong_GB2312" w:cs="Times New Roman"/>
          <w:color w:val="000000"/>
          <w:sz w:val="32"/>
          <w:szCs w:val="32"/>
        </w:rPr>
        <w:t>1．财政拨款收入：指单位从同级财政部门取得的财政预算资金。</w:t>
      </w:r>
    </w:p>
    <w:p w14:paraId="7FFCB8CA">
      <w:pPr>
        <w:spacing w:after="0" w:line="560" w:lineRule="exact"/>
        <w:ind w:firstLine="640"/>
        <w:jc w:val="both"/>
      </w:pPr>
      <w:r>
        <w:rPr>
          <w:rFonts w:ascii="Times New Roman" w:hAnsi="Times New Roman" w:eastAsia="FangSong_GB2312" w:cs="Times New Roman"/>
          <w:color w:val="000000"/>
          <w:sz w:val="32"/>
          <w:szCs w:val="32"/>
        </w:rPr>
        <w:t>2．事业收入：指事业单位开展专业业务活动及辅助活动取得的收入。</w:t>
      </w:r>
    </w:p>
    <w:p w14:paraId="6FBB4863">
      <w:pPr>
        <w:spacing w:after="0" w:line="560" w:lineRule="exact"/>
        <w:ind w:firstLine="640"/>
        <w:jc w:val="both"/>
      </w:pPr>
      <w:r>
        <w:rPr>
          <w:rFonts w:ascii="Times New Roman" w:hAnsi="Times New Roman" w:eastAsia="FangSong_GB2312" w:cs="Times New Roman"/>
          <w:color w:val="000000"/>
          <w:sz w:val="32"/>
          <w:szCs w:val="32"/>
        </w:rPr>
        <w:t>3．经营收入：指事业单位在专业业务活动及其辅助活动之外开展非独立核算经营活动取得的收入。</w:t>
      </w:r>
    </w:p>
    <w:p w14:paraId="1CB06803">
      <w:pPr>
        <w:spacing w:after="0" w:line="560" w:lineRule="exact"/>
        <w:ind w:firstLine="640"/>
        <w:jc w:val="both"/>
      </w:pPr>
      <w:r>
        <w:rPr>
          <w:rFonts w:ascii="Times New Roman" w:hAnsi="Times New Roman" w:eastAsia="FangSong_GB2312" w:cs="Times New Roman"/>
          <w:color w:val="000000"/>
          <w:sz w:val="32"/>
          <w:szCs w:val="32"/>
        </w:rPr>
        <w:t>4．其他收入：指单位取得的除上述收入以外的各项收入。</w:t>
      </w:r>
    </w:p>
    <w:p w14:paraId="23E74805">
      <w:pPr>
        <w:spacing w:after="0" w:line="560" w:lineRule="exact"/>
        <w:ind w:firstLine="640"/>
        <w:jc w:val="both"/>
      </w:pPr>
      <w:r>
        <w:rPr>
          <w:rFonts w:ascii="Times New Roman" w:hAnsi="Times New Roman" w:eastAsia="FangSong_GB2312" w:cs="Times New Roman"/>
          <w:color w:val="000000"/>
          <w:sz w:val="32"/>
          <w:szCs w:val="32"/>
        </w:rPr>
        <w:t>5．使用非财政拨款结余：指事业单位使用以前年度积累的非财政拨款结余弥补当年收支差额的金额。</w:t>
      </w:r>
    </w:p>
    <w:p w14:paraId="5290B53A">
      <w:pPr>
        <w:spacing w:after="0" w:line="560" w:lineRule="exact"/>
        <w:ind w:firstLine="640"/>
        <w:jc w:val="both"/>
      </w:pPr>
      <w:r>
        <w:rPr>
          <w:rFonts w:ascii="Times New Roman" w:hAnsi="Times New Roman" w:eastAsia="FangSong_GB2312" w:cs="Times New Roman"/>
          <w:color w:val="000000"/>
          <w:sz w:val="32"/>
          <w:szCs w:val="32"/>
        </w:rPr>
        <w:t>6．年初结转和结余：指以前年度尚未完成、结转到本年按有关规定继续使用的资金。</w:t>
      </w:r>
    </w:p>
    <w:p w14:paraId="1532FF47">
      <w:pPr>
        <w:spacing w:after="0" w:line="560" w:lineRule="exact"/>
        <w:ind w:firstLine="640"/>
        <w:jc w:val="both"/>
      </w:pPr>
      <w:r>
        <w:rPr>
          <w:rFonts w:ascii="Times New Roman" w:hAnsi="Times New Roman" w:eastAsia="FangSong_GB2312" w:cs="Times New Roman"/>
          <w:color w:val="000000"/>
          <w:sz w:val="32"/>
          <w:szCs w:val="32"/>
        </w:rPr>
        <w:t>7．结余分配：指事业单位按照会计制度规定缴纳的所得税、提取的专用结余以及转入非财政拨款结余的金额等。</w:t>
      </w:r>
    </w:p>
    <w:p w14:paraId="38DC1EB6">
      <w:pPr>
        <w:spacing w:after="0" w:line="560" w:lineRule="exact"/>
        <w:ind w:firstLine="640"/>
        <w:jc w:val="both"/>
      </w:pPr>
      <w:r>
        <w:rPr>
          <w:rFonts w:ascii="Times New Roman" w:hAnsi="Times New Roman" w:eastAsia="FangSong_GB2312" w:cs="Times New Roman"/>
          <w:color w:val="000000"/>
          <w:sz w:val="32"/>
          <w:szCs w:val="32"/>
        </w:rPr>
        <w:t>8．年末结转和结余：指单位按有关规定结转到下年或以后年度继续使用的资金。</w:t>
      </w:r>
    </w:p>
    <w:p w14:paraId="18D050A7">
      <w:pPr>
        <w:spacing w:after="0" w:line="560" w:lineRule="exact"/>
        <w:ind w:firstLine="640"/>
        <w:jc w:val="both"/>
      </w:pPr>
      <w:r>
        <w:rPr>
          <w:rFonts w:ascii="Times New Roman" w:hAnsi="Times New Roman" w:eastAsia="FangSong_GB2312" w:cs="Times New Roman"/>
          <w:color w:val="000000"/>
          <w:sz w:val="32"/>
          <w:szCs w:val="32"/>
        </w:rPr>
        <w:t>9．基本支出：指为保障机构正常运转、完成日常工作任务而发生的人员支出和公用支出。</w:t>
      </w:r>
    </w:p>
    <w:p w14:paraId="411FE060">
      <w:pPr>
        <w:spacing w:after="0" w:line="560" w:lineRule="exact"/>
        <w:ind w:firstLine="640"/>
        <w:jc w:val="both"/>
      </w:pPr>
      <w:r>
        <w:rPr>
          <w:rFonts w:ascii="Times New Roman" w:hAnsi="Times New Roman" w:eastAsia="FangSong_GB2312" w:cs="Times New Roman"/>
          <w:color w:val="000000"/>
          <w:sz w:val="32"/>
          <w:szCs w:val="32"/>
        </w:rPr>
        <w:t>10．项目支出：指在基本支出之外为完成特定行政任务和事业发展目标所发生的支出。</w:t>
      </w:r>
    </w:p>
    <w:p w14:paraId="12AE19CD">
      <w:pPr>
        <w:spacing w:after="0" w:line="560" w:lineRule="exact"/>
        <w:ind w:firstLine="640"/>
        <w:jc w:val="both"/>
      </w:pPr>
      <w:r>
        <w:rPr>
          <w:rFonts w:ascii="Times New Roman" w:hAnsi="Times New Roman" w:eastAsia="FangSong_GB2312" w:cs="Times New Roman"/>
          <w:color w:val="000000"/>
          <w:sz w:val="32"/>
          <w:szCs w:val="32"/>
        </w:rPr>
        <w:t>11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AD98338">
      <w:pPr>
        <w:spacing w:after="0" w:line="560" w:lineRule="exact"/>
        <w:ind w:firstLine="640"/>
        <w:jc w:val="both"/>
      </w:pPr>
      <w:r>
        <w:rPr>
          <w:rFonts w:ascii="Times New Roman" w:hAnsi="Times New Roman" w:eastAsia="FangSong_GB2312" w:cs="Times New Roman"/>
          <w:color w:val="000000"/>
          <w:sz w:val="32"/>
          <w:szCs w:val="32"/>
        </w:rPr>
        <w:t>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6EF8ECA">
      <w:r>
        <w:br w:type="page"/>
      </w:r>
    </w:p>
    <w:p w14:paraId="4D566559">
      <w:pPr>
        <w:pStyle w:val="3"/>
        <w:spacing w:before="260" w:after="160" w:line="560" w:lineRule="exact"/>
        <w:outlineLvl w:val="0"/>
        <w:rPr>
          <w:rFonts w:ascii="宋体"/>
          <w:b/>
          <w:sz w:val="44"/>
          <w:szCs w:val="44"/>
          <w:shd w:val="clear" w:color="auto" w:fill="FFFFFF"/>
        </w:rPr>
      </w:pPr>
      <w:bookmarkStart w:id="15" w:name="_Toc25628"/>
      <w:r>
        <w:rPr>
          <w:rFonts w:ascii="Times New Roman" w:hAnsi="Times New Roman" w:eastAsia="黑体" w:cs="Times New Roman"/>
          <w:color w:val="000000"/>
          <w:sz w:val="32"/>
          <w:szCs w:val="32"/>
        </w:rPr>
        <w:t>第四部分  附件</w:t>
      </w:r>
      <w:bookmarkEnd w:id="15"/>
    </w:p>
    <w:p w14:paraId="39099CAF">
      <w:pPr>
        <w:widowControl/>
        <w:spacing w:line="580" w:lineRule="exact"/>
        <w:contextualSpacing/>
        <w:jc w:val="center"/>
        <w:rPr>
          <w:rFonts w:hint="eastAsia" w:ascii="方正小标宋简体" w:hAnsi="宋体" w:eastAsia="方正小标宋简体"/>
          <w:sz w:val="44"/>
          <w:szCs w:val="44"/>
          <w:shd w:val="clear" w:color="auto" w:fill="FFFFFF"/>
          <w:lang w:val="en-US" w:eastAsia="zh-CN"/>
        </w:rPr>
      </w:pPr>
      <w:r>
        <w:rPr>
          <w:rFonts w:hint="eastAsia" w:ascii="方正小标宋简体" w:hAnsi="宋体" w:eastAsia="方正小标宋简体"/>
          <w:sz w:val="44"/>
          <w:szCs w:val="44"/>
          <w:shd w:val="clear" w:color="auto" w:fill="FFFFFF"/>
          <w:lang w:val="en-US" w:eastAsia="zh-CN"/>
        </w:rPr>
        <w:t>马边彝族自治县经济和信息化局</w:t>
      </w:r>
    </w:p>
    <w:p w14:paraId="6C96621A">
      <w:pPr>
        <w:widowControl/>
        <w:spacing w:line="580" w:lineRule="exact"/>
        <w:contextualSpacing/>
        <w:jc w:val="center"/>
        <w:rPr>
          <w:rFonts w:ascii="方正小标宋简体" w:eastAsia="方正小标宋简体"/>
          <w:sz w:val="44"/>
          <w:szCs w:val="44"/>
          <w:shd w:val="clear" w:color="auto" w:fill="FFFFFF"/>
        </w:rPr>
      </w:pPr>
      <w:r>
        <w:rPr>
          <w:rFonts w:hint="eastAsia" w:ascii="方正小标宋简体" w:hAnsi="宋体" w:eastAsia="方正小标宋简体"/>
          <w:sz w:val="44"/>
          <w:szCs w:val="44"/>
          <w:shd w:val="clear" w:color="auto" w:fill="FFFFFF"/>
        </w:rPr>
        <w:t>整体绩效自评报告</w:t>
      </w:r>
    </w:p>
    <w:p w14:paraId="663034A4">
      <w:pPr>
        <w:widowControl/>
        <w:adjustRightInd w:val="0"/>
        <w:snapToGrid w:val="0"/>
        <w:spacing w:line="580" w:lineRule="exact"/>
        <w:ind w:firstLine="660" w:firstLineChars="200"/>
        <w:contextualSpacing/>
        <w:jc w:val="left"/>
        <w:rPr>
          <w:rFonts w:ascii="方正仿宋_GBK" w:hAnsi="宋体" w:eastAsia="方正仿宋_GBK" w:cs="宋体"/>
          <w:color w:val="000000"/>
          <w:kern w:val="0"/>
          <w:sz w:val="33"/>
          <w:szCs w:val="33"/>
          <w:shd w:val="clear" w:color="auto" w:fill="FFFFFF"/>
        </w:rPr>
      </w:pPr>
    </w:p>
    <w:p w14:paraId="110148A7">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14:paraId="0B6FF666">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（一）机构组成。</w:t>
      </w:r>
    </w:p>
    <w:p w14:paraId="3169E959">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马边彝族自治县经济和信息化局（以下简称“县经信局”）是县政府工作部门，内设办公室、综合股两个股室。下属事业单位1个：县中小企业服务中心。</w:t>
      </w:r>
    </w:p>
    <w:p w14:paraId="53D9E534">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（二）机构职能。</w:t>
      </w:r>
    </w:p>
    <w:p w14:paraId="237C122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贯彻执行国家有关工业经济、信息化、无线电管理相关方针、政策和法规，组织实施国家西部大开发战略的有关工业经济的政策措施，研究拟订全县有关工业经济、信息化和无线电管理的政策并组织实施。负责本系统、本部门依法行政工作，落实行政执法责任制；指导推进中小企业发展，组织推动信息化和工业化融合、工业化联动，负责推进全县工业结构调整和产业布局工作</w:t>
      </w:r>
      <w:r>
        <w:rPr>
          <w:rFonts w:hint="eastAsia" w:eastAsia="仿宋_GB2312" w:cs="Times New Roman"/>
          <w:sz w:val="32"/>
          <w:szCs w:val="32"/>
          <w:lang w:val="en-US" w:eastAsia="zh-CN"/>
        </w:rPr>
        <w:t>。</w:t>
      </w:r>
    </w:p>
    <w:p w14:paraId="5730C43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2.负责拟定新型工业化发展战略和重大政策，协调解决新型工业化进程中的重大问题。</w:t>
      </w:r>
    </w:p>
    <w:p w14:paraId="6B873B9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负责全县工业经济运行调节、检测、分析经济运行态势和质量，建立全县工业经济运行预警机制，研究拟订中、近期工业经济运行目标、政策并组织实施，协调解决工业经济运行中的重大问题。负责电力、成品油、天然气等重要物资综合调控、紧急调度和交通运输协调工作；指导和协调应急情况下重要物资的生产组织和调配工作。</w:t>
      </w:r>
    </w:p>
    <w:p w14:paraId="11A6A53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负责全县企业技术改造推进工作；研究制定并组织实施全县企业技术改造投资规划和政策；制定并发布全县企业技术改造投资项目引导目录；提出工业和信息化固定资产投资规模的意见，组织企业技术改造项目申报国家、省级有关专项计划并组织实施。</w:t>
      </w:r>
    </w:p>
    <w:p w14:paraId="3D41F88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负责全县企业技术创新体系建设，研究制定鼓励企业技术创新的政策实施。指导企业技术创新、技术引进，编制下达全县企业技术创新项目计划并组织实施；指导工业企业品牌建设、技术创新，推进工业企业信息化建设工作。</w:t>
      </w:r>
    </w:p>
    <w:p w14:paraId="2E5749C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6.负责拟定并组织实施产业集群发展规划和政策措施，指导产业园区发展工作。</w:t>
      </w:r>
    </w:p>
    <w:p w14:paraId="39DAEE8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负责全县工业和信息化领域的节能降耗、清洁生产、资源节约和综合利用工作，协调推进工业化和生态环境协调发展中的重大问题，组织实施相关重大示范项目和新产品、新技术、新工艺、新设备、新材料的推广应用。</w:t>
      </w:r>
    </w:p>
    <w:p w14:paraId="192FEC8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z w:val="32"/>
          <w:szCs w:val="32"/>
          <w:lang w:val="en-US" w:eastAsia="zh-CN"/>
        </w:rPr>
        <w:t>8.</w:t>
      </w:r>
      <w:r>
        <w:rPr>
          <w:rFonts w:hint="default" w:ascii="Times New Roman" w:hAnsi="Times New Roman" w:eastAsia="仿宋_GB2312" w:cs="Times New Roman"/>
          <w:sz w:val="32"/>
          <w:szCs w:val="32"/>
          <w:lang w:val="en-US" w:eastAsia="zh-CN"/>
        </w:rPr>
        <w:t>负责推进企业信用制度建设，负责中小企业信用担保和融资体系建设，负责企业技术改造、技术创新、生产运行等涉及财政、信贷、税收、保险等方面问题的协调，指导工业企业直接融资工作，参与工业企业上市培育工作。</w:t>
      </w:r>
    </w:p>
    <w:p w14:paraId="67B6E43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负责工业企业的宏观管理和指导，综合协调全县企业治乱减负工作；指导企业经营管理人才、专用技术人培训；负责全县大企业大集团和龙头骨干企业的培育工作；研究拟订全县中小企业发展规划，综合协调有关部门拟订促进中小企业的政策措施，推进中小企业服务体系建设。指导企业内部法律顾问工作；指导配合乡镇处理企业稳定工作。</w:t>
      </w:r>
    </w:p>
    <w:p w14:paraId="304A0F3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负责对全县工业各行业的协调服务工作。制定并组织实施相关政策措施。参与制定国民经济和社会社会发展规划，负责制定并组织实施工业、信息化相关行业的发展规划、年度计划和产业政策，推进产业发展；组织实施行业技术规范和行业标准，指导行业质量管理工作。参与拟订加快农产品加工业发展得政策措施，参与推进农业产业化龙头企业建设，参与推进农业现代化和新农村建设。指导工业、信息化和无线电管理领域的社会中介组织发展。</w:t>
      </w:r>
    </w:p>
    <w:p w14:paraId="432091E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综合分析市场动态和发展趋势，拟订工业企业开拓市场和产品促销的政策措施，支持企业巩固和扩大市场份额；会同有关部门提出工业和信息化领域对外开放和利用外资的政策建议；参与区域经济合作、承接产业转移工作。指导工业和信息化企业开展对外交流与合作、国际化经营、境外投资及兼并重组。组织工业企业配合有关部门进行产业损害调查。</w:t>
      </w:r>
    </w:p>
    <w:p w14:paraId="06C5141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.统筹推进全县信息化工作，制定并组织实施相关政策，指导企业信息化、电子商务和物联网发展，推动跨行业、跨部门面向社会服务网络的互联互通和信息共享。</w:t>
      </w:r>
    </w:p>
    <w:p w14:paraId="7BEA923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.负责全县信息基础设施建设的规划、协调和管理，组织相关部门制定通信管线规划并承担相应的管理工作，协调电信市场涉及社会公共利益的重大事项。</w:t>
      </w:r>
    </w:p>
    <w:p w14:paraId="0C0EE2F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.组织协调全县信息安全保障体系建设，指导和监督政府部门、重点行业的重要信息系统与信息网络的安全保障工作，指导信息安全防范工作，参与处理网络与信息安全重大事件。</w:t>
      </w:r>
    </w:p>
    <w:p w14:paraId="40B5472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15.统一配置和管理全县无线电频谱资源，依法监督管理无线电台（站），负责无线电监测、监测和干扰查处，协调无线电管理的相关事宜，维护空中电波秩序，依法组织实施无线电管制。                               </w:t>
      </w:r>
    </w:p>
    <w:p w14:paraId="79BC61E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16.负责职责范围内的相关的安全和职业健康、生态环境保护、审批服务便民化等工作。</w:t>
      </w:r>
    </w:p>
    <w:p w14:paraId="1D9BACC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统筹指导全县投资促进工作。拟订全县投资促进政策、投资促进中长期规划和年度计划并组织实施。统筹组织县级重大投资促进活动。牵头全县重大招商引资项目的促进和落实。推进投资促进和管理服务网络体系建设。指导外商投资促进和管理工作。参与拟订外商投资政策并组织实施。统计分析全县外商投资情况。依法监督检查外商投资企业执行有关法律法规规章、合同章程的情况并协调解决有关问题。</w:t>
      </w:r>
    </w:p>
    <w:p w14:paraId="32D6F9D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.负责全县盐业行业管理，承担食盐管理工作，组织编制盐业行业发展规划，制定、组织实施产业政策。</w:t>
      </w:r>
    </w:p>
    <w:p w14:paraId="4DAA055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lang w:val="en-US" w:eastAsia="zh-CN"/>
        </w:rPr>
        <w:t>.做好全县外事、港澳工作。</w:t>
      </w:r>
    </w:p>
    <w:p w14:paraId="530E333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lang w:val="en-US" w:eastAsia="zh-CN"/>
        </w:rPr>
        <w:t>.承办县委、县政府交办的其他事项。</w:t>
      </w:r>
    </w:p>
    <w:p w14:paraId="28D29571">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eastAsia="楷体_GB2312" w:cs="Times New Roman"/>
          <w:b/>
          <w:bCs/>
          <w:color w:val="000000"/>
          <w:kern w:val="0"/>
          <w:sz w:val="32"/>
          <w:szCs w:val="32"/>
          <w:highlight w:val="none"/>
          <w:shd w:val="clear" w:color="auto" w:fill="FFFFFF"/>
          <w:lang w:val="zh-CN"/>
        </w:rPr>
        <w:t>。</w:t>
      </w:r>
    </w:p>
    <w:p w14:paraId="7A82A62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截至2025年12月末，县经信局及下属单位核定行政编制</w:t>
      </w:r>
      <w:r>
        <w:rPr>
          <w:rFonts w:hint="eastAsia" w:eastAsia="仿宋_GB2312" w:cs="Times New Roman"/>
          <w:sz w:val="32"/>
          <w:szCs w:val="32"/>
          <w:lang w:val="en-US" w:eastAsia="zh-CN"/>
        </w:rPr>
        <w:t>9</w:t>
      </w:r>
      <w:r>
        <w:rPr>
          <w:rFonts w:hint="default" w:ascii="Times New Roman" w:hAnsi="Times New Roman" w:eastAsia="仿宋_GB2312" w:cs="Times New Roman"/>
          <w:sz w:val="32"/>
          <w:szCs w:val="32"/>
        </w:rPr>
        <w:t>名、事业编制</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rPr>
        <w:t>名，实有行政人员</w:t>
      </w:r>
      <w:r>
        <w:rPr>
          <w:rFonts w:hint="eastAsia" w:eastAsia="仿宋_GB2312" w:cs="Times New Roman"/>
          <w:sz w:val="32"/>
          <w:szCs w:val="32"/>
          <w:lang w:val="en-US" w:eastAsia="zh-CN"/>
        </w:rPr>
        <w:t>9</w:t>
      </w:r>
      <w:r>
        <w:rPr>
          <w:rFonts w:hint="default" w:ascii="Times New Roman" w:hAnsi="Times New Roman" w:eastAsia="仿宋_GB2312" w:cs="Times New Roman"/>
          <w:sz w:val="32"/>
          <w:szCs w:val="32"/>
        </w:rPr>
        <w:t>人、事业人员</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人，编外长聘人员</w:t>
      </w: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32"/>
        </w:rPr>
        <w:t>人。年内因人员调动（金勇、高彩玲、阿杜石杜、衣顺超等）相应调整了工资及附加性支出预算。</w:t>
      </w:r>
    </w:p>
    <w:p w14:paraId="5FC3AC87">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14:paraId="47523408">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r>
        <w:rPr>
          <w:rFonts w:hint="default" w:ascii="Times New Roman" w:hAnsi="Times New Roman" w:eastAsia="仿宋_GB2312" w:cs="Times New Roman"/>
          <w:sz w:val="32"/>
          <w:szCs w:val="32"/>
          <w:lang w:val="en-US" w:eastAsia="zh-CN"/>
        </w:rPr>
        <w:t>2025年年初预算收入总额</w:t>
      </w:r>
      <w:r>
        <w:rPr>
          <w:rFonts w:hint="eastAsia" w:eastAsia="仿宋_GB2312" w:cs="Times New Roman"/>
          <w:sz w:val="32"/>
          <w:szCs w:val="32"/>
          <w:lang w:val="en-US" w:eastAsia="zh-CN"/>
        </w:rPr>
        <w:t>681.3</w:t>
      </w:r>
      <w:r>
        <w:rPr>
          <w:rFonts w:hint="default" w:ascii="Times New Roman" w:hAnsi="Times New Roman" w:eastAsia="仿宋_GB2312" w:cs="Times New Roman"/>
          <w:sz w:val="32"/>
          <w:szCs w:val="32"/>
          <w:lang w:val="en-US" w:eastAsia="zh-CN"/>
        </w:rPr>
        <w:t>万元（全部为财政拨款）。实际执行中，因上级追加专项资金（超长期特别国债、中央服务业资金、省级工业发展资金等），全年预算指标调整为13,475.17万元。</w:t>
      </w:r>
    </w:p>
    <w:p w14:paraId="10CAE85C">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（二）支出情况。</w:t>
      </w:r>
    </w:p>
    <w:p w14:paraId="1ABA17F9">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全年实际支付12,483.78万元，总体支出进度92.64%。其中：人员类支出（工资、绩效、附加、伙食补助等）：全部完成支付，执行率100%；公用经费（办公、交通、工会、福利等）：全部完成支付，执行率100%；专项资金支出：合计支付约9,800万元，部分项目未全额支付（详见第三部分）。</w:t>
      </w:r>
    </w:p>
    <w:p w14:paraId="58BF48BF">
      <w:pPr>
        <w:keepNext w:val="0"/>
        <w:keepLines w:val="0"/>
        <w:pageBreakBefore w:val="0"/>
        <w:widowControl/>
        <w:kinsoku/>
        <w:wordWrap/>
        <w:overflowPunct/>
        <w:topLinePunct w:val="0"/>
        <w:autoSpaceDE/>
        <w:autoSpaceDN/>
        <w:bidi w:val="0"/>
        <w:adjustRightInd w:val="0"/>
        <w:snapToGrid w:val="0"/>
        <w:spacing w:line="600" w:lineRule="exact"/>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仿宋_GB2312" w:cs="Times New Roman"/>
          <w:sz w:val="32"/>
          <w:szCs w:val="32"/>
          <w:lang w:val="en-US" w:eastAsia="zh-CN"/>
        </w:rPr>
        <w:t>主要成效：招商引资专项经费100%支付，成功签约落地项目2个；马边福来美丽乡村奖补资金、工业转型升级资金、电商示范项目等全部完成拨付；消费品以旧换新资金、超长期特别国债资金（设备更新）支付率超过70%，拉动县域消费和工业技改投资；园区基础设施（劳动园区污水处理、犍为经开区马边飞地化工园区）项目稳步推进。</w:t>
      </w:r>
    </w:p>
    <w:p w14:paraId="44FD1751">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sz w:val="32"/>
          <w:szCs w:val="32"/>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sz w:val="32"/>
          <w:szCs w:val="32"/>
        </w:rPr>
        <w:t>结余分配和结转结余情况</w:t>
      </w:r>
      <w:r>
        <w:rPr>
          <w:rFonts w:hint="default" w:ascii="Times New Roman" w:hAnsi="Times New Roman" w:eastAsia="楷体_GB2312" w:cs="Times New Roman"/>
          <w:b/>
          <w:sz w:val="32"/>
          <w:szCs w:val="32"/>
          <w:lang w:eastAsia="zh-CN"/>
        </w:rPr>
        <w:t>。</w:t>
      </w:r>
    </w:p>
    <w:p w14:paraId="0487AEC4">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pPr>
      <w:r>
        <w:rPr>
          <w:rFonts w:hint="default" w:ascii="Times New Roman" w:hAnsi="Times New Roman" w:eastAsia="仿宋_GB2312" w:cs="Times New Roman"/>
          <w:sz w:val="32"/>
          <w:szCs w:val="32"/>
          <w:lang w:val="en-US" w:eastAsia="zh-CN"/>
        </w:rPr>
        <w:t>2025年末未支付资金991.39万元（占预算7.36%），主要分布在东西协作消费帮扶、服务业发展资金、企业升规入统奖励等需跨年验收或兑付的项目。无结余分配事项，结转资金按规定继续使用。</w:t>
      </w:r>
    </w:p>
    <w:p w14:paraId="4965E967">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14:paraId="033EF08F">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p>
    <w:p w14:paraId="332932E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default" w:ascii="Times New Roman" w:hAnsi="Times New Roman" w:eastAsia="楷体_GB2312" w:cs="Times New Roman"/>
          <w:color w:val="000000"/>
          <w:kern w:val="0"/>
          <w:sz w:val="32"/>
          <w:szCs w:val="32"/>
          <w:highlight w:val="none"/>
          <w:shd w:val="clear" w:color="auto" w:fill="FFFFFF"/>
          <w:lang w:val="zh-CN"/>
        </w:rPr>
        <w:t>履职效能（15分，自评1</w:t>
      </w:r>
      <w:r>
        <w:rPr>
          <w:rFonts w:hint="eastAsia" w:eastAsia="楷体_GB2312" w:cs="Times New Roman"/>
          <w:color w:val="000000"/>
          <w:kern w:val="0"/>
          <w:sz w:val="32"/>
          <w:szCs w:val="32"/>
          <w:highlight w:val="none"/>
          <w:shd w:val="clear" w:color="auto" w:fill="FFFFFF"/>
          <w:lang w:val="en-US" w:eastAsia="zh-CN"/>
        </w:rPr>
        <w:t>3</w:t>
      </w:r>
      <w:r>
        <w:rPr>
          <w:rFonts w:hint="default" w:ascii="Times New Roman" w:hAnsi="Times New Roman" w:eastAsia="楷体_GB2312" w:cs="Times New Roman"/>
          <w:color w:val="000000"/>
          <w:kern w:val="0"/>
          <w:sz w:val="32"/>
          <w:szCs w:val="32"/>
          <w:highlight w:val="none"/>
          <w:shd w:val="clear" w:color="auto" w:fill="FFFFFF"/>
          <w:lang w:val="zh-CN"/>
        </w:rPr>
        <w:t>分）</w:t>
      </w:r>
    </w:p>
    <w:p w14:paraId="2C09CE8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1</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工业经济运行与服务：完成规上工业增加值增速年度目标，企业走访覆盖率100%，得分5分。</w:t>
      </w:r>
    </w:p>
    <w:p w14:paraId="177DE2C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2</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招商引资及项目推进：招商引资专项经费执行率100%，但东西协作“越商走马活动”项目执行率仅32.4%，“消费帮扶”执行率为0%，影响整体效果，扣1分，得4分。</w:t>
      </w:r>
    </w:p>
    <w:p w14:paraId="766D085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3</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商贸流通与消费促进：多批次以旧换新资金执行率接近100%，但2024年消费帮扶项目未支付、部分促消费资金未完成，扣1分，得4分。</w:t>
      </w:r>
    </w:p>
    <w:p w14:paraId="06C4E97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2.</w:t>
      </w:r>
      <w:r>
        <w:rPr>
          <w:rFonts w:hint="default" w:ascii="Times New Roman" w:hAnsi="Times New Roman" w:eastAsia="楷体_GB2312" w:cs="Times New Roman"/>
          <w:color w:val="000000"/>
          <w:kern w:val="0"/>
          <w:sz w:val="32"/>
          <w:szCs w:val="32"/>
          <w:highlight w:val="none"/>
          <w:shd w:val="clear" w:color="auto" w:fill="FFFFFF"/>
          <w:lang w:val="zh-CN"/>
        </w:rPr>
        <w:t>预算管理（</w:t>
      </w:r>
      <w:r>
        <w:rPr>
          <w:rFonts w:hint="eastAsia" w:eastAsia="楷体_GB2312" w:cs="Times New Roman"/>
          <w:color w:val="000000"/>
          <w:kern w:val="0"/>
          <w:sz w:val="32"/>
          <w:szCs w:val="32"/>
          <w:highlight w:val="none"/>
          <w:shd w:val="clear" w:color="auto" w:fill="FFFFFF"/>
          <w:lang w:val="en-US" w:eastAsia="zh-CN"/>
        </w:rPr>
        <w:t>2</w:t>
      </w:r>
      <w:r>
        <w:rPr>
          <w:rFonts w:hint="default" w:ascii="Times New Roman" w:hAnsi="Times New Roman" w:eastAsia="楷体_GB2312" w:cs="Times New Roman"/>
          <w:color w:val="000000"/>
          <w:kern w:val="0"/>
          <w:sz w:val="32"/>
          <w:szCs w:val="32"/>
          <w:highlight w:val="none"/>
          <w:shd w:val="clear" w:color="auto" w:fill="FFFFFF"/>
          <w:lang w:val="zh-CN"/>
        </w:rPr>
        <w:t>5分，自评</w:t>
      </w:r>
      <w:r>
        <w:rPr>
          <w:rFonts w:hint="eastAsia" w:eastAsia="楷体_GB2312" w:cs="Times New Roman"/>
          <w:color w:val="000000"/>
          <w:kern w:val="0"/>
          <w:sz w:val="32"/>
          <w:szCs w:val="32"/>
          <w:highlight w:val="none"/>
          <w:shd w:val="clear" w:color="auto" w:fill="FFFFFF"/>
          <w:lang w:val="en-US" w:eastAsia="zh-CN"/>
        </w:rPr>
        <w:t>20.8</w:t>
      </w:r>
      <w:r>
        <w:rPr>
          <w:rFonts w:hint="default" w:ascii="Times New Roman" w:hAnsi="Times New Roman" w:eastAsia="楷体_GB2312" w:cs="Times New Roman"/>
          <w:color w:val="000000"/>
          <w:kern w:val="0"/>
          <w:sz w:val="32"/>
          <w:szCs w:val="32"/>
          <w:highlight w:val="none"/>
          <w:shd w:val="clear" w:color="auto" w:fill="FFFFFF"/>
          <w:lang w:val="zh-CN"/>
        </w:rPr>
        <w:t>分）</w:t>
      </w:r>
    </w:p>
    <w:p w14:paraId="0161161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1</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预算编制质量：项目细化较完整，但年内多次发生人员经费调剂和科目调整，财政退回一次，扣0.5分。</w:t>
      </w:r>
    </w:p>
    <w:p w14:paraId="312A908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2</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非税收入：无非税收入计划，不扣分。</w:t>
      </w:r>
    </w:p>
    <w:p w14:paraId="391C51C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3</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政府购买服务政策执行：按规定执行。</w:t>
      </w:r>
    </w:p>
    <w:p w14:paraId="3382D06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4</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支出执行情况：全年执行率92.64%，支出预警和违规占比低，按公式得3.8分。</w:t>
      </w:r>
    </w:p>
    <w:p w14:paraId="3CF0841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5</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预算分配进度：上级资金分配及时性得分2分，但支付进度仅约78%，扣1.5分，合计2.5分。</w:t>
      </w:r>
    </w:p>
    <w:p w14:paraId="6BE4340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6</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严控一般性支出：一般性支出执行数较上年略有压减但幅度不足1%，得基础分3分。</w:t>
      </w:r>
    </w:p>
    <w:p w14:paraId="7747E02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3.</w:t>
      </w:r>
      <w:r>
        <w:rPr>
          <w:rFonts w:hint="default" w:ascii="Times New Roman" w:hAnsi="Times New Roman" w:eastAsia="楷体_GB2312" w:cs="Times New Roman"/>
          <w:color w:val="000000"/>
          <w:kern w:val="0"/>
          <w:sz w:val="32"/>
          <w:szCs w:val="32"/>
          <w:highlight w:val="none"/>
          <w:shd w:val="clear" w:color="auto" w:fill="FFFFFF"/>
          <w:lang w:val="zh-CN"/>
        </w:rPr>
        <w:t>财务管理（</w:t>
      </w:r>
      <w:r>
        <w:rPr>
          <w:rFonts w:hint="eastAsia" w:eastAsia="楷体_GB2312" w:cs="Times New Roman"/>
          <w:color w:val="000000"/>
          <w:kern w:val="0"/>
          <w:sz w:val="32"/>
          <w:szCs w:val="32"/>
          <w:highlight w:val="none"/>
          <w:shd w:val="clear" w:color="auto" w:fill="FFFFFF"/>
          <w:lang w:val="en-US" w:eastAsia="zh-CN"/>
        </w:rPr>
        <w:t>6</w:t>
      </w:r>
      <w:r>
        <w:rPr>
          <w:rFonts w:hint="default" w:ascii="Times New Roman" w:hAnsi="Times New Roman" w:eastAsia="楷体_GB2312" w:cs="Times New Roman"/>
          <w:color w:val="000000"/>
          <w:kern w:val="0"/>
          <w:sz w:val="32"/>
          <w:szCs w:val="32"/>
          <w:highlight w:val="none"/>
          <w:shd w:val="clear" w:color="auto" w:fill="FFFFFF"/>
          <w:lang w:val="zh-CN"/>
        </w:rPr>
        <w:t>分，自评</w:t>
      </w:r>
      <w:r>
        <w:rPr>
          <w:rFonts w:hint="eastAsia" w:eastAsia="楷体_GB2312" w:cs="Times New Roman"/>
          <w:color w:val="000000"/>
          <w:kern w:val="0"/>
          <w:sz w:val="32"/>
          <w:szCs w:val="32"/>
          <w:highlight w:val="none"/>
          <w:shd w:val="clear" w:color="auto" w:fill="FFFFFF"/>
          <w:lang w:val="en-US" w:eastAsia="zh-CN"/>
        </w:rPr>
        <w:t>6</w:t>
      </w:r>
      <w:r>
        <w:rPr>
          <w:rFonts w:hint="default" w:ascii="Times New Roman" w:hAnsi="Times New Roman" w:eastAsia="楷体_GB2312" w:cs="Times New Roman"/>
          <w:color w:val="000000"/>
          <w:kern w:val="0"/>
          <w:sz w:val="32"/>
          <w:szCs w:val="32"/>
          <w:highlight w:val="none"/>
          <w:shd w:val="clear" w:color="auto" w:fill="FFFFFF"/>
          <w:lang w:val="zh-CN"/>
        </w:rPr>
        <w:t>分）</w:t>
      </w:r>
    </w:p>
    <w:p w14:paraId="3AFF7F1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color w:val="000000"/>
          <w:kern w:val="0"/>
          <w:sz w:val="32"/>
          <w:szCs w:val="32"/>
          <w:highlight w:val="none"/>
          <w:shd w:val="clear" w:color="auto" w:fill="FFFFFF"/>
          <w:lang w:val="zh-CN"/>
        </w:rPr>
        <w:t>财务岗位设置合理，不相容岗位分离；资金使用符合财务制度，未发现违规情况。</w:t>
      </w:r>
    </w:p>
    <w:p w14:paraId="035370A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4.</w:t>
      </w:r>
      <w:r>
        <w:rPr>
          <w:rFonts w:hint="default" w:ascii="Times New Roman" w:hAnsi="Times New Roman" w:eastAsia="楷体_GB2312" w:cs="Times New Roman"/>
          <w:color w:val="000000"/>
          <w:kern w:val="0"/>
          <w:sz w:val="32"/>
          <w:szCs w:val="32"/>
          <w:highlight w:val="none"/>
          <w:shd w:val="clear" w:color="auto" w:fill="FFFFFF"/>
          <w:lang w:val="zh-CN"/>
        </w:rPr>
        <w:t>资产管理（</w:t>
      </w:r>
      <w:r>
        <w:rPr>
          <w:rFonts w:hint="eastAsia" w:eastAsia="楷体_GB2312" w:cs="Times New Roman"/>
          <w:color w:val="000000"/>
          <w:kern w:val="0"/>
          <w:sz w:val="32"/>
          <w:szCs w:val="32"/>
          <w:highlight w:val="none"/>
          <w:shd w:val="clear" w:color="auto" w:fill="FFFFFF"/>
          <w:lang w:val="en-US" w:eastAsia="zh-CN"/>
        </w:rPr>
        <w:t>8</w:t>
      </w:r>
      <w:r>
        <w:rPr>
          <w:rFonts w:hint="default" w:ascii="Times New Roman" w:hAnsi="Times New Roman" w:eastAsia="楷体_GB2312" w:cs="Times New Roman"/>
          <w:color w:val="000000"/>
          <w:kern w:val="0"/>
          <w:sz w:val="32"/>
          <w:szCs w:val="32"/>
          <w:highlight w:val="none"/>
          <w:shd w:val="clear" w:color="auto" w:fill="FFFFFF"/>
          <w:lang w:val="zh-CN"/>
        </w:rPr>
        <w:t>分，自评</w:t>
      </w:r>
      <w:r>
        <w:rPr>
          <w:rFonts w:hint="eastAsia" w:eastAsia="楷体_GB2312" w:cs="Times New Roman"/>
          <w:color w:val="000000"/>
          <w:kern w:val="0"/>
          <w:sz w:val="32"/>
          <w:szCs w:val="32"/>
          <w:highlight w:val="none"/>
          <w:shd w:val="clear" w:color="auto" w:fill="FFFFFF"/>
          <w:lang w:val="en-US" w:eastAsia="zh-CN"/>
        </w:rPr>
        <w:t>8</w:t>
      </w:r>
      <w:r>
        <w:rPr>
          <w:rFonts w:hint="default" w:ascii="Times New Roman" w:hAnsi="Times New Roman" w:eastAsia="楷体_GB2312" w:cs="Times New Roman"/>
          <w:color w:val="000000"/>
          <w:kern w:val="0"/>
          <w:sz w:val="32"/>
          <w:szCs w:val="32"/>
          <w:highlight w:val="none"/>
          <w:shd w:val="clear" w:color="auto" w:fill="FFFFFF"/>
          <w:lang w:val="zh-CN"/>
        </w:rPr>
        <w:t>分）</w:t>
      </w:r>
    </w:p>
    <w:p w14:paraId="6D98BA6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color w:val="000000"/>
          <w:kern w:val="0"/>
          <w:sz w:val="32"/>
          <w:szCs w:val="32"/>
          <w:highlight w:val="none"/>
          <w:shd w:val="clear" w:color="auto" w:fill="FFFFFF"/>
          <w:lang w:val="zh-CN"/>
        </w:rPr>
        <w:t>资产月报、年报及时准确；资产账与财务账相符率100%；</w:t>
      </w:r>
    </w:p>
    <w:p w14:paraId="3647534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color w:val="000000"/>
          <w:kern w:val="0"/>
          <w:sz w:val="32"/>
          <w:szCs w:val="32"/>
          <w:highlight w:val="none"/>
          <w:shd w:val="clear" w:color="auto" w:fill="FFFFFF"/>
          <w:lang w:val="zh-CN"/>
        </w:rPr>
        <w:t>资产配置合规，无违反“六个不得”行为。</w:t>
      </w:r>
    </w:p>
    <w:p w14:paraId="5A7B675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en-US" w:eastAsia="zh-CN"/>
        </w:rPr>
      </w:pPr>
    </w:p>
    <w:p w14:paraId="2FCA810F">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5.</w:t>
      </w:r>
      <w:r>
        <w:rPr>
          <w:rFonts w:hint="default" w:ascii="Times New Roman" w:hAnsi="Times New Roman" w:eastAsia="楷体_GB2312" w:cs="Times New Roman"/>
          <w:color w:val="000000"/>
          <w:kern w:val="0"/>
          <w:sz w:val="32"/>
          <w:szCs w:val="32"/>
          <w:highlight w:val="none"/>
          <w:shd w:val="clear" w:color="auto" w:fill="FFFFFF"/>
          <w:lang w:val="zh-CN"/>
        </w:rPr>
        <w:t>采购管理（6分，自评6分）</w:t>
      </w:r>
    </w:p>
    <w:p w14:paraId="202A350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color w:val="000000"/>
          <w:kern w:val="0"/>
          <w:sz w:val="32"/>
          <w:szCs w:val="32"/>
          <w:highlight w:val="none"/>
          <w:shd w:val="clear" w:color="auto" w:fill="FFFFFF"/>
          <w:lang w:val="zh-CN"/>
        </w:rPr>
        <w:t>适宜项目已按规定预留中小企业采购份额；无政府采购投诉或整改事项。</w:t>
      </w:r>
    </w:p>
    <w:p w14:paraId="3358A609">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31AD873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常年项目：共0个（人员类和公用经费纳入基本支出管理）。</w:t>
      </w:r>
    </w:p>
    <w:p w14:paraId="7E969A3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含一次性）项目：总数87个（以预算明细项目计），涉及预算总金额10,956.30万元（剔除人员类及公用经费），1—12月执行总体进度90.1%。其中预算结余率大于10%的项目共计12个（主要为东西协作、企业奖励、服务业资金等），已列入后续整改。</w:t>
      </w:r>
    </w:p>
    <w:p w14:paraId="30DBDAD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eastAsia" w:eastAsia="楷体_GB2312" w:cs="Times New Roman"/>
          <w:color w:val="000000"/>
          <w:kern w:val="0"/>
          <w:sz w:val="32"/>
          <w:szCs w:val="32"/>
          <w:highlight w:val="none"/>
          <w:shd w:val="clear" w:color="auto" w:fill="FFFFFF"/>
          <w:lang w:val="en-US" w:eastAsia="zh-CN"/>
        </w:rPr>
        <w:t>1.</w:t>
      </w:r>
      <w:r>
        <w:rPr>
          <w:rFonts w:hint="default" w:ascii="Times New Roman" w:hAnsi="Times New Roman" w:eastAsia="楷体_GB2312" w:cs="Times New Roman"/>
          <w:color w:val="000000"/>
          <w:kern w:val="0"/>
          <w:sz w:val="32"/>
          <w:szCs w:val="32"/>
          <w:highlight w:val="none"/>
          <w:shd w:val="clear" w:color="auto" w:fill="FFFFFF"/>
          <w:lang w:val="zh-CN"/>
        </w:rPr>
        <w:t>项目决策（12分，自评11.5分）</w:t>
      </w:r>
    </w:p>
    <w:p w14:paraId="34D555C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1</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决策程序：所有项目均有县府常务会议纪要或财政批复文件支撑。</w:t>
      </w:r>
    </w:p>
    <w:p w14:paraId="2AC9659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2</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目标设置：多数项目目标合理，但“2024年东西协作消费帮扶”目标与实际脱节导致执行率为0%，扣0.5分。</w:t>
      </w:r>
    </w:p>
    <w:p w14:paraId="7217F4B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3</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项目入库：均于9月30日前完成入库。</w:t>
      </w:r>
    </w:p>
    <w:p w14:paraId="10B0602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2.项目执行</w:t>
      </w:r>
      <w:r>
        <w:rPr>
          <w:rFonts w:hint="default" w:ascii="Times New Roman" w:hAnsi="Times New Roman" w:eastAsia="楷体_GB2312" w:cs="Times New Roman"/>
          <w:color w:val="000000"/>
          <w:kern w:val="0"/>
          <w:sz w:val="32"/>
          <w:szCs w:val="32"/>
          <w:highlight w:val="none"/>
          <w:shd w:val="clear" w:color="auto" w:fill="FFFFFF"/>
          <w:lang w:val="zh-CN"/>
        </w:rPr>
        <w:t>（12分，自评11.7分）</w:t>
      </w:r>
    </w:p>
    <w:p w14:paraId="26101B5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1</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执行同向：支出内容与绩效目标方向一致。</w:t>
      </w:r>
    </w:p>
    <w:p w14:paraId="5B2E136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2</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项目调整：对执行慢的项目（如越商走马活动）已及时调剂指标或调整预算。</w:t>
      </w:r>
    </w:p>
    <w:p w14:paraId="421D5EF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3</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执行结果：按总体支付率92.64%折算得3.7分。</w:t>
      </w:r>
    </w:p>
    <w:p w14:paraId="705AE5D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3.</w:t>
      </w:r>
      <w:r>
        <w:rPr>
          <w:rFonts w:hint="default" w:ascii="Times New Roman" w:hAnsi="Times New Roman" w:eastAsia="楷体_GB2312" w:cs="Times New Roman"/>
          <w:color w:val="000000"/>
          <w:kern w:val="0"/>
          <w:sz w:val="32"/>
          <w:szCs w:val="32"/>
          <w:highlight w:val="none"/>
          <w:shd w:val="clear" w:color="auto" w:fill="FFFFFF"/>
          <w:lang w:val="zh-CN"/>
        </w:rPr>
        <w:t>目标实现（11分，自评9分）</w:t>
      </w:r>
    </w:p>
    <w:p w14:paraId="39C3FD2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1</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目标完成：约90%项目完成全部数量指标，扣0.5分。</w:t>
      </w:r>
    </w:p>
    <w:p w14:paraId="6BA63F0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2</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目标偏离：低执行率项目偏离度超过30%，按项目个数加权得3分。</w:t>
      </w:r>
    </w:p>
    <w:p w14:paraId="2FA0457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eastAsia="仿宋_GB2312" w:cs="Times New Roman"/>
          <w:color w:val="000000"/>
          <w:kern w:val="0"/>
          <w:sz w:val="32"/>
          <w:szCs w:val="32"/>
          <w:highlight w:val="none"/>
          <w:shd w:val="clear" w:color="auto" w:fill="FFFFFF"/>
          <w:lang w:val="zh-CN"/>
        </w:rPr>
        <w:t>（</w:t>
      </w:r>
      <w:r>
        <w:rPr>
          <w:rFonts w:hint="eastAsia" w:eastAsia="仿宋_GB2312" w:cs="Times New Roman"/>
          <w:color w:val="000000"/>
          <w:kern w:val="0"/>
          <w:sz w:val="32"/>
          <w:szCs w:val="32"/>
          <w:highlight w:val="none"/>
          <w:shd w:val="clear" w:color="auto" w:fill="FFFFFF"/>
          <w:lang w:val="en-US" w:eastAsia="zh-CN"/>
        </w:rPr>
        <w:t>3</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实现效果：大部分专项效益良好，少数未支付资金未达预期，扣0.5分。</w:t>
      </w:r>
    </w:p>
    <w:p w14:paraId="625BAE18">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rPr>
          <w:rFonts w:hint="default" w:ascii="Times New Roman" w:hAnsi="Times New Roman" w:eastAsia="楷体_GB2312" w:cs="Times New Roman"/>
          <w:b/>
          <w:bCs/>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sz w:val="32"/>
          <w:szCs w:val="32"/>
          <w:lang w:val="zh-CN"/>
        </w:rPr>
        <w:t>绩效结果应用情况。</w:t>
      </w:r>
    </w:p>
    <w:p w14:paraId="4DAFF8BC">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eastAsia" w:eastAsia="仿宋_GB2312" w:cs="Times New Roman"/>
          <w:color w:val="000000"/>
          <w:kern w:val="0"/>
          <w:sz w:val="32"/>
          <w:szCs w:val="32"/>
          <w:highlight w:val="none"/>
          <w:shd w:val="clear" w:color="auto" w:fill="FFFFFF"/>
          <w:lang w:val="en-US" w:eastAsia="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内部应用：将预算执行进度与股室年度考核挂钩，对支付率偏低的项目责任人进行约谈。</w:t>
      </w:r>
    </w:p>
    <w:p w14:paraId="159E6939">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eastAsia"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eastAsia="zh-CN"/>
        </w:rPr>
        <w:t>信息公开：按规定在县政府门户网站公开了2025年预算及绩效目标。</w:t>
      </w:r>
    </w:p>
    <w:p w14:paraId="20AAD64C">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bCs w:val="0"/>
          <w:color w:val="000000"/>
          <w:kern w:val="0"/>
          <w:sz w:val="32"/>
          <w:szCs w:val="32"/>
          <w:highlight w:val="none"/>
          <w:shd w:val="clear" w:color="auto" w:fill="FFFFFF"/>
          <w:lang w:val="zh-CN" w:eastAsia="zh-CN"/>
        </w:rPr>
      </w:pPr>
      <w:r>
        <w:rPr>
          <w:rFonts w:hint="eastAsia"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zh-CN" w:eastAsia="zh-CN"/>
        </w:rPr>
        <w:t>整改反馈：针对东西协作、消费品以旧换新资金支付慢的问题，已建立专项调度机制，并修订了《专项资金管理办法》。</w:t>
      </w:r>
    </w:p>
    <w:p w14:paraId="3FD91579">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14:paraId="7C89A753">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4D406FAF">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2025年，县经信局部门预算绩效自评总分为94分（满分105分），评价等级为“优”。总体来看，预算执行率较高，人员及运转经费保障到位，扶持产业发展、招商引资、园区建设等重点工作取得较好效果，成功争取上级资金超6000万元。但也存在部分项目因跨年实施、验收滞后导致支付进度偏低的问题，需进一步强化全过程绩效监控。</w:t>
      </w:r>
    </w:p>
    <w:p w14:paraId="282E2B53">
      <w:pPr>
        <w:keepNext w:val="0"/>
        <w:keepLines w:val="0"/>
        <w:pageBreakBefore w:val="0"/>
        <w:widowControl/>
        <w:numPr>
          <w:ilvl w:val="0"/>
          <w:numId w:val="1"/>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14:paraId="5CD9EACE">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08" w:firstLineChars="200"/>
        <w:contextualSpacing/>
        <w:jc w:val="left"/>
        <w:textAlignment w:val="auto"/>
        <w:outlineLvl w:val="9"/>
        <w:rPr>
          <w:rFonts w:hint="default" w:ascii="Times New Roman" w:hAnsi="Times New Roman" w:eastAsia="仿宋_GB2312" w:cs="Times New Roman"/>
          <w:b w:val="0"/>
          <w:bCs w:val="0"/>
          <w:w w:val="95"/>
          <w:kern w:val="0"/>
          <w:position w:val="0"/>
          <w:sz w:val="32"/>
          <w:szCs w:val="32"/>
          <w:highlight w:val="none"/>
          <w:lang w:val="en-US" w:eastAsia="zh-CN" w:bidi="ar-SA"/>
        </w:rPr>
      </w:pPr>
      <w:r>
        <w:rPr>
          <w:rFonts w:hint="eastAsia" w:eastAsia="仿宋_GB2312" w:cs="Times New Roman"/>
          <w:b w:val="0"/>
          <w:bCs w:val="0"/>
          <w:w w:val="95"/>
          <w:kern w:val="0"/>
          <w:position w:val="0"/>
          <w:sz w:val="32"/>
          <w:szCs w:val="32"/>
          <w:highlight w:val="none"/>
          <w:lang w:val="en-US" w:eastAsia="zh-CN" w:bidi="ar-SA"/>
        </w:rPr>
        <w:t>1.</w:t>
      </w:r>
      <w:r>
        <w:rPr>
          <w:rFonts w:hint="default" w:ascii="Times New Roman" w:hAnsi="Times New Roman" w:eastAsia="仿宋_GB2312" w:cs="Times New Roman"/>
          <w:b w:val="0"/>
          <w:bCs w:val="0"/>
          <w:w w:val="95"/>
          <w:kern w:val="0"/>
          <w:position w:val="0"/>
          <w:sz w:val="32"/>
          <w:szCs w:val="32"/>
          <w:highlight w:val="none"/>
          <w:lang w:val="en-US" w:eastAsia="zh-CN" w:bidi="ar-SA"/>
        </w:rPr>
        <w:t>东西部协作项目推进缓慢：“越商走马活动”执行率仅32.4%，“消费帮扶”项目全年未支付，影响履职效能。</w:t>
      </w:r>
    </w:p>
    <w:p w14:paraId="274D69CF">
      <w:pPr>
        <w:keepNext w:val="0"/>
        <w:keepLines w:val="0"/>
        <w:pageBreakBefore w:val="0"/>
        <w:widowControl/>
        <w:kinsoku/>
        <w:wordWrap/>
        <w:overflowPunct/>
        <w:topLinePunct w:val="0"/>
        <w:autoSpaceDE/>
        <w:autoSpaceDN/>
        <w:bidi w:val="0"/>
        <w:adjustRightInd w:val="0"/>
        <w:snapToGrid w:val="0"/>
        <w:spacing w:line="600" w:lineRule="exact"/>
        <w:ind w:firstLine="608" w:firstLineChars="200"/>
        <w:contextualSpacing/>
        <w:jc w:val="left"/>
        <w:textAlignment w:val="auto"/>
        <w:outlineLvl w:val="9"/>
        <w:rPr>
          <w:rFonts w:hint="default" w:ascii="Times New Roman" w:hAnsi="Times New Roman" w:eastAsia="仿宋_GB2312" w:cs="Times New Roman"/>
          <w:b w:val="0"/>
          <w:bCs w:val="0"/>
          <w:w w:val="95"/>
          <w:kern w:val="0"/>
          <w:position w:val="0"/>
          <w:sz w:val="32"/>
          <w:szCs w:val="32"/>
          <w:highlight w:val="none"/>
          <w:lang w:val="en-US" w:eastAsia="zh-CN" w:bidi="ar-SA"/>
        </w:rPr>
      </w:pPr>
      <w:r>
        <w:rPr>
          <w:rFonts w:hint="eastAsia" w:eastAsia="仿宋_GB2312" w:cs="Times New Roman"/>
          <w:b w:val="0"/>
          <w:bCs w:val="0"/>
          <w:w w:val="95"/>
          <w:kern w:val="0"/>
          <w:position w:val="0"/>
          <w:sz w:val="32"/>
          <w:szCs w:val="32"/>
          <w:highlight w:val="none"/>
          <w:lang w:val="en-US" w:eastAsia="zh-CN" w:bidi="ar-SA"/>
        </w:rPr>
        <w:t>2.</w:t>
      </w:r>
      <w:r>
        <w:rPr>
          <w:rFonts w:hint="default" w:ascii="Times New Roman" w:hAnsi="Times New Roman" w:eastAsia="仿宋_GB2312" w:cs="Times New Roman"/>
          <w:b w:val="0"/>
          <w:bCs w:val="0"/>
          <w:w w:val="95"/>
          <w:kern w:val="0"/>
          <w:position w:val="0"/>
          <w:sz w:val="32"/>
          <w:szCs w:val="32"/>
          <w:highlight w:val="none"/>
          <w:lang w:val="en-US" w:eastAsia="zh-CN" w:bidi="ar-SA"/>
        </w:rPr>
        <w:t>部分上级专项资金支付率偏低：如中央服务业发展资金支付率30%、第一批超长期国债支付率70%，企业升规入统奖励资金尚未兑付。</w:t>
      </w:r>
    </w:p>
    <w:p w14:paraId="3F97247C">
      <w:pPr>
        <w:keepNext w:val="0"/>
        <w:keepLines w:val="0"/>
        <w:pageBreakBefore w:val="0"/>
        <w:widowControl/>
        <w:kinsoku/>
        <w:wordWrap/>
        <w:overflowPunct/>
        <w:topLinePunct w:val="0"/>
        <w:autoSpaceDE/>
        <w:autoSpaceDN/>
        <w:bidi w:val="0"/>
        <w:adjustRightInd w:val="0"/>
        <w:snapToGrid w:val="0"/>
        <w:spacing w:line="600" w:lineRule="exact"/>
        <w:ind w:firstLine="608" w:firstLineChars="200"/>
        <w:contextualSpacing/>
        <w:jc w:val="left"/>
        <w:textAlignment w:val="auto"/>
        <w:outlineLvl w:val="9"/>
        <w:rPr>
          <w:rFonts w:hint="default" w:ascii="Times New Roman" w:hAnsi="Times New Roman" w:eastAsia="仿宋_GB2312" w:cs="Times New Roman"/>
          <w:b w:val="0"/>
          <w:bCs w:val="0"/>
          <w:w w:val="95"/>
          <w:kern w:val="0"/>
          <w:position w:val="0"/>
          <w:sz w:val="32"/>
          <w:szCs w:val="32"/>
          <w:highlight w:val="none"/>
          <w:lang w:val="en-US" w:eastAsia="zh-CN" w:bidi="ar-SA"/>
        </w:rPr>
      </w:pPr>
      <w:r>
        <w:rPr>
          <w:rFonts w:hint="eastAsia" w:eastAsia="仿宋_GB2312" w:cs="Times New Roman"/>
          <w:b w:val="0"/>
          <w:bCs w:val="0"/>
          <w:w w:val="95"/>
          <w:kern w:val="0"/>
          <w:position w:val="0"/>
          <w:sz w:val="32"/>
          <w:szCs w:val="32"/>
          <w:highlight w:val="none"/>
          <w:lang w:val="en-US" w:eastAsia="zh-CN" w:bidi="ar-SA"/>
        </w:rPr>
        <w:t>3.</w:t>
      </w:r>
      <w:r>
        <w:rPr>
          <w:rFonts w:hint="default" w:ascii="Times New Roman" w:hAnsi="Times New Roman" w:eastAsia="仿宋_GB2312" w:cs="Times New Roman"/>
          <w:b w:val="0"/>
          <w:bCs w:val="0"/>
          <w:w w:val="95"/>
          <w:kern w:val="0"/>
          <w:position w:val="0"/>
          <w:sz w:val="32"/>
          <w:szCs w:val="32"/>
          <w:highlight w:val="none"/>
          <w:lang w:val="en-US" w:eastAsia="zh-CN" w:bidi="ar-SA"/>
        </w:rPr>
        <w:t>绩效目标设置质量有待提升：个别项目目标与预算执行脱节，未充分预判验收周期和支付条件。</w:t>
      </w:r>
    </w:p>
    <w:p w14:paraId="5606C5C8">
      <w:pPr>
        <w:keepNext w:val="0"/>
        <w:keepLines w:val="0"/>
        <w:pageBreakBefore w:val="0"/>
        <w:widowControl/>
        <w:kinsoku/>
        <w:wordWrap/>
        <w:overflowPunct/>
        <w:topLinePunct w:val="0"/>
        <w:autoSpaceDE/>
        <w:autoSpaceDN/>
        <w:bidi w:val="0"/>
        <w:adjustRightInd w:val="0"/>
        <w:snapToGrid w:val="0"/>
        <w:spacing w:line="600" w:lineRule="exact"/>
        <w:ind w:firstLine="608"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eastAsia" w:eastAsia="仿宋_GB2312" w:cs="Times New Roman"/>
          <w:b w:val="0"/>
          <w:bCs w:val="0"/>
          <w:w w:val="95"/>
          <w:kern w:val="0"/>
          <w:position w:val="0"/>
          <w:sz w:val="32"/>
          <w:szCs w:val="32"/>
          <w:highlight w:val="none"/>
          <w:lang w:val="en-US" w:eastAsia="zh-CN" w:bidi="ar-SA"/>
        </w:rPr>
        <w:t>4.</w:t>
      </w:r>
      <w:r>
        <w:rPr>
          <w:rFonts w:hint="default" w:ascii="Times New Roman" w:hAnsi="Times New Roman" w:eastAsia="仿宋_GB2312" w:cs="Times New Roman"/>
          <w:b w:val="0"/>
          <w:bCs w:val="0"/>
          <w:w w:val="95"/>
          <w:kern w:val="0"/>
          <w:position w:val="0"/>
          <w:sz w:val="32"/>
          <w:szCs w:val="32"/>
          <w:highlight w:val="none"/>
          <w:lang w:val="en-US" w:eastAsia="zh-CN" w:bidi="ar-SA"/>
        </w:rPr>
        <w:t>预算编制精细化不足：年内多次调剂人员和科目，导致预算调整频次偏高。</w:t>
      </w:r>
    </w:p>
    <w:p w14:paraId="18E0998E">
      <w:pPr>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p>
    <w:p w14:paraId="66211955">
      <w:pPr>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eastAsia="仿宋_GB2312" w:cs="Times New Roman"/>
          <w:b w:val="0"/>
          <w:bCs w:val="0"/>
          <w:kern w:val="0"/>
          <w:position w:val="0"/>
          <w:sz w:val="32"/>
          <w:szCs w:val="32"/>
          <w:highlight w:val="none"/>
          <w:lang w:val="en-US" w:eastAsia="zh-CN" w:bidi="ar-SA"/>
        </w:rPr>
        <w:t>1.</w:t>
      </w:r>
      <w:r>
        <w:rPr>
          <w:rFonts w:hint="default" w:ascii="Times New Roman" w:hAnsi="Times New Roman" w:eastAsia="仿宋_GB2312" w:cs="Times New Roman"/>
          <w:b w:val="0"/>
          <w:bCs w:val="0"/>
          <w:kern w:val="0"/>
          <w:position w:val="0"/>
          <w:sz w:val="32"/>
          <w:szCs w:val="32"/>
          <w:highlight w:val="none"/>
          <w:lang w:val="en-US" w:eastAsia="zh-CN" w:bidi="ar-SA"/>
        </w:rPr>
        <w:t>强化项目前期论证和过程调度：对东西协作、消费促进类项目，提前明确验收节点和资金拨付条件，按月通报进度，确保当年项目当年完成支付。</w:t>
      </w:r>
    </w:p>
    <w:p w14:paraId="5EBE87CA">
      <w:pPr>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eastAsia="仿宋_GB2312" w:cs="Times New Roman"/>
          <w:b w:val="0"/>
          <w:bCs w:val="0"/>
          <w:kern w:val="0"/>
          <w:position w:val="0"/>
          <w:sz w:val="32"/>
          <w:szCs w:val="32"/>
          <w:highlight w:val="none"/>
          <w:lang w:val="en-US" w:eastAsia="zh-CN" w:bidi="ar-SA"/>
        </w:rPr>
        <w:t>2.</w:t>
      </w:r>
      <w:r>
        <w:rPr>
          <w:rFonts w:hint="default" w:ascii="Times New Roman" w:hAnsi="Times New Roman" w:eastAsia="仿宋_GB2312" w:cs="Times New Roman"/>
          <w:b w:val="0"/>
          <w:bCs w:val="0"/>
          <w:kern w:val="0"/>
          <w:position w:val="0"/>
          <w:sz w:val="32"/>
          <w:szCs w:val="32"/>
          <w:highlight w:val="none"/>
          <w:lang w:val="en-US" w:eastAsia="zh-CN" w:bidi="ar-SA"/>
        </w:rPr>
        <w:t>加快上级资金执行进度：建立“资金—项目—支付”联动台账，对已验收项目限时办结拨付，对长期未支付资金及时调整或收回。</w:t>
      </w:r>
    </w:p>
    <w:p w14:paraId="285DD851">
      <w:pPr>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eastAsia="仿宋_GB2312" w:cs="Times New Roman"/>
          <w:b w:val="0"/>
          <w:bCs w:val="0"/>
          <w:kern w:val="0"/>
          <w:position w:val="0"/>
          <w:sz w:val="32"/>
          <w:szCs w:val="32"/>
          <w:highlight w:val="none"/>
          <w:lang w:val="en-US" w:eastAsia="zh-CN" w:bidi="ar-SA"/>
        </w:rPr>
        <w:t>3.</w:t>
      </w:r>
      <w:r>
        <w:rPr>
          <w:rFonts w:hint="default" w:ascii="Times New Roman" w:hAnsi="Times New Roman" w:eastAsia="仿宋_GB2312" w:cs="Times New Roman"/>
          <w:b w:val="0"/>
          <w:bCs w:val="0"/>
          <w:kern w:val="0"/>
          <w:position w:val="0"/>
          <w:sz w:val="32"/>
          <w:szCs w:val="32"/>
          <w:highlight w:val="none"/>
          <w:lang w:val="en-US" w:eastAsia="zh-CN" w:bidi="ar-SA"/>
        </w:rPr>
        <w:t>优化绩效目标管理：2026年预算编制时，对执行周期较长的项目设置分阶段指标，避免目标偏离度过大。</w:t>
      </w:r>
    </w:p>
    <w:p w14:paraId="4088D795">
      <w:pPr>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eastAsia="仿宋_GB2312" w:cs="Times New Roman"/>
          <w:b w:val="0"/>
          <w:bCs w:val="0"/>
          <w:kern w:val="0"/>
          <w:position w:val="0"/>
          <w:sz w:val="32"/>
          <w:szCs w:val="32"/>
          <w:highlight w:val="none"/>
          <w:lang w:val="en-US" w:eastAsia="zh-CN" w:bidi="ar-SA"/>
        </w:rPr>
        <w:t>4.</w:t>
      </w:r>
      <w:r>
        <w:rPr>
          <w:rFonts w:hint="default" w:ascii="Times New Roman" w:hAnsi="Times New Roman" w:eastAsia="仿宋_GB2312" w:cs="Times New Roman"/>
          <w:b w:val="0"/>
          <w:bCs w:val="0"/>
          <w:kern w:val="0"/>
          <w:position w:val="0"/>
          <w:sz w:val="32"/>
          <w:szCs w:val="32"/>
          <w:highlight w:val="none"/>
          <w:lang w:val="en-US" w:eastAsia="zh-CN" w:bidi="ar-SA"/>
        </w:rPr>
        <w:t>提高预算编制准确性：严格控制预算调剂频率，人员变动提前与财政对接，减少科目调整次数。</w:t>
      </w:r>
    </w:p>
    <w:p w14:paraId="55EDD3A9">
      <w:pPr>
        <w:keepNext w:val="0"/>
        <w:keepLines w:val="0"/>
        <w:pageBreakBefore w:val="0"/>
        <w:widowControl/>
        <w:suppressLineNumbers w:val="0"/>
        <w:kinsoku/>
        <w:wordWrap/>
        <w:overflowPunct/>
        <w:topLinePunct w:val="0"/>
        <w:autoSpaceDE/>
        <w:autoSpaceDN/>
        <w:bidi w:val="0"/>
        <w:adjustRightInd/>
        <w:snapToGrid/>
        <w:spacing w:line="20" w:lineRule="exact"/>
        <w:jc w:val="both"/>
        <w:textAlignment w:val="center"/>
        <w:outlineLvl w:val="9"/>
        <w:rPr>
          <w:rFonts w:hint="eastAsia" w:ascii="Times New Roman" w:hAnsi="Times New Roman" w:eastAsia="宋体" w:cs="Times New Roman"/>
          <w:i w:val="0"/>
          <w:color w:val="000000"/>
          <w:kern w:val="0"/>
          <w:sz w:val="24"/>
          <w:szCs w:val="24"/>
          <w:u w:val="none"/>
          <w:lang w:val="zh-CN" w:eastAsia="zh-CN" w:bidi="ar"/>
        </w:rPr>
      </w:pPr>
    </w:p>
    <w:p w14:paraId="4158AC67">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22EC15DE">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5828E235">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11AD71F7">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5BC268CD">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70F6D0FA">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526E2344">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1BA30504">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20B850AD">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16323ABF">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060F2259">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7FA89F33">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694C99C5">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34F25B7F">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r>
        <w:rPr>
          <w:rFonts w:hint="eastAsia" w:ascii="方正小标宋简体" w:hAnsi="方正小标宋简体" w:eastAsia="方正小标宋简体" w:cs="方正小标宋简体"/>
          <w:b w:val="0"/>
          <w:bCs/>
          <w:sz w:val="44"/>
          <w:szCs w:val="44"/>
          <w:shd w:val="clear" w:color="auto" w:fill="FFFFFF"/>
          <w:lang w:eastAsia="zh-CN"/>
        </w:rPr>
        <w:t>马边彝族自治县经济和信息化局</w:t>
      </w:r>
    </w:p>
    <w:p w14:paraId="5198A97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700" w:lineRule="exact"/>
        <w:ind w:left="0" w:right="0" w:firstLine="0" w:firstLineChars="0"/>
        <w:jc w:val="center"/>
        <w:textAlignment w:val="auto"/>
        <w:rPr>
          <w:rFonts w:hint="eastAsia" w:ascii="方正小标宋简体" w:hAnsi="方正小标宋简体" w:eastAsia="方正小标宋简体" w:cs="方正小标宋简体"/>
          <w:b w:val="0"/>
          <w:bCs/>
          <w:color w:val="auto"/>
          <w:kern w:val="2"/>
          <w:sz w:val="44"/>
          <w:szCs w:val="44"/>
          <w:lang w:val="en-US" w:eastAsia="zh-CN" w:bidi="ar"/>
        </w:rPr>
      </w:pPr>
      <w:r>
        <w:rPr>
          <w:rFonts w:hint="eastAsia" w:ascii="方正小标宋简体" w:hAnsi="方正小标宋简体" w:eastAsia="方正小标宋简体" w:cs="方正小标宋简体"/>
          <w:b w:val="0"/>
          <w:bCs/>
          <w:color w:val="auto"/>
          <w:kern w:val="2"/>
          <w:sz w:val="44"/>
          <w:szCs w:val="44"/>
          <w:lang w:val="en-US" w:eastAsia="zh-CN" w:bidi="ar"/>
        </w:rPr>
        <w:t>关于地山净品农副产品加工厂房及微生物检验室建设项目获得该专项项目绩效评价的报告</w:t>
      </w:r>
    </w:p>
    <w:p w14:paraId="25167E58">
      <w:pPr>
        <w:keepNext w:val="0"/>
        <w:keepLines w:val="0"/>
        <w:widowControl w:val="0"/>
        <w:suppressLineNumbers w:val="0"/>
        <w:spacing w:before="0" w:beforeLines="0" w:beforeAutospacing="0" w:after="0" w:afterLines="0" w:afterAutospacing="0" w:line="578" w:lineRule="exact"/>
        <w:ind w:left="0" w:right="0" w:firstLine="640"/>
        <w:jc w:val="center"/>
        <w:rPr>
          <w:rFonts w:hint="default" w:ascii="Times New Roman" w:hAnsi="Times New Roman" w:eastAsia="Times New Roman" w:cs="Times New Roman"/>
          <w:color w:val="auto"/>
          <w:kern w:val="2"/>
          <w:sz w:val="32"/>
          <w:szCs w:val="32"/>
          <w:lang w:val="en-US" w:eastAsia="zh-CN" w:bidi="ar"/>
        </w:rPr>
      </w:pPr>
    </w:p>
    <w:p w14:paraId="72D463D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5BB88C67">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50B819F7">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2024年马边彝族自治县社会消费品零售总额达32.4亿元，年产优质土豆8万吨、茶叶5000吨，但深加工率不足5%，农副产品加工仍以初级产品为主。本项目将填补县域食品检测空白，满足SC生产许可对微生物指标的强制要求，推动本地茶叶、土豆等原料向红茶酥、土豆脆饼等高附加值产品转化；同时项目实施将有效破解马边彝族自治县农副产品“优质不优价”的发展困境，通过“标准化加工+质量检测+品牌营销”的全产业链打造，助推民族地区乡村振兴战略落地见效。</w:t>
      </w:r>
    </w:p>
    <w:p w14:paraId="087FD33C">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2025年7月，我局通知并指导四川地山净品食品有限公司按照四川省经济和信息化厅、财政厅《关于组织开展2025年39个欠发达县域拖底性帮扶项目资金申报工作的通知》（川经信农加〔2025〕107号）文件要求，对欠发达县域拖底性帮扶项目进行了资金申报；2025年8月8日，我局受市经信局委托组织专家对申报项目组织了评审；根据四川省经济和信息化厅办公室《关于做好2025年第四批省级工业发展专项资金管理工作的通知》（川经信办〔2025〕71号）和（川财建〔2025〕208号）文件，申报项目获得2025年第四批省级工业发展专项资金56万元，目前根据项目完成进度拨付资金比例的70%，应拨付金额为39.2万元，已于2025年12月3日拨付至企业，剩余部分将于项目完工后拨付到位。</w:t>
      </w:r>
    </w:p>
    <w:p w14:paraId="25DE15B0">
      <w:pPr>
        <w:keepNext w:val="0"/>
        <w:keepLines w:val="0"/>
        <w:pageBreakBefore w:val="0"/>
        <w:numPr>
          <w:ilvl w:val="0"/>
          <w:numId w:val="2"/>
        </w:numPr>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14:paraId="2B7C3A80">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该项目的实施有助于解决我县农副产品加工企业长期缺乏专业检测能力的问题，满足SC生产许可对微生物指标的强制监管要求，推动初级产品向高附加值产品转化，实现农产品从初级加工向精深加工的转型，对提高马边县农产品市场竞争力、促进农业增效具有十分重要的意义。项目建成后，预计可使马边彝族自治县农产品加工产值三年内实现翻番，促进民族地区社会经济高质量发展。</w:t>
      </w:r>
    </w:p>
    <w:p w14:paraId="78D70EE8">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四川省经济和信息化厅、财政厅《关于组织开展2025年39个欠发达县域拖底性帮扶项目资金申报工作的通知》（川经信农加〔2025〕107号）文件中明确，该资金用于工业和信息化领域的生产线扩产提能、升级改造、节能降耗等提高劳动生产率的制造业产业化项目，项目要求建设进度50%以上，且已完成生产性固定资产投资额应不低于300万元。</w:t>
      </w:r>
    </w:p>
    <w:p w14:paraId="604AFE8C">
      <w:pPr>
        <w:keepNext w:val="0"/>
        <w:keepLines w:val="0"/>
        <w:pageBreakBefore w:val="0"/>
        <w:widowControl/>
        <w:numPr>
          <w:ilvl w:val="0"/>
          <w:numId w:val="2"/>
        </w:numPr>
        <w:kinsoku/>
        <w:wordWrap/>
        <w:overflowPunct/>
        <w:topLinePunct w:val="0"/>
        <w:autoSpaceDE/>
        <w:autoSpaceDN/>
        <w:bidi w:val="0"/>
        <w:adjustRightInd w:val="0"/>
        <w:snapToGrid w:val="0"/>
        <w:spacing w:line="600"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14:paraId="63AF5760">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根据四川省经济和信息化厅办公室《关于做好2025年第四批省级工业发展专项资金管理工作的通知》（川经信办〔2025〕71号）和（川财建〔2025〕208号）文件，单个项目按照不超过已完成生产性固定资产投资额的20%给予支持，该项目专项资金共56万元整。</w:t>
      </w:r>
    </w:p>
    <w:p w14:paraId="0016E03D">
      <w:pPr>
        <w:keepNext w:val="0"/>
        <w:keepLines w:val="0"/>
        <w:pageBreakBefore w:val="0"/>
        <w:numPr>
          <w:ilvl w:val="0"/>
          <w:numId w:val="2"/>
        </w:numPr>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14:paraId="68855D10">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该项目绩效目标主要依据四川省经济和信息化厅、财政厅《关于组织开展2025年39个欠发达县域拖底性帮扶项目资金申报工作的通知》（川经信农加〔2025〕107号）文件设置，项目为工业和信息化领域的生产线扩产提能、升级改造、节能降耗等提高劳动生产率的制造业产业化项目，且建设进度50%以上，已完成生产性固定资产投资额应不低于300万元的项目，按照单个项目按照不超过已完成生产性固定资产投资额的20%给予支持。</w:t>
      </w:r>
    </w:p>
    <w:p w14:paraId="4B4CB31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6B647E9B">
      <w:pPr>
        <w:keepNext w:val="0"/>
        <w:keepLines w:val="0"/>
        <w:pageBreakBefore w:val="0"/>
        <w:widowControl w:val="0"/>
        <w:kinsoku/>
        <w:wordWrap/>
        <w:overflowPunct/>
        <w:topLinePunct w:val="0"/>
        <w:autoSpaceDE/>
        <w:autoSpaceDN/>
        <w:bidi w:val="0"/>
        <w:spacing w:line="600" w:lineRule="exact"/>
        <w:ind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0C934AB9">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通过项目绩效自评准确了解项目资金投向及使用情况，支持项目建设内容完成情况等，确保资金使用符合相关规定。</w:t>
      </w:r>
    </w:p>
    <w:p w14:paraId="29E7C79C">
      <w:pPr>
        <w:keepNext w:val="0"/>
        <w:keepLines w:val="0"/>
        <w:pageBreakBefore w:val="0"/>
        <w:widowControl w:val="0"/>
        <w:numPr>
          <w:ilvl w:val="0"/>
          <w:numId w:val="3"/>
        </w:numPr>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67AE0DD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马边彝族自治县地山净品农副产品加工厂房及微生物检验室建设项目获得该专项项目资金56万元，根据项目完成进度拨付资金比例的70%，应拨付金额为39.2万元，已于2025年12月3日拨付至企业，剩余部分待项目完工后拨付，目前主要针对该项目是否达到绩效目标进行评价。</w:t>
      </w:r>
    </w:p>
    <w:p w14:paraId="30F80039">
      <w:pPr>
        <w:keepNext w:val="0"/>
        <w:keepLines w:val="0"/>
        <w:pageBreakBefore w:val="0"/>
        <w:widowControl w:val="0"/>
        <w:numPr>
          <w:ilvl w:val="0"/>
          <w:numId w:val="3"/>
        </w:numPr>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73087E7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马边彝族自治县地山净品农副产品加工厂房及微生物检验室建设项目。</w:t>
      </w:r>
    </w:p>
    <w:p w14:paraId="45360347">
      <w:pPr>
        <w:keepNext w:val="0"/>
        <w:keepLines w:val="0"/>
        <w:pageBreakBefore w:val="0"/>
        <w:widowControl w:val="0"/>
        <w:numPr>
          <w:ilvl w:val="0"/>
          <w:numId w:val="3"/>
        </w:numPr>
        <w:kinsoku/>
        <w:wordWrap/>
        <w:overflowPunct/>
        <w:topLinePunct w:val="0"/>
        <w:autoSpaceDE/>
        <w:autoSpaceDN/>
        <w:bidi w:val="0"/>
        <w:spacing w:line="60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6DEE7C69">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单位自评法、座谈调研法。</w:t>
      </w:r>
    </w:p>
    <w:p w14:paraId="4CBABA07">
      <w:pPr>
        <w:keepNext w:val="0"/>
        <w:keepLines w:val="0"/>
        <w:pageBreakBefore w:val="0"/>
        <w:widowControl w:val="0"/>
        <w:numPr>
          <w:ilvl w:val="0"/>
          <w:numId w:val="3"/>
        </w:numPr>
        <w:kinsoku/>
        <w:wordWrap/>
        <w:overflowPunct/>
        <w:topLinePunct w:val="0"/>
        <w:autoSpaceDE/>
        <w:autoSpaceDN/>
        <w:bidi w:val="0"/>
        <w:spacing w:line="60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评价组织。</w:t>
      </w:r>
    </w:p>
    <w:p w14:paraId="6DDA1A7B">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rPr>
        <w:t>组长：王英，牵头负责评价工作。</w:t>
      </w:r>
    </w:p>
    <w:p w14:paraId="67F1A8C1">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bCs/>
          <w:sz w:val="32"/>
          <w:szCs w:val="32"/>
          <w:lang w:eastAsia="zh-CN"/>
        </w:rPr>
      </w:pP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成员：唐开钦，参与评价工作；徐艳彬，参与评价工作，负责专项预算支持项目资料收集工作。</w:t>
      </w:r>
    </w:p>
    <w:p w14:paraId="16B51EEA">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14:paraId="55FE9362">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0E287B08">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lang w:eastAsia="zh-CN"/>
        </w:rPr>
        <w:t>项目决策。</w:t>
      </w:r>
      <w:r>
        <w:rPr>
          <w:rFonts w:hint="default" w:ascii="Times New Roman" w:hAnsi="Times New Roman" w:eastAsia="仿宋_GB2312" w:cs="Times New Roman"/>
          <w:color w:val="auto"/>
          <w:sz w:val="32"/>
          <w:szCs w:val="32"/>
          <w:lang w:eastAsia="zh-CN"/>
        </w:rPr>
        <w:t>本项目主要支持工业和信息化领域的生产线扩产提能、升级改造、节能降耗等提高劳动生产率的制造业产业化项目，具有必要性、前瞻性、合理性和可行性，符合资金管理基本规范和决策程序要求。项目规划符合中央、省委省政府有关决策部署安排，项目绩效目标设置科学合理；该项目与其它同类项目或部门内部相关项目无交叉重复。</w:t>
      </w:r>
    </w:p>
    <w:p w14:paraId="2B7ECA8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2.</w:t>
      </w:r>
      <w:r>
        <w:rPr>
          <w:rFonts w:hint="default" w:ascii="Times New Roman" w:hAnsi="Times New Roman" w:eastAsia="楷体_GB2312" w:cs="Times New Roman"/>
          <w:color w:val="auto"/>
          <w:sz w:val="32"/>
          <w:szCs w:val="32"/>
          <w:lang w:eastAsia="zh-CN"/>
        </w:rPr>
        <w:t>项目管理。</w:t>
      </w:r>
      <w:r>
        <w:rPr>
          <w:rFonts w:hint="default" w:ascii="Times New Roman" w:hAnsi="Times New Roman" w:eastAsia="仿宋_GB2312" w:cs="Times New Roman"/>
          <w:color w:val="auto"/>
          <w:sz w:val="32"/>
          <w:szCs w:val="32"/>
          <w:lang w:eastAsia="zh-CN"/>
        </w:rPr>
        <w:t>资金管理办法等管理制度体系健全完善，资金分配严格按管理办法执行，资金分配依据充分合理，申报审核分配程序符合要求，实行入库项目动态管理、推动资金竞争性分配。严格按中省要求全面完成绩效目标、绩效评价等预算绩效管理工作，对获得资金单位预算绩效管理要求到位。</w:t>
      </w:r>
    </w:p>
    <w:p w14:paraId="1BDF5B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3.项目实施。</w:t>
      </w:r>
      <w:r>
        <w:rPr>
          <w:rFonts w:hint="default" w:ascii="Times New Roman" w:hAnsi="Times New Roman" w:eastAsia="仿宋_GB2312" w:cs="Times New Roman"/>
          <w:color w:val="auto"/>
          <w:sz w:val="32"/>
          <w:szCs w:val="32"/>
          <w:lang w:eastAsia="zh-CN"/>
        </w:rPr>
        <w:t>项目70%拨付比例资金已于2025年12月3日执行到位，剩余部分将于项目完工后拨付到位，资金使用拨付、项目实施符合规定。</w:t>
      </w:r>
    </w:p>
    <w:p w14:paraId="6B808E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color w:val="auto"/>
          <w:sz w:val="32"/>
          <w:szCs w:val="32"/>
          <w:lang w:val="en-US" w:eastAsia="zh-CN"/>
        </w:rPr>
        <w:t>4.项目结果。</w:t>
      </w:r>
      <w:r>
        <w:rPr>
          <w:rFonts w:hint="default" w:ascii="Times New Roman" w:hAnsi="Times New Roman" w:eastAsia="仿宋_GB2312" w:cs="Times New Roman"/>
          <w:color w:val="auto"/>
          <w:sz w:val="32"/>
          <w:szCs w:val="32"/>
          <w:lang w:val="en-US" w:eastAsia="zh-CN"/>
        </w:rPr>
        <w:t>项目如期完成预期目标，支持项目已于2025年12月3日前完成整体建设进度的70%，达到绩效目标建设进度50%以上的要求。</w:t>
      </w:r>
    </w:p>
    <w:p w14:paraId="1D9B5F84">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0BD8E2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zh-CN" w:eastAsia="zh-CN"/>
        </w:rPr>
        <w:t>（</w:t>
      </w:r>
      <w:r>
        <w:rPr>
          <w:rFonts w:hint="eastAsia" w:eastAsia="仿宋_GB2312" w:cs="Times New Roman"/>
          <w:color w:val="auto"/>
          <w:sz w:val="32"/>
          <w:szCs w:val="32"/>
          <w:lang w:val="en-US" w:eastAsia="zh-CN"/>
        </w:rPr>
        <w:t>1</w:t>
      </w:r>
      <w:r>
        <w:rPr>
          <w:rFonts w:hint="eastAsia"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产业发展类：项目实施与省委省政府支持重点、产业支持政策符合，有助于我县农副产品加工企业成长性，企业创新创造创业能力不断提升，获得支持的企业主营业务收入、净利润、税收、产量稳步增长。</w:t>
      </w:r>
    </w:p>
    <w:p w14:paraId="2498CAD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zh-CN"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民生保障类：能有效带动企业投资，支持项目的建设，有助于企业发展壮大，吸纳就业，支持对象满意度达100%。</w:t>
      </w:r>
    </w:p>
    <w:p w14:paraId="34AE19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zh-CN"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基础设施类：支持70%拨付比例资金已于2025年12月3日拨付企业，剩余部分将于项目完工后拨付到位，支持项目建设；项目建成后，预计可带动县域农产品加工产值提升20%以上，项目已于2025年8月8日通过专家组评审。</w:t>
      </w:r>
    </w:p>
    <w:p w14:paraId="6F52415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zh-CN" w:eastAsia="zh-CN"/>
        </w:rPr>
        <w:t>（</w:t>
      </w:r>
      <w:r>
        <w:rPr>
          <w:rFonts w:hint="eastAsia" w:eastAsia="仿宋_GB2312" w:cs="Times New Roman"/>
          <w:color w:val="auto"/>
          <w:sz w:val="32"/>
          <w:szCs w:val="32"/>
          <w:lang w:val="en-US" w:eastAsia="zh-CN"/>
        </w:rPr>
        <w:t>4</w:t>
      </w:r>
      <w:r>
        <w:rPr>
          <w:rFonts w:hint="eastAsia"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行政运转类：专项资金用于支持农副产品加工和微生物检验室项目建设，用途合规，标准设置合理，资金申报、评审、拨付等环节公平合规。</w:t>
      </w:r>
    </w:p>
    <w:p w14:paraId="2D0F583C">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4A5413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项目的实施有助于我县农产品初级加工加速向精深加工发展，能引导和促进产业结构调整，提升农产品附加值和市场竞争力，带动广大农民增收、促进农业增效，助推民族地区乡村振兴。</w:t>
      </w:r>
    </w:p>
    <w:p w14:paraId="70F19FCB">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四</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14:paraId="565CCD30">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项目决策程序严密，符合相关发展规划，资金管理制度健全，资金申报、审核、分配程序合理公平，资金支持项目如期建设，相关绩效目标如期实现，自评得分：98.8分。</w:t>
      </w:r>
    </w:p>
    <w:p w14:paraId="26C4EA35">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zh-CN" w:bidi="ar-SA"/>
        </w:rPr>
      </w:pPr>
      <w:r>
        <w:rPr>
          <w:rFonts w:hint="default" w:ascii="Times New Roman" w:hAnsi="Times New Roman" w:eastAsia="黑体" w:cs="Times New Roman"/>
          <w:color w:val="auto"/>
          <w:kern w:val="0"/>
          <w:position w:val="3"/>
          <w:sz w:val="32"/>
          <w:szCs w:val="32"/>
          <w:highlight w:val="none"/>
          <w:u w:val="none"/>
          <w:lang w:val="en-US" w:eastAsia="zh-CN" w:bidi="ar-SA"/>
        </w:rPr>
        <w:t>五、存在主要问题</w:t>
      </w:r>
    </w:p>
    <w:p w14:paraId="79CDC0A0">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项目实际施工进度问题，专项资金无法全部到位。</w:t>
      </w:r>
    </w:p>
    <w:p w14:paraId="2ABF98CD">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0A09FAF2">
      <w:pPr>
        <w:pageBreakBefore w:val="0"/>
        <w:tabs>
          <w:tab w:val="left" w:pos="1911"/>
        </w:tabs>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实时跟踪项目进度，增进联系，了解项目建设过程中是否存在问题、困难，及时做到跟进解决，待项目实际完成后，将剩余专项资金拨付到位。</w:t>
      </w:r>
    </w:p>
    <w:p w14:paraId="50117FD3">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782F0B48">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119023D4">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15843BEF">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650B2B0B">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23027DCD">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0C95587B">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3DAF7CF2">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0A5BDE4F">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2F2EA9A4">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66C13AEF">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72C2D651">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05013A97">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r>
        <w:rPr>
          <w:rFonts w:hint="eastAsia" w:ascii="方正小标宋简体" w:hAnsi="方正小标宋简体" w:eastAsia="方正小标宋简体" w:cs="方正小标宋简体"/>
          <w:b w:val="0"/>
          <w:bCs/>
          <w:sz w:val="44"/>
          <w:szCs w:val="44"/>
          <w:shd w:val="clear" w:color="auto" w:fill="FFFFFF"/>
          <w:lang w:eastAsia="zh-CN"/>
        </w:rPr>
        <w:t>马边彝族自治县经济和信息化局</w:t>
      </w:r>
    </w:p>
    <w:p w14:paraId="42C8C879">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color w:val="auto"/>
          <w:kern w:val="2"/>
          <w:sz w:val="44"/>
          <w:szCs w:val="44"/>
          <w:lang w:val="en-US" w:eastAsia="zh-CN" w:bidi="ar"/>
        </w:rPr>
      </w:pPr>
      <w:r>
        <w:rPr>
          <w:rFonts w:hint="eastAsia" w:ascii="方正小标宋简体" w:hAnsi="方正小标宋简体" w:eastAsia="方正小标宋简体" w:cs="方正小标宋简体"/>
          <w:b w:val="0"/>
          <w:bCs/>
          <w:sz w:val="44"/>
          <w:szCs w:val="44"/>
          <w:shd w:val="clear" w:color="auto" w:fill="FFFFFF"/>
        </w:rPr>
        <w:t>2025年省级财政规上工业企业研发平台建设专项资金（第二批）</w:t>
      </w:r>
      <w:r>
        <w:rPr>
          <w:rFonts w:hint="eastAsia" w:ascii="方正小标宋简体" w:hAnsi="方正小标宋简体" w:eastAsia="方正小标宋简体" w:cs="方正小标宋简体"/>
          <w:b w:val="0"/>
          <w:bCs/>
          <w:color w:val="auto"/>
          <w:kern w:val="2"/>
          <w:sz w:val="44"/>
          <w:szCs w:val="44"/>
          <w:lang w:val="en-US" w:eastAsia="zh-CN" w:bidi="ar"/>
        </w:rPr>
        <w:t>绩效评价报告</w:t>
      </w:r>
    </w:p>
    <w:p w14:paraId="7C386933">
      <w:pPr>
        <w:keepNext w:val="0"/>
        <w:keepLines w:val="0"/>
        <w:widowControl w:val="0"/>
        <w:suppressLineNumbers w:val="0"/>
        <w:spacing w:before="0" w:beforeLines="0" w:beforeAutospacing="0" w:after="0" w:afterLines="0" w:afterAutospacing="0" w:line="578" w:lineRule="exact"/>
        <w:ind w:left="0" w:right="0" w:firstLine="640"/>
        <w:jc w:val="center"/>
        <w:rPr>
          <w:rFonts w:hint="eastAsia" w:ascii="方正小标宋简体" w:hAnsi="方正小标宋简体" w:eastAsia="方正小标宋简体" w:cs="方正小标宋简体"/>
          <w:b w:val="0"/>
          <w:bCs/>
          <w:color w:val="auto"/>
          <w:kern w:val="2"/>
          <w:sz w:val="44"/>
          <w:szCs w:val="44"/>
          <w:lang w:val="en-US" w:eastAsia="zh-CN" w:bidi="ar"/>
        </w:rPr>
      </w:pPr>
    </w:p>
    <w:p w14:paraId="3107DF3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368E82E0">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Times New Roman" w:hAnsi="Times New Roman" w:eastAsia="楷体_GB2312" w:cs="Times New Roman"/>
          <w:b w:val="0"/>
          <w:bCs/>
          <w:color w:val="auto"/>
          <w:sz w:val="32"/>
          <w:szCs w:val="32"/>
          <w:highlight w:val="none"/>
          <w:u w:val="none"/>
          <w:lang w:val="zh-CN"/>
        </w:rPr>
      </w:pPr>
      <w:r>
        <w:rPr>
          <w:rFonts w:hint="default" w:ascii="Times New Roman" w:hAnsi="Times New Roman" w:eastAsia="楷体_GB2312" w:cs="Times New Roman"/>
          <w:b w:val="0"/>
          <w:bCs/>
          <w:color w:val="auto"/>
          <w:sz w:val="32"/>
          <w:szCs w:val="32"/>
          <w:highlight w:val="none"/>
          <w:u w:val="none"/>
          <w:lang w:val="zh-CN"/>
        </w:rPr>
        <w:t>（一）设立背景及基本情况。</w:t>
      </w:r>
    </w:p>
    <w:p w14:paraId="291BD8F5">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为深入贯彻落实创新驱动发展战略，进一步提升规上工业企业自主研发能力，引导全省规上工业企业普遍建立研发机构，根据省政府第61次常务会议审议通过的资金分配建议，省级财政设立规上工业企业研发平台建设专项资金。四川蜀能矿产有限责任公司作为马边彝族自治县重点规上工业企业，在磷酸铁锂电池原料领域具备产业基础和技术积累，亟需建设专业化研发平台以突破关键技术瓶颈。基于企业申报、县级初审、市级复核、省级审批程序，该项目成功纳入2025年省级财政规上工业企业研发平台建设专项资金（第二批）支持范围。项目主管部门为马边彝族自治县经济和信息化局，主要负责项目申报组织、资金拨付监管、进度跟踪及绩效自评等工作。</w:t>
      </w:r>
    </w:p>
    <w:p w14:paraId="4AACBD97">
      <w:pPr>
        <w:keepNext w:val="0"/>
        <w:keepLines w:val="0"/>
        <w:pageBreakBefore w:val="0"/>
        <w:numPr>
          <w:ilvl w:val="0"/>
          <w:numId w:val="4"/>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楷体_GB2312" w:cs="Times New Roman"/>
          <w:b w:val="0"/>
          <w:bCs/>
          <w:color w:val="auto"/>
          <w:sz w:val="32"/>
          <w:szCs w:val="32"/>
          <w:highlight w:val="none"/>
          <w:u w:val="none"/>
          <w:lang w:val="en-US" w:eastAsia="zh-CN"/>
        </w:rPr>
      </w:pPr>
      <w:r>
        <w:rPr>
          <w:rFonts w:hint="default" w:ascii="Times New Roman" w:hAnsi="Times New Roman" w:eastAsia="楷体_GB2312" w:cs="Times New Roman"/>
          <w:b w:val="0"/>
          <w:bCs/>
          <w:color w:val="auto"/>
          <w:sz w:val="32"/>
          <w:szCs w:val="32"/>
          <w:highlight w:val="none"/>
          <w:u w:val="none"/>
          <w:lang w:val="en-US" w:eastAsia="zh-CN"/>
        </w:rPr>
        <w:t>实施目的及支持方向。</w:t>
      </w:r>
    </w:p>
    <w:p w14:paraId="7D46D5F5">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eastAsia" w:eastAsia="仿宋_GB2312" w:cs="Times New Roman"/>
          <w:color w:val="auto"/>
          <w:kern w:val="0"/>
          <w:sz w:val="32"/>
          <w:szCs w:val="32"/>
          <w:highlight w:val="none"/>
          <w:u w:val="none"/>
          <w:shd w:val="clear" w:color="auto" w:fill="FFFFFF"/>
          <w:lang w:val="en-US" w:eastAsia="zh-CN"/>
        </w:rPr>
        <w:t>1.</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项目实施目的：支持四川蜀能矿产有限责任公司建设“磷酸铁锂电池原料关键技术研发平台”，提升企业在新能源电池材料领域的技术创新能力，推动磷酸铁锂电池原料关键技术突破，带动企业及区域产业高质量发展。</w:t>
      </w:r>
    </w:p>
    <w:p w14:paraId="628F975D">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楷体_GB2312" w:cs="Times New Roman"/>
          <w:b/>
          <w:color w:val="auto"/>
          <w:sz w:val="32"/>
          <w:szCs w:val="32"/>
          <w:highlight w:val="none"/>
          <w:u w:val="none"/>
          <w:lang w:val="zh-CN"/>
        </w:rPr>
      </w:pPr>
      <w:r>
        <w:rPr>
          <w:rFonts w:hint="eastAsia" w:eastAsia="仿宋_GB2312" w:cs="Times New Roman"/>
          <w:color w:val="auto"/>
          <w:kern w:val="0"/>
          <w:sz w:val="32"/>
          <w:szCs w:val="32"/>
          <w:highlight w:val="none"/>
          <w:u w:val="none"/>
          <w:shd w:val="clear" w:color="auto" w:fill="FFFFFF"/>
          <w:lang w:val="en-US" w:eastAsia="zh-CN"/>
        </w:rPr>
        <w:t>2.</w:t>
      </w:r>
      <w:r>
        <w:rPr>
          <w:rFonts w:hint="default" w:ascii="Times New Roman" w:hAnsi="Times New Roman" w:eastAsia="仿宋_GB2312" w:cs="Times New Roman"/>
          <w:color w:val="auto"/>
          <w:kern w:val="0"/>
          <w:sz w:val="32"/>
          <w:szCs w:val="32"/>
          <w:highlight w:val="none"/>
          <w:u w:val="none"/>
          <w:shd w:val="clear" w:color="auto" w:fill="FFFFFF"/>
          <w:lang w:val="en-US" w:eastAsia="zh-CN"/>
        </w:rPr>
        <w:t>资金管理依据：《四川省省级财政规上工业企业研发平台建设专项资金管理办法》及相关实施细则。项目支持方向为：研发场地建设、研发设备购置、关键技术研发、人才引进培养、专利申报等与企业研发平台建设直接相关的支出。</w:t>
      </w:r>
    </w:p>
    <w:p w14:paraId="6339E478">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Times New Roman" w:hAnsi="Times New Roman" w:eastAsia="楷体_GB2312" w:cs="Times New Roman"/>
          <w:b w:val="0"/>
          <w:bCs/>
          <w:color w:val="auto"/>
          <w:sz w:val="32"/>
          <w:szCs w:val="32"/>
          <w:highlight w:val="none"/>
          <w:u w:val="none"/>
          <w:lang w:val="zh-CN" w:eastAsia="zh-CN"/>
        </w:rPr>
      </w:pPr>
      <w:r>
        <w:rPr>
          <w:rFonts w:hint="default" w:ascii="Times New Roman" w:hAnsi="Times New Roman" w:eastAsia="楷体_GB2312" w:cs="Times New Roman"/>
          <w:b w:val="0"/>
          <w:bCs/>
          <w:color w:val="auto"/>
          <w:sz w:val="32"/>
          <w:szCs w:val="32"/>
          <w:highlight w:val="none"/>
          <w:u w:val="none"/>
          <w:lang w:val="zh-CN" w:eastAsia="zh-CN"/>
        </w:rPr>
        <w:t>（三）</w:t>
      </w:r>
      <w:r>
        <w:rPr>
          <w:rFonts w:hint="default" w:ascii="Times New Roman" w:hAnsi="Times New Roman" w:eastAsia="楷体_GB2312" w:cs="Times New Roman"/>
          <w:b w:val="0"/>
          <w:bCs/>
          <w:color w:val="auto"/>
          <w:sz w:val="32"/>
          <w:szCs w:val="32"/>
          <w:highlight w:val="none"/>
          <w:u w:val="none"/>
          <w:lang w:val="en-US" w:eastAsia="zh-CN"/>
        </w:rPr>
        <w:t>预算安排及分配管理</w:t>
      </w:r>
      <w:r>
        <w:rPr>
          <w:rFonts w:hint="default" w:ascii="Times New Roman" w:hAnsi="Times New Roman" w:eastAsia="楷体_GB2312" w:cs="Times New Roman"/>
          <w:b w:val="0"/>
          <w:bCs/>
          <w:color w:val="auto"/>
          <w:sz w:val="32"/>
          <w:szCs w:val="32"/>
          <w:highlight w:val="none"/>
          <w:u w:val="none"/>
          <w:lang w:val="zh-CN" w:eastAsia="zh-CN"/>
        </w:rPr>
        <w:t>。</w:t>
      </w:r>
    </w:p>
    <w:p w14:paraId="22F6FAF9">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省级财政下达马边彝族自治县2025年规上工业企业研发平台建设专项资金（第二批）总额为200万元，专项用于四川蜀能矿产有限责任公司“磷酸铁锂电池原料关键技术研发平台建设”项目。资金分配遵循“突出重点、专款专用、绩效导向”原则，根据企业项目申报书、研发投入计划及预期绩效目标进行核定。资金由县财政局拨付至县经济和信息化局，再由县经济和信息化局按规定拨付至项目单位，实行专账管理、专款专用。</w:t>
      </w:r>
    </w:p>
    <w:p w14:paraId="7519DCA4">
      <w:pPr>
        <w:keepNext w:val="0"/>
        <w:keepLines w:val="0"/>
        <w:pageBreakBefore w:val="0"/>
        <w:numPr>
          <w:ilvl w:val="0"/>
          <w:numId w:val="0"/>
        </w:numPr>
        <w:kinsoku/>
        <w:wordWrap/>
        <w:overflowPunct/>
        <w:topLinePunct w:val="0"/>
        <w:autoSpaceDE/>
        <w:autoSpaceDN/>
        <w:bidi w:val="0"/>
        <w:adjustRightInd w:val="0"/>
        <w:snapToGrid w:val="0"/>
        <w:spacing w:line="600" w:lineRule="exact"/>
        <w:ind w:leftChars="200"/>
        <w:textAlignment w:val="auto"/>
        <w:rPr>
          <w:rFonts w:hint="default" w:ascii="Times New Roman" w:hAnsi="Times New Roman" w:eastAsia="楷体_GB2312" w:cs="Times New Roman"/>
          <w:b w:val="0"/>
          <w:bCs/>
          <w:color w:val="auto"/>
          <w:sz w:val="32"/>
          <w:szCs w:val="32"/>
          <w:highlight w:val="none"/>
          <w:u w:val="none"/>
          <w:lang w:val="zh-CN" w:eastAsia="zh-CN"/>
        </w:rPr>
      </w:pPr>
      <w:r>
        <w:rPr>
          <w:rFonts w:hint="eastAsia" w:eastAsia="楷体_GB2312" w:cs="Times New Roman"/>
          <w:b w:val="0"/>
          <w:bCs/>
          <w:color w:val="auto"/>
          <w:sz w:val="32"/>
          <w:szCs w:val="32"/>
          <w:highlight w:val="none"/>
          <w:u w:val="none"/>
          <w:lang w:val="zh-CN" w:eastAsia="zh-CN"/>
        </w:rPr>
        <w:t>（四）</w:t>
      </w:r>
      <w:r>
        <w:rPr>
          <w:rFonts w:hint="default" w:ascii="Times New Roman" w:hAnsi="Times New Roman" w:eastAsia="楷体_GB2312" w:cs="Times New Roman"/>
          <w:b w:val="0"/>
          <w:bCs/>
          <w:color w:val="auto"/>
          <w:sz w:val="32"/>
          <w:szCs w:val="32"/>
          <w:highlight w:val="none"/>
          <w:u w:val="none"/>
          <w:lang w:val="zh-CN" w:eastAsia="zh-CN"/>
        </w:rPr>
        <w:t>项目绩效目标设置。</w:t>
      </w:r>
    </w:p>
    <w:p w14:paraId="2793D7EF">
      <w:pPr>
        <w:keepNext w:val="0"/>
        <w:keepLines w:val="0"/>
        <w:pageBreakBefore w:val="0"/>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本项目围绕“磷酸铁锂电池原料关键技术研发平台建设”核心任务，结合省级专项资金绩效目标要求及企业实际，分层级设置了整体目标与具体绩效指标。</w:t>
      </w:r>
    </w:p>
    <w:p w14:paraId="63920406">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1.项目整体绩效目标</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到2025年底，建成1个“磷酸铁锂电池原料关键技术研发平台”，突破磷酸铁锂电池原料领域关键核心技术，显著提升企业自主研发能力和创新水平，为马边彝族自治县规上工业企业研发平台建设发挥示范带动作用。</w:t>
      </w:r>
    </w:p>
    <w:p w14:paraId="2668643D">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2.产出指标</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在数量方面，项目将带动新增规上工业企业研发平台1家。在质量方面，项目计划开发新产品不少于2项，研发新技术或新工艺不少于4项，完成发明专利授权或受理不少于8项。</w:t>
      </w:r>
    </w:p>
    <w:p w14:paraId="70657AF3">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3.效益指标</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在经济效益方面，通过财政资金引导，项目将带动企业技术创新投入不少于1800万元，其中新增研发设备投入总值不少于600万元。在社会效益方面，项目的实施将促进当地新能源材料产业技术进步，提升产业链技术水平，增加技术人才就业岗位。</w:t>
      </w:r>
    </w:p>
    <w:p w14:paraId="3E91AC73">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4.满意度指标</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服务企业对本次资金政策的满意程度设定为不低于90%。</w:t>
      </w:r>
    </w:p>
    <w:p w14:paraId="797AEF1C">
      <w:pPr>
        <w:keepNext w:val="0"/>
        <w:keepLines w:val="0"/>
        <w:pageBreakBefore w:val="0"/>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eastAsia" w:eastAsia="仿宋_GB2312" w:cs="Times New Roman"/>
          <w:color w:val="auto"/>
          <w:kern w:val="0"/>
          <w:sz w:val="32"/>
          <w:szCs w:val="32"/>
          <w:highlight w:val="none"/>
          <w:u w:val="none"/>
          <w:shd w:val="clear" w:color="auto" w:fill="FFFFFF"/>
          <w:lang w:val="en-US" w:eastAsia="zh-CN"/>
        </w:rPr>
        <w:t>5</w:t>
      </w:r>
      <w:r>
        <w:rPr>
          <w:rFonts w:hint="default" w:ascii="Times New Roman" w:hAnsi="Times New Roman" w:eastAsia="仿宋_GB2312" w:cs="Times New Roman"/>
          <w:color w:val="auto"/>
          <w:kern w:val="0"/>
          <w:sz w:val="32"/>
          <w:szCs w:val="32"/>
          <w:highlight w:val="none"/>
          <w:u w:val="none"/>
          <w:shd w:val="clear" w:color="auto" w:fill="FFFFFF"/>
          <w:lang w:val="zh-CN" w:eastAsia="zh-CN"/>
        </w:rPr>
        <w:t>.绩效自评工作</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项目绩效自评由马边彝族自治县经济和信息化局会同县财政局组织开展，采用单位自评、实地核查、资料审查及企业满意度问卷调查相结合的方式，对照上述绩效目标逐项核实完成情况，形成本评价报告。</w:t>
      </w:r>
    </w:p>
    <w:p w14:paraId="31321B2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0CC7D15A">
      <w:pPr>
        <w:keepNext w:val="0"/>
        <w:keepLines w:val="0"/>
        <w:pageBreakBefore w:val="0"/>
        <w:widowControl w:val="0"/>
        <w:kinsoku/>
        <w:wordWrap/>
        <w:overflowPunct/>
        <w:topLinePunct w:val="0"/>
        <w:autoSpaceDE/>
        <w:autoSpaceDN/>
        <w:bidi w:val="0"/>
        <w:spacing w:line="600" w:lineRule="exact"/>
        <w:ind w:firstLine="640"/>
        <w:textAlignment w:val="auto"/>
        <w:outlineLvl w:val="9"/>
        <w:rPr>
          <w:rFonts w:hint="default" w:ascii="Times New Roman" w:hAnsi="Times New Roman" w:eastAsia="楷体_GB2312" w:cs="Times New Roman"/>
          <w:b w:val="0"/>
          <w:bCs/>
          <w:color w:val="auto"/>
          <w:sz w:val="32"/>
          <w:szCs w:val="32"/>
          <w:highlight w:val="none"/>
          <w:u w:val="none"/>
          <w:lang w:val="zh-CN"/>
        </w:rPr>
      </w:pPr>
      <w:r>
        <w:rPr>
          <w:rFonts w:hint="default" w:ascii="Times New Roman" w:hAnsi="Times New Roman" w:eastAsia="楷体_GB2312" w:cs="Times New Roman"/>
          <w:b w:val="0"/>
          <w:bCs/>
          <w:color w:val="auto"/>
          <w:sz w:val="32"/>
          <w:szCs w:val="32"/>
          <w:highlight w:val="none"/>
          <w:u w:val="none"/>
          <w:lang w:val="zh-CN"/>
        </w:rPr>
        <w:t>（一）评价目的。</w:t>
      </w:r>
    </w:p>
    <w:p w14:paraId="2C746011">
      <w:pPr>
        <w:keepNext w:val="0"/>
        <w:keepLines w:val="0"/>
        <w:pageBreakBefore w:val="0"/>
        <w:widowControl w:val="0"/>
        <w:kinsoku/>
        <w:wordWrap/>
        <w:overflowPunct/>
        <w:topLinePunct w:val="0"/>
        <w:autoSpaceDE/>
        <w:autoSpaceDN/>
        <w:bidi w:val="0"/>
        <w:spacing w:line="600"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通过绩效自评，全面了解项目资金使用规范性、安全性和有效性，客观反映项目产出与效益达成情况，及时发现存在问题，提出改进建议，为后续资金安排和政策完善提供依据。</w:t>
      </w:r>
    </w:p>
    <w:p w14:paraId="12678B3F">
      <w:pPr>
        <w:keepNext w:val="0"/>
        <w:keepLines w:val="0"/>
        <w:pageBreakBefore w:val="0"/>
        <w:widowControl w:val="0"/>
        <w:numPr>
          <w:ilvl w:val="0"/>
          <w:numId w:val="4"/>
        </w:numPr>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Times New Roman" w:hAnsi="Times New Roman" w:eastAsia="楷体_GB2312" w:cs="Times New Roman"/>
          <w:b w:val="0"/>
          <w:bCs/>
          <w:color w:val="auto"/>
          <w:sz w:val="32"/>
          <w:szCs w:val="32"/>
          <w:highlight w:val="none"/>
          <w:u w:val="none"/>
          <w:lang w:val="zh-CN"/>
        </w:rPr>
      </w:pPr>
      <w:r>
        <w:rPr>
          <w:rFonts w:hint="default" w:ascii="Times New Roman" w:hAnsi="Times New Roman" w:eastAsia="楷体_GB2312" w:cs="Times New Roman"/>
          <w:b w:val="0"/>
          <w:bCs/>
          <w:color w:val="auto"/>
          <w:sz w:val="32"/>
          <w:szCs w:val="32"/>
          <w:highlight w:val="none"/>
          <w:u w:val="none"/>
          <w:lang w:val="zh-CN"/>
        </w:rPr>
        <w:t>预设问题及评价重点。</w:t>
      </w:r>
    </w:p>
    <w:p w14:paraId="7E1A9292">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项目预算绩效评价指标体系》要求，围绕通用指标（项目决策、项目管理、项目实施、项目结果）、专用指标（产业发展类：符合性、成长性、经济性）、个性指标进行综合评价，重点关注资金使用全过程及实施效果。</w:t>
      </w:r>
    </w:p>
    <w:p w14:paraId="000EFE40">
      <w:pPr>
        <w:keepNext w:val="0"/>
        <w:keepLines w:val="0"/>
        <w:pageBreakBefore w:val="0"/>
        <w:widowControl w:val="0"/>
        <w:numPr>
          <w:ilvl w:val="0"/>
          <w:numId w:val="4"/>
        </w:numPr>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Times New Roman" w:hAnsi="Times New Roman" w:eastAsia="楷体_GB2312" w:cs="Times New Roman"/>
          <w:b w:val="0"/>
          <w:bCs/>
          <w:color w:val="auto"/>
          <w:sz w:val="32"/>
          <w:szCs w:val="32"/>
          <w:highlight w:val="none"/>
          <w:u w:val="none"/>
          <w:lang w:val="zh-CN"/>
        </w:rPr>
      </w:pPr>
      <w:r>
        <w:rPr>
          <w:rFonts w:hint="default" w:ascii="Times New Roman" w:hAnsi="Times New Roman" w:eastAsia="楷体_GB2312" w:cs="Times New Roman"/>
          <w:b w:val="0"/>
          <w:bCs/>
          <w:color w:val="auto"/>
          <w:sz w:val="32"/>
          <w:szCs w:val="32"/>
          <w:highlight w:val="none"/>
          <w:u w:val="none"/>
          <w:lang w:val="zh-CN"/>
        </w:rPr>
        <w:t>评价选点。</w:t>
      </w:r>
    </w:p>
    <w:p w14:paraId="4DD1C37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本项目涉及马边彝族自治县1个项目单位（四川蜀能矿产有限责任公司），覆盖全县该专项资金分配点位的100%。实地踏勘点位清单详见附件。</w:t>
      </w:r>
    </w:p>
    <w:p w14:paraId="1EAC8F7E">
      <w:pPr>
        <w:keepNext w:val="0"/>
        <w:keepLines w:val="0"/>
        <w:pageBreakBefore w:val="0"/>
        <w:widowControl w:val="0"/>
        <w:numPr>
          <w:ilvl w:val="0"/>
          <w:numId w:val="4"/>
        </w:numPr>
        <w:kinsoku/>
        <w:wordWrap/>
        <w:overflowPunct/>
        <w:topLinePunct w:val="0"/>
        <w:autoSpaceDE/>
        <w:autoSpaceDN/>
        <w:bidi w:val="0"/>
        <w:spacing w:line="600" w:lineRule="exact"/>
        <w:ind w:left="0" w:leftChars="0" w:firstLine="640" w:firstLineChars="200"/>
        <w:textAlignment w:val="auto"/>
        <w:outlineLvl w:val="9"/>
        <w:rPr>
          <w:rFonts w:hint="default" w:ascii="Times New Roman" w:hAnsi="Times New Roman" w:eastAsia="楷体_GB2312" w:cs="Times New Roman"/>
          <w:b w:val="0"/>
          <w:bCs/>
          <w:color w:val="auto"/>
          <w:sz w:val="32"/>
          <w:szCs w:val="32"/>
          <w:highlight w:val="none"/>
          <w:u w:val="none"/>
          <w:lang w:val="zh-CN"/>
        </w:rPr>
      </w:pPr>
      <w:r>
        <w:rPr>
          <w:rFonts w:hint="default" w:ascii="Times New Roman" w:hAnsi="Times New Roman" w:eastAsia="楷体_GB2312" w:cs="Times New Roman"/>
          <w:b w:val="0"/>
          <w:bCs/>
          <w:color w:val="auto"/>
          <w:sz w:val="32"/>
          <w:szCs w:val="32"/>
          <w:highlight w:val="none"/>
          <w:u w:val="none"/>
          <w:lang w:val="zh-CN"/>
        </w:rPr>
        <w:t>评价方法。</w:t>
      </w:r>
    </w:p>
    <w:p w14:paraId="513FF98A">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综合采用以下方法：</w:t>
      </w:r>
    </w:p>
    <w:p w14:paraId="7F6BD22C">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rPr>
        <w:t>案卷研究法：查阅项目申报书、资金拨付文件、财务凭证、进度报告等资料。</w:t>
      </w:r>
    </w:p>
    <w:p w14:paraId="4EF510AF">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实地勘察法：对研发平台建设现场进行勘察，核实设备购置、场地建设等情况。</w:t>
      </w:r>
    </w:p>
    <w:p w14:paraId="6DFFB1F9">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座谈调研法：与企业项目负责人、财务人员、技术人员座谈，了解实施过程及困难。</w:t>
      </w:r>
    </w:p>
    <w:p w14:paraId="1195B23F">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问卷调查法：向企业发放满意度问卷，收集对资金政策、管理服务的评价。</w:t>
      </w:r>
    </w:p>
    <w:p w14:paraId="65627B4C">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楷体_GB2312" w:cs="Times New Roman"/>
          <w:b w:val="0"/>
          <w:bCs/>
          <w:color w:val="auto"/>
          <w:sz w:val="32"/>
          <w:szCs w:val="32"/>
          <w:highlight w:val="none"/>
          <w:u w:val="none"/>
          <w:lang w:val="zh-CN"/>
        </w:rPr>
      </w:pPr>
      <w:r>
        <w:rPr>
          <w:rFonts w:hint="default" w:ascii="Times New Roman" w:hAnsi="Times New Roman" w:eastAsia="楷体_GB2312" w:cs="Times New Roman"/>
          <w:b w:val="0"/>
          <w:bCs/>
          <w:color w:val="auto"/>
          <w:sz w:val="32"/>
          <w:szCs w:val="32"/>
          <w:highlight w:val="none"/>
          <w:u w:val="none"/>
          <w:lang w:val="zh-CN"/>
        </w:rPr>
        <w:t>（</w:t>
      </w:r>
      <w:r>
        <w:rPr>
          <w:rFonts w:hint="eastAsia" w:eastAsia="楷体_GB2312" w:cs="Times New Roman"/>
          <w:b w:val="0"/>
          <w:bCs/>
          <w:color w:val="auto"/>
          <w:sz w:val="32"/>
          <w:szCs w:val="32"/>
          <w:highlight w:val="none"/>
          <w:u w:val="none"/>
          <w:lang w:val="zh-CN"/>
        </w:rPr>
        <w:t>六</w:t>
      </w:r>
      <w:r>
        <w:rPr>
          <w:rFonts w:hint="default" w:ascii="Times New Roman" w:hAnsi="Times New Roman" w:eastAsia="楷体_GB2312" w:cs="Times New Roman"/>
          <w:b w:val="0"/>
          <w:bCs/>
          <w:color w:val="auto"/>
          <w:sz w:val="32"/>
          <w:szCs w:val="32"/>
          <w:highlight w:val="none"/>
          <w:u w:val="none"/>
          <w:lang w:val="zh-CN"/>
        </w:rPr>
        <w:t>）评价组织。</w:t>
      </w:r>
    </w:p>
    <w:p w14:paraId="728C11CC">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rPr>
        <w:t>评价工作由马边彝族自治县经济和信息化局牵头，组成绩效评价工作组：</w:t>
      </w:r>
    </w:p>
    <w:p w14:paraId="72BD8BCA">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组长：县经济和信息化局分管副局长</w:t>
      </w:r>
      <w:r>
        <w:rPr>
          <w:rFonts w:hint="eastAsia" w:eastAsia="仿宋_GB2312" w:cs="Times New Roman"/>
          <w:sz w:val="32"/>
          <w:szCs w:val="32"/>
          <w:lang w:eastAsia="zh-CN"/>
        </w:rPr>
        <w:t>。</w:t>
      </w:r>
    </w:p>
    <w:p w14:paraId="2E6491F5">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成员：县经济和信息化局工业股、县财政局经建股</w:t>
      </w:r>
      <w:r>
        <w:rPr>
          <w:rFonts w:hint="eastAsia" w:eastAsia="仿宋_GB2312" w:cs="Times New Roman"/>
          <w:sz w:val="32"/>
          <w:szCs w:val="32"/>
          <w:lang w:eastAsia="zh-CN"/>
        </w:rPr>
        <w:t>。</w:t>
      </w:r>
    </w:p>
    <w:p w14:paraId="4D41C584">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bCs/>
          <w:sz w:val="32"/>
          <w:szCs w:val="32"/>
          <w:lang w:eastAsia="zh-CN"/>
        </w:rPr>
      </w:pP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职责：制定评价方案、收集资料、开展现场核查、分析数据、撰写报告。</w:t>
      </w:r>
    </w:p>
    <w:p w14:paraId="2D86691D">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14:paraId="050E3F1A">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根据《项目预算绩效评价指标体系》，逐项分析如下。</w:t>
      </w:r>
    </w:p>
    <w:p w14:paraId="2B27073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b w:val="0"/>
          <w:bCs/>
          <w:color w:val="auto"/>
          <w:sz w:val="32"/>
          <w:szCs w:val="32"/>
          <w:highlight w:val="none"/>
          <w:u w:val="none"/>
          <w:lang w:val="en-US" w:eastAsia="zh-CN"/>
        </w:rPr>
      </w:pPr>
      <w:r>
        <w:rPr>
          <w:rFonts w:hint="default" w:ascii="Times New Roman" w:hAnsi="Times New Roman" w:eastAsia="楷体_GB2312" w:cs="Times New Roman"/>
          <w:b w:val="0"/>
          <w:bCs/>
          <w:color w:val="auto"/>
          <w:sz w:val="32"/>
          <w:szCs w:val="32"/>
          <w:highlight w:val="none"/>
          <w:u w:val="none"/>
          <w:lang w:val="zh-CN"/>
        </w:rPr>
        <w:t>（一）</w:t>
      </w:r>
      <w:r>
        <w:rPr>
          <w:rFonts w:hint="default" w:ascii="Times New Roman" w:hAnsi="Times New Roman" w:eastAsia="楷体_GB2312" w:cs="Times New Roman"/>
          <w:b w:val="0"/>
          <w:bCs/>
          <w:color w:val="auto"/>
          <w:sz w:val="32"/>
          <w:szCs w:val="32"/>
          <w:highlight w:val="none"/>
          <w:u w:val="none"/>
          <w:lang w:val="en-US" w:eastAsia="zh-CN"/>
        </w:rPr>
        <w:t>通用指标</w:t>
      </w:r>
      <w:r>
        <w:rPr>
          <w:rFonts w:hint="default" w:ascii="Times New Roman" w:hAnsi="Times New Roman" w:eastAsia="楷体_GB2312" w:cs="Times New Roman"/>
          <w:b w:val="0"/>
          <w:bCs/>
          <w:color w:val="000000"/>
          <w:kern w:val="0"/>
          <w:sz w:val="32"/>
          <w:szCs w:val="32"/>
          <w:highlight w:val="none"/>
          <w:shd w:val="clear" w:color="auto" w:fill="FFFFFF"/>
          <w:lang w:val="zh-CN"/>
        </w:rPr>
        <w:t>绩效分析。</w:t>
      </w:r>
    </w:p>
    <w:p w14:paraId="12551FA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lang w:eastAsia="zh-CN"/>
        </w:rPr>
        <w:t>项目决策。</w:t>
      </w:r>
    </w:p>
    <w:p w14:paraId="399338C8">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1</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决策程序：项目经企业申报、县级初审、市级复核、省级审批，已按程序报县委、县政府批准。属于单位重大经济事项，经领导班子集体研究决定。发现0处不符合，得2分。</w:t>
      </w:r>
    </w:p>
    <w:p w14:paraId="21043E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规划合理性：项目符合上级党委、政府关于创新驱动发展的重大决策部署；符合本级党委、政府工业发展工作部署；项目规划已列入经县委、县政府审批的行业规划。发现0处不符合，得3分。</w:t>
      </w:r>
    </w:p>
    <w:p w14:paraId="41494B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评估论证：项目设立前经过可行性研究和立项论证，符合资金管理办法基本规范；未与相关部门同类项目重复；贯彻厉行节约要求；有相关政策依据；属于重点项目支出范围。发现0处不符合，得6分。</w:t>
      </w:r>
    </w:p>
    <w:p w14:paraId="26FD1AD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4</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绩效目标：绩效目标与全县工业发展目标相匹配；绩效目标与细化的经济事项（设备购置、技术研发等）相匹配；指标设置采用计划标准和行业标准；与重点项目支出责任相匹配；目标责任人及股室明确。发现0处不符合，得5分。</w:t>
      </w:r>
    </w:p>
    <w:p w14:paraId="4DB1077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5</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资金测算：预算方案细化量化（设备费、材料费、测试费、人员费等）；预算编制与政府批复事项匹配；投入成本合理，测算依据充分；聚焦重点领域，避免“撒胡椒面”；未与其他同类项目交叉重复。发现0处不符合，得5分。</w:t>
      </w:r>
    </w:p>
    <w:p w14:paraId="0128BF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2.</w:t>
      </w:r>
      <w:r>
        <w:rPr>
          <w:rFonts w:hint="default" w:ascii="Times New Roman" w:hAnsi="Times New Roman" w:eastAsia="楷体_GB2312" w:cs="Times New Roman"/>
          <w:color w:val="auto"/>
          <w:sz w:val="32"/>
          <w:szCs w:val="32"/>
          <w:lang w:eastAsia="zh-CN"/>
        </w:rPr>
        <w:t>项目管理。</w:t>
      </w:r>
    </w:p>
    <w:p w14:paraId="47CE59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楷体_GB2312" w:cs="Times New Roman"/>
          <w:color w:val="auto"/>
          <w:sz w:val="32"/>
          <w:szCs w:val="32"/>
          <w:lang w:eastAsia="zh-CN"/>
        </w:rPr>
        <w:t>（</w:t>
      </w:r>
      <w:r>
        <w:rPr>
          <w:rFonts w:hint="eastAsia" w:eastAsia="楷体_GB2312" w:cs="Times New Roman"/>
          <w:color w:val="auto"/>
          <w:sz w:val="32"/>
          <w:szCs w:val="32"/>
          <w:lang w:val="en-US" w:eastAsia="zh-CN"/>
        </w:rPr>
        <w:t>1</w:t>
      </w:r>
      <w:r>
        <w:rPr>
          <w:rFonts w:hint="eastAsia" w:eastAsia="楷体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制度办法：县经信局建立了专项资金项目监管实施细则、项目验收实施细则等制度；企业建立了内部财务管理制度和专账管理机制；制度未出现有悖实际、难以操作或执行不畅的情况。缺失0项，得5分。</w:t>
      </w:r>
    </w:p>
    <w:p w14:paraId="27D38C3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分配管理：本项目采用“项目分配法”，建立了项目储备库得2分；实行入库项目动态管理、推动竞争性分配得2分；明确申报审核程序并按规定履行审批得2分；资金分配严格按管理办法执行，决策程序及时高效得4分</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合计得10分。</w:t>
      </w:r>
    </w:p>
    <w:p w14:paraId="53BC584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绩效监管：项目按要求完成绩效目标设定、绩效监控、绩效评价等工作得2分；县级部门对项目实施单位绩效管理要求到位，开展了评价、监督、指导得2分；对绩效监控信息进行了分析研判得1分；及时进行了纠偏得1分。合计得6分。</w:t>
      </w:r>
    </w:p>
    <w:p w14:paraId="62E111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3.项目实施。</w:t>
      </w:r>
    </w:p>
    <w:p w14:paraId="41A6AA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1</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预算执行3分：单位资金使用率100%。指标得分3分。</w:t>
      </w:r>
    </w:p>
    <w:p w14:paraId="417985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财务管理5分：经核查，资金使用规范，财政监控有效；原始凭证规范无涂改；经济业务审签记录、合同等凭证完整；账户管理规范；定期盘点核对；账证、账账、账实相符；建立印章和档案管理制度；会计人员完成信息采集和继续教育。发现0处不合规，得5分。</w:t>
      </w:r>
    </w:p>
    <w:p w14:paraId="7020F0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采购管理5分：项目涉及的设备采购未规避政府采购；未化整为零；未违规采用紧急采购；采购文件、进口产品、变更方式等经集体决策；合同签订符合采购文件；未擅自变更合同；按规定组织验收；履约验收无走过场；验收报告经分管领导签署。发现0处不合规，得5分。</w:t>
      </w:r>
    </w:p>
    <w:p w14:paraId="6D4D85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4</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资产管理3分：企业资产管理制度健全；资产配置符合标准、厉行节约；项目形成的资产按规定执行；产权明晰；落实资产管护责任。发现0处不合规，得3分。</w:t>
      </w:r>
    </w:p>
    <w:p w14:paraId="3DADBD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5</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资金管理4分：资金使用符合预算管理办法和专项资金管理办法；拨付有完整审批程序和手续；符合项目批复或合同规定用途；无截留、挤占、挪用、虚列支出；无超预算使用；落实经济事项审查机制；批复文件作为附件。发现0处不合规，得4分。</w:t>
      </w:r>
      <w:r>
        <w:rPr>
          <w:rFonts w:hint="default" w:ascii="Times New Roman" w:hAnsi="Times New Roman" w:eastAsia="楷体_GB2312" w:cs="Times New Roman"/>
          <w:color w:val="auto"/>
          <w:sz w:val="32"/>
          <w:szCs w:val="32"/>
          <w:lang w:val="en-US" w:eastAsia="zh-CN"/>
        </w:rPr>
        <w:t>4.项目结果。</w:t>
      </w:r>
      <w:r>
        <w:rPr>
          <w:rFonts w:hint="default" w:ascii="Times New Roman" w:hAnsi="Times New Roman" w:eastAsia="仿宋_GB2312" w:cs="Times New Roman"/>
          <w:color w:val="auto"/>
          <w:sz w:val="32"/>
          <w:szCs w:val="32"/>
          <w:lang w:val="en-US" w:eastAsia="zh-CN"/>
        </w:rPr>
        <w:t>围绕</w:t>
      </w:r>
      <w:r>
        <w:rPr>
          <w:rFonts w:hint="default" w:ascii="Times New Roman" w:hAnsi="Times New Roman" w:eastAsia="仿宋_GB2312" w:cs="Times New Roman"/>
          <w:color w:val="auto"/>
          <w:sz w:val="32"/>
          <w:szCs w:val="32"/>
          <w:lang w:eastAsia="zh-CN"/>
        </w:rPr>
        <w:t>目标完成、完成时效进行绩效分析。</w:t>
      </w:r>
    </w:p>
    <w:p w14:paraId="3FEB58F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楷体_GB2312" w:cs="Times New Roman"/>
          <w:b w:val="0"/>
          <w:bCs/>
          <w:color w:val="000000"/>
          <w:kern w:val="0"/>
          <w:sz w:val="32"/>
          <w:szCs w:val="32"/>
          <w:highlight w:val="none"/>
          <w:shd w:val="clear" w:color="auto" w:fill="FFFFFF"/>
          <w:lang w:val="zh-CN"/>
        </w:rPr>
      </w:pPr>
      <w:r>
        <w:rPr>
          <w:rFonts w:hint="default" w:ascii="Times New Roman" w:hAnsi="Times New Roman" w:eastAsia="楷体_GB2312" w:cs="Times New Roman"/>
          <w:b w:val="0"/>
          <w:bCs/>
          <w:color w:val="auto"/>
          <w:sz w:val="32"/>
          <w:szCs w:val="32"/>
          <w:highlight w:val="none"/>
          <w:u w:val="none"/>
          <w:lang w:val="zh-CN"/>
        </w:rPr>
        <w:t>（二）</w:t>
      </w:r>
      <w:r>
        <w:rPr>
          <w:rFonts w:hint="default" w:ascii="Times New Roman" w:hAnsi="Times New Roman" w:eastAsia="楷体_GB2312" w:cs="Times New Roman"/>
          <w:b w:val="0"/>
          <w:bCs/>
          <w:color w:val="auto"/>
          <w:sz w:val="32"/>
          <w:szCs w:val="32"/>
          <w:highlight w:val="none"/>
          <w:u w:val="none"/>
          <w:lang w:val="en-US" w:eastAsia="zh-CN"/>
        </w:rPr>
        <w:t>专用指标</w:t>
      </w:r>
      <w:r>
        <w:rPr>
          <w:rFonts w:hint="default" w:ascii="Times New Roman" w:hAnsi="Times New Roman" w:eastAsia="楷体_GB2312" w:cs="Times New Roman"/>
          <w:b w:val="0"/>
          <w:bCs/>
          <w:color w:val="000000"/>
          <w:kern w:val="0"/>
          <w:sz w:val="32"/>
          <w:szCs w:val="32"/>
          <w:highlight w:val="none"/>
          <w:shd w:val="clear" w:color="auto" w:fill="FFFFFF"/>
          <w:lang w:val="zh-CN"/>
        </w:rPr>
        <w:t>绩效分析。</w:t>
      </w:r>
    </w:p>
    <w:p w14:paraId="5697DF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本项目属于产业发展类专项。</w:t>
      </w:r>
    </w:p>
    <w:p w14:paraId="78E6D3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符合性：项目实施符合县委县政府支持重点（新能源材料产业）、符合六大优势产业做大做强要求、符合产业支持政策。选点总数1个，符合点位1个。指标得5分。</w:t>
      </w:r>
    </w:p>
    <w:p w14:paraId="1C3F19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成长性：项目实施对企业的创新创造能力提升、扩大投资、技术更新、就业促进等方面均有明显促进作用。指标得5分。</w:t>
      </w:r>
    </w:p>
    <w:p w14:paraId="7E869B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经济性：企业主营业务收入增加率≥行业平均增加率，且≥企业上一年度主营业务收入增加率，得5分</w:t>
      </w:r>
    </w:p>
    <w:p w14:paraId="5BF90D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楷体_GB2312" w:cs="Times New Roman"/>
          <w:b w:val="0"/>
          <w:bCs/>
          <w:color w:val="000000"/>
          <w:kern w:val="0"/>
          <w:sz w:val="32"/>
          <w:szCs w:val="32"/>
          <w:highlight w:val="none"/>
          <w:shd w:val="clear" w:color="auto" w:fill="FFFFFF"/>
          <w:lang w:val="zh-CN"/>
        </w:rPr>
      </w:pPr>
      <w:r>
        <w:rPr>
          <w:rFonts w:hint="default" w:ascii="Times New Roman" w:hAnsi="Times New Roman" w:eastAsia="楷体_GB2312" w:cs="Times New Roman"/>
          <w:b w:val="0"/>
          <w:bCs/>
          <w:color w:val="auto"/>
          <w:sz w:val="32"/>
          <w:szCs w:val="32"/>
          <w:highlight w:val="none"/>
          <w:u w:val="none"/>
          <w:lang w:val="zh-CN"/>
        </w:rPr>
        <w:t>（三）</w:t>
      </w:r>
      <w:r>
        <w:rPr>
          <w:rFonts w:hint="default" w:ascii="Times New Roman" w:hAnsi="Times New Roman" w:eastAsia="楷体_GB2312" w:cs="Times New Roman"/>
          <w:b w:val="0"/>
          <w:bCs/>
          <w:color w:val="auto"/>
          <w:sz w:val="32"/>
          <w:szCs w:val="32"/>
          <w:highlight w:val="none"/>
          <w:u w:val="none"/>
          <w:lang w:val="en-US" w:eastAsia="zh-CN"/>
        </w:rPr>
        <w:t>个性指标</w:t>
      </w:r>
      <w:r>
        <w:rPr>
          <w:rFonts w:hint="default" w:ascii="Times New Roman" w:hAnsi="Times New Roman" w:eastAsia="楷体_GB2312" w:cs="Times New Roman"/>
          <w:b w:val="0"/>
          <w:bCs/>
          <w:color w:val="000000"/>
          <w:kern w:val="0"/>
          <w:sz w:val="32"/>
          <w:szCs w:val="32"/>
          <w:highlight w:val="none"/>
          <w:shd w:val="clear" w:color="auto" w:fill="FFFFFF"/>
          <w:lang w:val="zh-CN"/>
        </w:rPr>
        <w:t>绩效分析。</w:t>
      </w:r>
    </w:p>
    <w:p w14:paraId="73040A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根据项目实际，增设以下个性指标：</w:t>
      </w:r>
    </w:p>
    <w:p w14:paraId="12077D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zh-CN" w:eastAsia="zh-CN"/>
        </w:rPr>
        <w:t>平台建设验收率：项目建成后已通过县经信局组织的初步验收，验收合格率100%。得5分。</w:t>
      </w:r>
    </w:p>
    <w:p w14:paraId="498496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eastAsia="zh-CN"/>
        </w:rPr>
        <w:t>安全生产（5分）：项目建设及试运行期间未发生安全生产事故，企业安全管理制度健全。得5分。</w:t>
      </w:r>
    </w:p>
    <w:p w14:paraId="6DF8B5B4">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四</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14:paraId="7B9E06CE">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本次绩效评价总分：100分。评价等级：优秀。</w:t>
      </w:r>
    </w:p>
    <w:p w14:paraId="05237142">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项目实施情况：四川蜀能矿产有限责任公司“磷酸铁锂电池原料关键技术研发平台建设”项目已按计划完成全部建设内容，资金使用规范、专款专用，产出指标全面达成，经济效益和社会效益显著，企业满意度高。项目有效提升了企业自主研发能力，为马边彝族自治县规上工业企业研发平台建设树立了示范，对推动磷酸铁锂电池原料技术进步和区域产业升级具有积极意义。</w:t>
      </w:r>
    </w:p>
    <w:p w14:paraId="6B7A35AC">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zh-CN" w:bidi="ar-SA"/>
        </w:rPr>
      </w:pPr>
      <w:r>
        <w:rPr>
          <w:rFonts w:hint="default" w:ascii="Times New Roman" w:hAnsi="Times New Roman" w:eastAsia="黑体" w:cs="Times New Roman"/>
          <w:color w:val="auto"/>
          <w:kern w:val="0"/>
          <w:position w:val="3"/>
          <w:sz w:val="32"/>
          <w:szCs w:val="32"/>
          <w:highlight w:val="none"/>
          <w:u w:val="none"/>
          <w:lang w:val="en-US" w:eastAsia="zh-CN" w:bidi="ar-SA"/>
        </w:rPr>
        <w:t>五、存在主要问题</w:t>
      </w:r>
    </w:p>
    <w:p w14:paraId="1C5B030F">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eastAsia="仿宋_GB2312" w:cs="Times New Roman"/>
          <w:b w:val="0"/>
          <w:bCs w:val="0"/>
          <w:kern w:val="0"/>
          <w:position w:val="0"/>
          <w:sz w:val="32"/>
          <w:szCs w:val="32"/>
          <w:highlight w:val="none"/>
          <w:lang w:val="en-US" w:eastAsia="zh-CN" w:bidi="ar-SA"/>
        </w:rPr>
        <w:t>无</w:t>
      </w:r>
    </w:p>
    <w:p w14:paraId="18DE0911">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204112B2">
      <w:pPr>
        <w:keepNext w:val="0"/>
        <w:keepLines w:val="0"/>
        <w:pageBreakBefore w:val="0"/>
        <w:tabs>
          <w:tab w:val="left" w:pos="1911"/>
        </w:tabs>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r>
        <w:rPr>
          <w:rFonts w:hint="eastAsia" w:eastAsia="仿宋_GB2312" w:cs="Times New Roman"/>
          <w:b w:val="0"/>
          <w:bCs w:val="0"/>
          <w:kern w:val="0"/>
          <w:position w:val="0"/>
          <w:sz w:val="32"/>
          <w:szCs w:val="32"/>
          <w:highlight w:val="none"/>
          <w:lang w:val="en-US" w:eastAsia="zh-CN" w:bidi="ar-SA"/>
        </w:rPr>
        <w:t>无</w:t>
      </w:r>
    </w:p>
    <w:p w14:paraId="126108C7">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30011D6D">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424AFE74">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25869D3F">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698B4564">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73C28258">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3B33DCC1">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3C9372D7">
      <w:pPr>
        <w:keepNext w:val="0"/>
        <w:keepLines w:val="0"/>
        <w:pageBreakBefore w:val="0"/>
        <w:widowControl/>
        <w:kinsoku/>
        <w:wordWrap/>
        <w:overflowPunct/>
        <w:topLinePunct w:val="0"/>
        <w:autoSpaceDE/>
        <w:autoSpaceDN/>
        <w:bidi w:val="0"/>
        <w:adjustRightInd/>
        <w:snapToGrid/>
        <w:spacing w:line="700" w:lineRule="exact"/>
        <w:ind w:firstLine="0" w:firstLineChars="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r>
        <w:rPr>
          <w:rFonts w:hint="eastAsia" w:ascii="方正小标宋简体" w:hAnsi="方正小标宋简体" w:eastAsia="方正小标宋简体" w:cs="方正小标宋简体"/>
          <w:b w:val="0"/>
          <w:bCs/>
          <w:sz w:val="44"/>
          <w:szCs w:val="44"/>
          <w:shd w:val="clear" w:color="auto" w:fill="FFFFFF"/>
          <w:lang w:eastAsia="zh-CN"/>
        </w:rPr>
        <w:t>马边彝族自治县经济和信息化局</w:t>
      </w:r>
    </w:p>
    <w:p w14:paraId="6004EA5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700" w:lineRule="exact"/>
        <w:ind w:left="0" w:right="0" w:firstLine="0" w:firstLineChars="0"/>
        <w:jc w:val="center"/>
        <w:textAlignment w:val="auto"/>
        <w:rPr>
          <w:rFonts w:hint="eastAsia" w:ascii="方正小标宋简体" w:hAnsi="方正小标宋简体" w:eastAsia="方正小标宋简体" w:cs="方正小标宋简体"/>
          <w:b w:val="0"/>
          <w:bCs/>
          <w:color w:val="auto"/>
          <w:kern w:val="2"/>
          <w:sz w:val="44"/>
          <w:szCs w:val="44"/>
          <w:lang w:val="en-US" w:eastAsia="zh-CN" w:bidi="ar"/>
        </w:rPr>
      </w:pPr>
      <w:r>
        <w:rPr>
          <w:rFonts w:hint="eastAsia" w:ascii="方正小标宋简体" w:hAnsi="方正小标宋简体" w:eastAsia="方正小标宋简体" w:cs="方正小标宋简体"/>
          <w:b w:val="0"/>
          <w:bCs/>
          <w:color w:val="auto"/>
          <w:kern w:val="2"/>
          <w:sz w:val="44"/>
          <w:szCs w:val="44"/>
          <w:lang w:val="en-US" w:eastAsia="zh-CN" w:bidi="ar"/>
        </w:rPr>
        <w:t>四川马边龙泰福缘石英砂拉管及其配套项目（一期）绩效评价报告</w:t>
      </w:r>
    </w:p>
    <w:p w14:paraId="7B22A55B">
      <w:pPr>
        <w:keepNext w:val="0"/>
        <w:keepLines w:val="0"/>
        <w:widowControl w:val="0"/>
        <w:suppressLineNumbers w:val="0"/>
        <w:spacing w:before="0" w:beforeLines="0" w:beforeAutospacing="0" w:after="0" w:afterLines="0" w:afterAutospacing="0" w:line="578" w:lineRule="exact"/>
        <w:ind w:left="0" w:right="0" w:firstLine="640"/>
        <w:jc w:val="center"/>
        <w:rPr>
          <w:rFonts w:hint="default" w:ascii="Times New Roman" w:hAnsi="Times New Roman" w:eastAsia="Times New Roman" w:cs="Times New Roman"/>
          <w:color w:val="auto"/>
          <w:kern w:val="2"/>
          <w:sz w:val="32"/>
          <w:szCs w:val="32"/>
          <w:lang w:val="en-US" w:eastAsia="zh-CN" w:bidi="ar"/>
        </w:rPr>
      </w:pPr>
    </w:p>
    <w:p w14:paraId="23DADBE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6A414C65">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5E389F3F">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高纯度石英材料是半导体、光伏、特种电光源及激光光电、光通讯、光学、航空、航天等产业不可或缺的重要基础性材料。随着上述产业高速增长，我国正在成为石英材料的主要生产基地和重要的应用市场。本项目的建设符合国家产业政策的要求，并具有广阔的市场发展空间。</w:t>
      </w:r>
    </w:p>
    <w:p w14:paraId="1D977DAB">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2025年7月，我局通知并指导四川马边龙泰福缘高纯石英砂有限责任公司按照四川省经济和信息化厅、财政厅《关于组织开展2025年39个欠发达县域拖底性帮扶项目资金申报工作的通知》（川经信农加〔2025〕107号）文件要求，对欠发达县域拖底性帮扶项目进行了资金申报；2025年8月8日，我局受市经信局委托组织专家对申报项目组织了评审；根据四川省经济和信息化厅办公室《关于做好2025年第四批省级工业发展专项资金管理工作的通知》（川经信办〔2025〕71号）和（川财建〔2025〕208号）文件，申报项目获得2025年第四批省级工业发展专项资金225万元，目前根据项目完成进度拨付资金比例的70%，应拨付金额为157.5万元，已于2025年12月3日拨付至企业，剩余部分将于项目完工后拨付到位。</w:t>
      </w:r>
    </w:p>
    <w:p w14:paraId="0F3D1C56">
      <w:pPr>
        <w:keepNext w:val="0"/>
        <w:keepLines w:val="0"/>
        <w:pageBreakBefore w:val="0"/>
        <w:numPr>
          <w:ilvl w:val="0"/>
          <w:numId w:val="5"/>
        </w:numPr>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14:paraId="75A7C667">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该项目的实施不仅能够大力发展县内的高纯石英拉管产业，还能有利于促进乐山市高纯石英产业的发展，加快推进先进材料产业的发展，实现新旧动能接续转换，推动产业结构优化升级，高质量打造马边及乐山先进材料产业新高地，促进区域经济的发展。</w:t>
      </w:r>
    </w:p>
    <w:p w14:paraId="2369701A">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四川省经济和信息化厅、财政厅《关于组织开展2025年39个欠发达县域拖底性帮扶项目资金申报工作的通知》（川经信农加〔2025〕107号）文件中明确，该资金用于工业和信息化领域的生产线扩产提能、升级改造、节能降耗等提高劳动生产率的制造业产业化项目，项目要求建设进度50%以上，且已完成生产性固定资产投资额应不低于300万元。</w:t>
      </w:r>
    </w:p>
    <w:p w14:paraId="6060877E">
      <w:pPr>
        <w:keepNext w:val="0"/>
        <w:keepLines w:val="0"/>
        <w:pageBreakBefore w:val="0"/>
        <w:widowControl/>
        <w:numPr>
          <w:ilvl w:val="0"/>
          <w:numId w:val="5"/>
        </w:numPr>
        <w:kinsoku/>
        <w:wordWrap/>
        <w:overflowPunct/>
        <w:topLinePunct w:val="0"/>
        <w:autoSpaceDE/>
        <w:autoSpaceDN/>
        <w:bidi w:val="0"/>
        <w:adjustRightInd w:val="0"/>
        <w:snapToGrid w:val="0"/>
        <w:spacing w:line="600"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14:paraId="13745891">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根据四川省经济和信息化厅办公室《关于做好2025年第四批省级工业发展专项资金管理工作的通知》（川经信办〔2025〕71号）和（川财建〔2025〕208号）文件，单个项目按照不超过已完成生产性固定资产投资额的20%给予支持，该项目专项资金共225万元整。</w:t>
      </w:r>
    </w:p>
    <w:p w14:paraId="3DCD678D">
      <w:pPr>
        <w:keepNext w:val="0"/>
        <w:keepLines w:val="0"/>
        <w:pageBreakBefore w:val="0"/>
        <w:numPr>
          <w:ilvl w:val="0"/>
          <w:numId w:val="5"/>
        </w:numPr>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14:paraId="5D051F58">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该项目绩效目标主要依据四川省经济和信息化厅、财政厅《关于组织开展2025年39个欠发达县域拖底性帮扶项目资金申报工作的通知》（川经信农加〔2025〕107号）文件设置，项目为工业和信息化领域的生产线扩产提能、升级改造、节能降耗等提高劳动生产率的制造业产业化项目，且建设进度50%以上，已完成生产性固定资产投资额应不低于300万元的项目，按照单个项目按照不超过已完成生产性固定资产投资额的20%给予支持。</w:t>
      </w:r>
    </w:p>
    <w:p w14:paraId="05E0A1C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75548A0D">
      <w:pPr>
        <w:keepNext w:val="0"/>
        <w:keepLines w:val="0"/>
        <w:pageBreakBefore w:val="0"/>
        <w:widowControl w:val="0"/>
        <w:kinsoku/>
        <w:wordWrap/>
        <w:overflowPunct/>
        <w:topLinePunct w:val="0"/>
        <w:autoSpaceDE/>
        <w:autoSpaceDN/>
        <w:bidi w:val="0"/>
        <w:spacing w:line="600" w:lineRule="exact"/>
        <w:ind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0A929BDE">
      <w:pPr>
        <w:keepNext w:val="0"/>
        <w:keepLines w:val="0"/>
        <w:pageBreakBefore w:val="0"/>
        <w:widowControl w:val="0"/>
        <w:kinsoku/>
        <w:wordWrap/>
        <w:overflowPunct/>
        <w:topLinePunct w:val="0"/>
        <w:autoSpaceDE/>
        <w:autoSpaceDN/>
        <w:bidi w:val="0"/>
        <w:spacing w:line="600"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通过项目绩效自评准确了解项目资金投向及使用情况，支持项目建设内容完成情况等，确保资金使用符合相关规定。</w:t>
      </w:r>
    </w:p>
    <w:p w14:paraId="2C403A5E">
      <w:pPr>
        <w:keepNext w:val="0"/>
        <w:keepLines w:val="0"/>
        <w:pageBreakBefore w:val="0"/>
        <w:widowControl w:val="0"/>
        <w:numPr>
          <w:ilvl w:val="0"/>
          <w:numId w:val="6"/>
        </w:numPr>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11333F9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川马边龙泰福缘石英砂拉管及其配套项目（一期）获得该专项项目资金225万元，根据项目完成进度拨付资金比例的70%，应拨付金额为157.5万元，已于2025年12月3日拨付至企业，剩余部分待项目完工后拨付，目前主要针对该项目是否达到绩效目标进行评价。</w:t>
      </w:r>
    </w:p>
    <w:p w14:paraId="4AB530EB">
      <w:pPr>
        <w:keepNext w:val="0"/>
        <w:keepLines w:val="0"/>
        <w:pageBreakBefore w:val="0"/>
        <w:widowControl w:val="0"/>
        <w:numPr>
          <w:ilvl w:val="0"/>
          <w:numId w:val="6"/>
        </w:numPr>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4E58561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四川马边龙泰福缘石英砂拉管及其配套项目（一期）。</w:t>
      </w:r>
    </w:p>
    <w:p w14:paraId="1FDBFFBD">
      <w:pPr>
        <w:keepNext w:val="0"/>
        <w:keepLines w:val="0"/>
        <w:pageBreakBefore w:val="0"/>
        <w:widowControl w:val="0"/>
        <w:numPr>
          <w:ilvl w:val="0"/>
          <w:numId w:val="6"/>
        </w:numPr>
        <w:kinsoku/>
        <w:wordWrap/>
        <w:overflowPunct/>
        <w:topLinePunct w:val="0"/>
        <w:autoSpaceDE/>
        <w:autoSpaceDN/>
        <w:bidi w:val="0"/>
        <w:spacing w:line="60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157736FB">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单位自评法、座谈调研法。</w:t>
      </w:r>
    </w:p>
    <w:p w14:paraId="4AD39182">
      <w:pPr>
        <w:keepNext w:val="0"/>
        <w:keepLines w:val="0"/>
        <w:pageBreakBefore w:val="0"/>
        <w:widowControl w:val="0"/>
        <w:numPr>
          <w:ilvl w:val="0"/>
          <w:numId w:val="6"/>
        </w:numPr>
        <w:kinsoku/>
        <w:wordWrap/>
        <w:overflowPunct/>
        <w:topLinePunct w:val="0"/>
        <w:autoSpaceDE/>
        <w:autoSpaceDN/>
        <w:bidi w:val="0"/>
        <w:spacing w:line="60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评价组织。</w:t>
      </w:r>
    </w:p>
    <w:p w14:paraId="76B49745">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rPr>
        <w:t>组长：王英，牵头负责评价工作。</w:t>
      </w:r>
    </w:p>
    <w:p w14:paraId="295F4B1B">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成员：唐开钦，参与评价工作。</w:t>
      </w:r>
    </w:p>
    <w:p w14:paraId="17C4CA99">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bCs/>
          <w:sz w:val="32"/>
          <w:szCs w:val="32"/>
          <w:lang w:eastAsia="zh-CN"/>
        </w:rPr>
      </w:pP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徐艳彬，参与评价工作，负责专项预算支持项目资料收集工作。</w:t>
      </w:r>
    </w:p>
    <w:p w14:paraId="73E6BB22">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14:paraId="7B269BB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50597C78">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lang w:eastAsia="zh-CN"/>
        </w:rPr>
        <w:t>项目决策。</w:t>
      </w:r>
    </w:p>
    <w:p w14:paraId="7F12F34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本项目主要支持工业和信息化领域的生产线扩产提能、升级改造、节能降耗等提高劳动生产率的制造业产业化项目，具有必要性、前瞻性、合理性和可行性，符合资金管理基本规范和决策程序要求。项目规划符合中央、省委省政府有关决策部署安排，项目绩效目标设置科学合理；该项目未其他同类项目或部门内部相关项目交叉重复。</w:t>
      </w:r>
    </w:p>
    <w:p w14:paraId="35145631">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2.</w:t>
      </w:r>
      <w:r>
        <w:rPr>
          <w:rFonts w:hint="default" w:ascii="Times New Roman" w:hAnsi="Times New Roman" w:eastAsia="楷体_GB2312" w:cs="Times New Roman"/>
          <w:color w:val="auto"/>
          <w:sz w:val="32"/>
          <w:szCs w:val="32"/>
          <w:lang w:eastAsia="zh-CN"/>
        </w:rPr>
        <w:t>项目管理。</w:t>
      </w:r>
    </w:p>
    <w:p w14:paraId="07F48BA1">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资金管理办法等管理制度体系健全完善，资金分配严格按管理办法执行，资金分配依据充分合理，申报审核分配程序符合要求，实行入库项目动态管理、推动资金竞争性分配。严格按中省要求全面完成绩效目标、绩效评价等预算绩效管理工作，对获得资金单位预算绩效管理要求到位。</w:t>
      </w:r>
    </w:p>
    <w:p w14:paraId="724DBAC7">
      <w:pPr>
        <w:keepNext w:val="0"/>
        <w:keepLines w:val="0"/>
        <w:pageBreakBefore w:val="0"/>
        <w:widowControl w:val="0"/>
        <w:kinsoku/>
        <w:wordWrap/>
        <w:overflowPunct/>
        <w:topLinePunct w:val="0"/>
        <w:autoSpaceDE/>
        <w:autoSpaceDN/>
        <w:bidi w:val="0"/>
        <w:adjustRightInd/>
        <w:snapToGrid/>
        <w:spacing w:line="600" w:lineRule="exact"/>
        <w:ind w:left="420" w:leftChars="200" w:firstLine="0" w:firstLineChars="0"/>
        <w:textAlignment w:val="auto"/>
        <w:outlineLvl w:val="9"/>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3.项目实施。</w:t>
      </w:r>
    </w:p>
    <w:p w14:paraId="628E64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项目70%拨付比例资金已于2025年12月3日执行到位，剩余部分将于项目完工后拨付到位，资金使用拨付、项目实施符合规定。</w:t>
      </w:r>
    </w:p>
    <w:p w14:paraId="0FB6AA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4.项目结果。</w:t>
      </w:r>
    </w:p>
    <w:p w14:paraId="0F0E463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项目如期完成预期目标，支持项目已于2025年12月3日前完成整体建设进度的70%，达到绩效目标建设进度50%以上的要求。</w:t>
      </w:r>
    </w:p>
    <w:p w14:paraId="1FF57649">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3" w:firstLineChars="20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71B9E96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zh-CN" w:eastAsia="zh-CN"/>
        </w:rPr>
        <w:t>产业发展类。项目实施是与省委省政府支持重点、产业支持政策符合，有助于打造马边及乐山先进材料产业新高地，企业创新创造创业能力不断提升，获得支持的企业主营业务收入、净利润、税收、产量稳步增长。</w:t>
      </w:r>
    </w:p>
    <w:p w14:paraId="382549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eastAsia="zh-CN"/>
        </w:rPr>
        <w:t>民生保障类。能有效带动企业投资，支持项目的建设，有助于企业发展壮大，吸纳就业，支持对象满意度达100%。</w:t>
      </w:r>
    </w:p>
    <w:p w14:paraId="4B9AAE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zh-CN" w:eastAsia="zh-CN"/>
        </w:rPr>
        <w:t>基础设施类。支持70%拨付比例资金已于2025年12月3日拨付企业，剩余部分将于项目完工后拨付到位，支持项目建设；项目建成后，有利于高质量打造马边及乐山先进材料产业新高地，促进区域经济的发展。项目已于2025年8月8日通过专家组评审。</w:t>
      </w:r>
    </w:p>
    <w:p w14:paraId="4E7B2E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zh-CN" w:eastAsia="zh-CN"/>
        </w:rPr>
        <w:t>行政运转类。专项资金用于支持四川马边龙泰福缘石英砂拉管及其配套项目（一期）建设，用途合规，标准设置合理，资金申报、评审、拨付等环节公平合规。</w:t>
      </w:r>
    </w:p>
    <w:p w14:paraId="5BC13A2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15C7A20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项目的实施不仅能够大力发展县内的高纯石英拉管产业，还能有利于促进乐山市高纯石英产业的发展，加快推进先进材料产业的发展，实现新旧动能接续转换，推动产业结构优化升级，高质量打造马边及乐山先进材料产业新高地，促进区域经济的发展。</w:t>
      </w:r>
    </w:p>
    <w:p w14:paraId="782EF933">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四</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14:paraId="575BE57B">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项目决策程序严密，符合相关发展规划，资金管理制度健全，资金申报、审核、分配程序合理公平，资金支持项目如期建设，相关绩效目标如期实现，自评得分：98.8分。</w:t>
      </w:r>
    </w:p>
    <w:p w14:paraId="72447A74">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zh-CN" w:bidi="ar-SA"/>
        </w:rPr>
      </w:pPr>
      <w:r>
        <w:rPr>
          <w:rFonts w:hint="default" w:ascii="Times New Roman" w:hAnsi="Times New Roman" w:eastAsia="黑体" w:cs="Times New Roman"/>
          <w:color w:val="auto"/>
          <w:kern w:val="0"/>
          <w:position w:val="3"/>
          <w:sz w:val="32"/>
          <w:szCs w:val="32"/>
          <w:highlight w:val="none"/>
          <w:u w:val="none"/>
          <w:lang w:val="en-US" w:eastAsia="zh-CN" w:bidi="ar-SA"/>
        </w:rPr>
        <w:t>五、存在主要问题</w:t>
      </w:r>
    </w:p>
    <w:p w14:paraId="750D07FF">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项目实际施工进度问题，专项资金无法全部到位。</w:t>
      </w:r>
    </w:p>
    <w:p w14:paraId="133334EE">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1F9CE3D5">
      <w:pPr>
        <w:spacing w:after="0" w:line="560" w:lineRule="exact"/>
        <w:ind w:firstLine="640"/>
        <w:jc w:val="both"/>
        <w:rPr>
          <w:rFonts w:ascii="Times New Roman" w:hAnsi="Times New Roman" w:eastAsia="FangSong_GB2312" w:cs="Times New Roman"/>
          <w:color w:val="000000"/>
          <w:sz w:val="32"/>
          <w:szCs w:val="32"/>
        </w:rPr>
      </w:pPr>
      <w:r>
        <w:rPr>
          <w:rFonts w:hint="default" w:ascii="Times New Roman" w:hAnsi="Times New Roman" w:eastAsia="仿宋_GB2312" w:cs="Times New Roman"/>
          <w:b w:val="0"/>
          <w:bCs w:val="0"/>
          <w:kern w:val="0"/>
          <w:position w:val="0"/>
          <w:sz w:val="32"/>
          <w:szCs w:val="32"/>
          <w:highlight w:val="none"/>
          <w:lang w:val="en-US" w:eastAsia="zh-CN" w:bidi="ar-SA"/>
        </w:rPr>
        <w:t>实时跟踪项目进度，增进联系，了解项目建设过程中是否存在问题、困难，及时做到跟进解决，待项目实际完成后，将剩余专项资金拨付到位。</w:t>
      </w:r>
    </w:p>
    <w:p w14:paraId="77CC06CF">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2B81AA2C">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1964978B">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4C5A4B99">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3A25DC79">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043756ED">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39642DDA">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6E78886F">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50EA49A0">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747BDD7C">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586B33A2">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45B41C6F">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p>
    <w:p w14:paraId="12AB3A1A">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lang w:eastAsia="zh-CN"/>
        </w:rPr>
      </w:pPr>
      <w:r>
        <w:rPr>
          <w:rFonts w:hint="eastAsia" w:ascii="方正小标宋简体" w:hAnsi="方正小标宋简体" w:eastAsia="方正小标宋简体" w:cs="方正小标宋简体"/>
          <w:b w:val="0"/>
          <w:bCs/>
          <w:sz w:val="44"/>
          <w:szCs w:val="44"/>
          <w:shd w:val="clear" w:color="auto" w:fill="FFFFFF"/>
          <w:lang w:eastAsia="zh-CN"/>
        </w:rPr>
        <w:t>马边彝族自治县经济和信息化局</w:t>
      </w:r>
    </w:p>
    <w:p w14:paraId="1EF5CED4">
      <w:pPr>
        <w:keepNext w:val="0"/>
        <w:keepLines w:val="0"/>
        <w:pageBreakBefore w:val="0"/>
        <w:widowControl/>
        <w:kinsoku/>
        <w:wordWrap/>
        <w:overflowPunct/>
        <w:topLinePunct w:val="0"/>
        <w:autoSpaceDE/>
        <w:autoSpaceDN/>
        <w:bidi w:val="0"/>
        <w:adjustRightInd/>
        <w:snapToGrid/>
        <w:spacing w:line="700" w:lineRule="exact"/>
        <w:ind w:firstLine="880" w:firstLineChars="200"/>
        <w:contextualSpacing/>
        <w:jc w:val="center"/>
        <w:textAlignment w:val="auto"/>
        <w:rPr>
          <w:rFonts w:hint="eastAsia" w:ascii="方正小标宋简体" w:hAnsi="方正小标宋简体" w:eastAsia="方正小标宋简体" w:cs="方正小标宋简体"/>
          <w:b w:val="0"/>
          <w:bCs/>
          <w:sz w:val="44"/>
          <w:szCs w:val="44"/>
          <w:shd w:val="clear" w:color="auto" w:fill="FFFFFF"/>
        </w:rPr>
      </w:pPr>
      <w:r>
        <w:rPr>
          <w:rFonts w:hint="eastAsia" w:ascii="方正小标宋简体" w:hAnsi="方正小标宋简体" w:eastAsia="方正小标宋简体" w:cs="方正小标宋简体"/>
          <w:b w:val="0"/>
          <w:bCs/>
          <w:sz w:val="44"/>
          <w:szCs w:val="44"/>
          <w:shd w:val="clear" w:color="auto" w:fill="FFFFFF"/>
        </w:rPr>
        <w:t>西南区域“医药健康研发中心基地”项目预付医疗建筑支持（主体工程竣工验收）奖补资金</w:t>
      </w:r>
    </w:p>
    <w:p w14:paraId="7574020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700" w:lineRule="exact"/>
        <w:ind w:left="0" w:right="0"/>
        <w:jc w:val="center"/>
        <w:textAlignment w:val="auto"/>
        <w:rPr>
          <w:rFonts w:hint="eastAsia" w:ascii="方正小标宋简体" w:hAnsi="方正小标宋简体" w:eastAsia="方正小标宋简体" w:cs="方正小标宋简体"/>
          <w:b w:val="0"/>
          <w:bCs/>
          <w:color w:val="auto"/>
          <w:kern w:val="2"/>
          <w:sz w:val="44"/>
          <w:szCs w:val="44"/>
          <w:lang w:val="en-US" w:eastAsia="zh-CN" w:bidi="ar"/>
        </w:rPr>
      </w:pPr>
      <w:r>
        <w:rPr>
          <w:rFonts w:hint="eastAsia" w:ascii="方正小标宋简体" w:hAnsi="方正小标宋简体" w:eastAsia="方正小标宋简体" w:cs="方正小标宋简体"/>
          <w:b w:val="0"/>
          <w:bCs/>
          <w:color w:val="auto"/>
          <w:kern w:val="2"/>
          <w:sz w:val="44"/>
          <w:szCs w:val="44"/>
          <w:lang w:val="en-US" w:eastAsia="zh-CN" w:bidi="ar"/>
        </w:rPr>
        <w:t>绩效评价报告</w:t>
      </w:r>
    </w:p>
    <w:p w14:paraId="51132CFE">
      <w:pPr>
        <w:keepNext w:val="0"/>
        <w:keepLines w:val="0"/>
        <w:widowControl w:val="0"/>
        <w:suppressLineNumbers w:val="0"/>
        <w:spacing w:before="0" w:beforeLines="0" w:beforeAutospacing="0" w:after="0" w:afterLines="0" w:afterAutospacing="0" w:line="578" w:lineRule="exact"/>
        <w:ind w:left="0" w:right="0" w:firstLine="640"/>
        <w:jc w:val="center"/>
        <w:rPr>
          <w:rFonts w:hint="default" w:ascii="Times New Roman" w:hAnsi="Times New Roman" w:eastAsia="Times New Roman" w:cs="Times New Roman"/>
          <w:color w:val="auto"/>
          <w:kern w:val="2"/>
          <w:sz w:val="32"/>
          <w:szCs w:val="32"/>
          <w:lang w:val="en-US" w:eastAsia="zh-CN" w:bidi="ar"/>
        </w:rPr>
      </w:pPr>
    </w:p>
    <w:p w14:paraId="7ACE1AC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733080CB">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Times New Roman" w:hAnsi="Times New Roman" w:eastAsia="楷体_GB2312" w:cs="Times New Roman"/>
          <w:b w:val="0"/>
          <w:bCs/>
          <w:color w:val="auto"/>
          <w:sz w:val="32"/>
          <w:szCs w:val="32"/>
          <w:highlight w:val="none"/>
          <w:u w:val="none"/>
          <w:lang w:val="zh-CN"/>
        </w:rPr>
      </w:pPr>
      <w:r>
        <w:rPr>
          <w:rFonts w:hint="default" w:ascii="Times New Roman" w:hAnsi="Times New Roman" w:eastAsia="楷体_GB2312" w:cs="Times New Roman"/>
          <w:b w:val="0"/>
          <w:bCs/>
          <w:color w:val="auto"/>
          <w:sz w:val="32"/>
          <w:szCs w:val="32"/>
          <w:highlight w:val="none"/>
          <w:u w:val="none"/>
          <w:lang w:val="zh-CN"/>
        </w:rPr>
        <w:t>（一）设立背景及基本情况。</w:t>
      </w:r>
    </w:p>
    <w:p w14:paraId="21AB8241">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为贯彻落实创新驱动发展战略，推动县域医药健康产业高质量发展，2023年11月4日，马边彝族自治县人民政府与四川中科森蓝新材料有限公司、北京彩真细胞技术服务有限责任公司（现已更名为北京佳弛生物科技有限公司）共同签订了《西南区域“医药健康研发中心基地”项目投资协议》。投资方与县禾丰国有资产有限公司共同成立四川中科鼎耀细胞科技有限公司作为项目公司，具体负责项目的建设和运营工作。根据投资协议约定，项目建成后将对医药健康研发中心基地给予医疗建筑支持奖补。项目主管部门为马边彝族自治县经济和信息化局，主要负责项目协调、资金申报及绩效监管等工作。</w:t>
      </w:r>
    </w:p>
    <w:p w14:paraId="3860E4AF">
      <w:pPr>
        <w:keepNext w:val="0"/>
        <w:keepLines w:val="0"/>
        <w:pageBreakBefore w:val="0"/>
        <w:numPr>
          <w:ilvl w:val="0"/>
          <w:numId w:val="8"/>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楷体_GB2312" w:cs="Times New Roman"/>
          <w:b w:val="0"/>
          <w:bCs/>
          <w:color w:val="auto"/>
          <w:sz w:val="32"/>
          <w:szCs w:val="32"/>
          <w:highlight w:val="none"/>
          <w:u w:val="none"/>
          <w:lang w:val="en-US" w:eastAsia="zh-CN"/>
        </w:rPr>
      </w:pPr>
      <w:r>
        <w:rPr>
          <w:rFonts w:hint="default" w:ascii="Times New Roman" w:hAnsi="Times New Roman" w:eastAsia="楷体_GB2312" w:cs="Times New Roman"/>
          <w:b w:val="0"/>
          <w:bCs/>
          <w:color w:val="auto"/>
          <w:sz w:val="32"/>
          <w:szCs w:val="32"/>
          <w:highlight w:val="none"/>
          <w:u w:val="none"/>
          <w:lang w:val="en-US" w:eastAsia="zh-CN"/>
        </w:rPr>
        <w:t>实施目的及支持方向。</w:t>
      </w:r>
    </w:p>
    <w:p w14:paraId="06B25FAD">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eastAsia" w:eastAsia="仿宋_GB2312" w:cs="Times New Roman"/>
          <w:color w:val="auto"/>
          <w:kern w:val="0"/>
          <w:sz w:val="32"/>
          <w:szCs w:val="32"/>
          <w:highlight w:val="none"/>
          <w:u w:val="none"/>
          <w:shd w:val="clear" w:color="auto" w:fill="FFFFFF"/>
          <w:lang w:val="en-US" w:eastAsia="zh-CN"/>
        </w:rPr>
        <w:t>1.</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项目实施目的：支持西南区域“医药健康研发中心基地”项目建设，对主体工程竣工验收后的医疗建筑给予奖补，减轻企业建设资金压力，加快项目投产，促进县域医药健康产业集聚发展。</w:t>
      </w:r>
    </w:p>
    <w:p w14:paraId="1C88D42A">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eastAsia" w:eastAsia="仿宋_GB2312" w:cs="Times New Roman"/>
          <w:color w:val="auto"/>
          <w:kern w:val="0"/>
          <w:sz w:val="32"/>
          <w:szCs w:val="32"/>
          <w:highlight w:val="none"/>
          <w:u w:val="none"/>
          <w:shd w:val="clear" w:color="auto" w:fill="FFFFFF"/>
          <w:lang w:val="en-US" w:eastAsia="zh-CN"/>
        </w:rPr>
        <w:t>2.</w:t>
      </w:r>
      <w:r>
        <w:rPr>
          <w:rFonts w:hint="default" w:ascii="Times New Roman" w:hAnsi="Times New Roman" w:eastAsia="仿宋_GB2312" w:cs="Times New Roman"/>
          <w:color w:val="auto"/>
          <w:kern w:val="0"/>
          <w:sz w:val="32"/>
          <w:szCs w:val="32"/>
          <w:highlight w:val="none"/>
          <w:u w:val="none"/>
          <w:shd w:val="clear" w:color="auto" w:fill="FFFFFF"/>
          <w:lang w:val="en-US" w:eastAsia="zh-CN"/>
        </w:rPr>
        <w:t>奖补依据：《西南区域“医药健康研发中心基地”项目投资协议》第五条第（一）款“医疗建筑支持”：建设面积不低于18000平方米，并按照医疗产业用房标准进行装修，每平方米（含装修）给予2000元奖补，奖补面积最高不超过20000平方米。其中，主体工程竣工并验收完成后预付奖补资金1000万元。</w:t>
      </w:r>
    </w:p>
    <w:p w14:paraId="1F953F45">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楷体_GB2312" w:cs="Times New Roman"/>
          <w:b w:val="0"/>
          <w:bCs/>
          <w:color w:val="auto"/>
          <w:sz w:val="32"/>
          <w:szCs w:val="32"/>
          <w:highlight w:val="none"/>
          <w:u w:val="none"/>
          <w:lang w:val="zh-CN" w:eastAsia="zh-CN"/>
        </w:rPr>
      </w:pPr>
      <w:r>
        <w:rPr>
          <w:rFonts w:hint="default" w:ascii="Times New Roman" w:hAnsi="Times New Roman" w:eastAsia="楷体_GB2312" w:cs="Times New Roman"/>
          <w:b w:val="0"/>
          <w:bCs/>
          <w:color w:val="auto"/>
          <w:sz w:val="32"/>
          <w:szCs w:val="32"/>
          <w:highlight w:val="none"/>
          <w:u w:val="none"/>
          <w:lang w:val="zh-CN" w:eastAsia="zh-CN"/>
        </w:rPr>
        <w:t>（三）</w:t>
      </w:r>
      <w:r>
        <w:rPr>
          <w:rFonts w:hint="default" w:ascii="Times New Roman" w:hAnsi="Times New Roman" w:eastAsia="楷体_GB2312" w:cs="Times New Roman"/>
          <w:b w:val="0"/>
          <w:bCs/>
          <w:color w:val="auto"/>
          <w:sz w:val="32"/>
          <w:szCs w:val="32"/>
          <w:highlight w:val="none"/>
          <w:u w:val="none"/>
          <w:lang w:val="en-US" w:eastAsia="zh-CN"/>
        </w:rPr>
        <w:t>预算安排及分配管理</w:t>
      </w:r>
      <w:r>
        <w:rPr>
          <w:rFonts w:hint="default" w:ascii="Times New Roman" w:hAnsi="Times New Roman" w:eastAsia="楷体_GB2312" w:cs="Times New Roman"/>
          <w:b w:val="0"/>
          <w:bCs/>
          <w:color w:val="auto"/>
          <w:sz w:val="32"/>
          <w:szCs w:val="32"/>
          <w:highlight w:val="none"/>
          <w:u w:val="none"/>
          <w:lang w:val="zh-CN" w:eastAsia="zh-CN"/>
        </w:rPr>
        <w:t>。</w:t>
      </w:r>
    </w:p>
    <w:p w14:paraId="3330983F">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根据投资协议约定及项目实际建设进度，经征求县财政局意见，建议在2025年初保留预算“支持企业发展资金”中解决1000万元，专项用于支付项目医疗建筑支持（主体工程竣工验收）奖补资金。经县委财经委员会第二十四次会议暨县托底性帮扶工作专班2025年第三次会议审议通过，批准支付奖补资金1000万元。资金由县财政局拨付至县经济和信息化局，再拨付至项目公司，实行专款专用。</w:t>
      </w:r>
    </w:p>
    <w:p w14:paraId="1DCA0B2A">
      <w:pPr>
        <w:keepNext w:val="0"/>
        <w:keepLines w:val="0"/>
        <w:pageBreakBefore w:val="0"/>
        <w:numPr>
          <w:ilvl w:val="0"/>
          <w:numId w:val="0"/>
        </w:numPr>
        <w:kinsoku/>
        <w:wordWrap/>
        <w:overflowPunct/>
        <w:topLinePunct w:val="0"/>
        <w:autoSpaceDE/>
        <w:autoSpaceDN/>
        <w:bidi w:val="0"/>
        <w:adjustRightInd w:val="0"/>
        <w:snapToGrid w:val="0"/>
        <w:spacing w:line="600" w:lineRule="exact"/>
        <w:ind w:leftChars="200"/>
        <w:textAlignment w:val="auto"/>
        <w:rPr>
          <w:rFonts w:hint="default" w:ascii="Times New Roman" w:hAnsi="Times New Roman" w:eastAsia="楷体_GB2312" w:cs="Times New Roman"/>
          <w:b w:val="0"/>
          <w:bCs/>
          <w:color w:val="auto"/>
          <w:sz w:val="32"/>
          <w:szCs w:val="32"/>
          <w:highlight w:val="none"/>
          <w:u w:val="none"/>
          <w:lang w:val="zh-CN" w:eastAsia="zh-CN"/>
        </w:rPr>
      </w:pPr>
      <w:r>
        <w:rPr>
          <w:rFonts w:hint="eastAsia" w:eastAsia="楷体_GB2312" w:cs="Times New Roman"/>
          <w:b w:val="0"/>
          <w:bCs/>
          <w:color w:val="auto"/>
          <w:sz w:val="32"/>
          <w:szCs w:val="32"/>
          <w:highlight w:val="none"/>
          <w:u w:val="none"/>
          <w:lang w:val="zh-CN" w:eastAsia="zh-CN"/>
        </w:rPr>
        <w:t>（四）</w:t>
      </w:r>
      <w:r>
        <w:rPr>
          <w:rFonts w:hint="default" w:ascii="Times New Roman" w:hAnsi="Times New Roman" w:eastAsia="楷体_GB2312" w:cs="Times New Roman"/>
          <w:b w:val="0"/>
          <w:bCs/>
          <w:color w:val="auto"/>
          <w:sz w:val="32"/>
          <w:szCs w:val="32"/>
          <w:highlight w:val="none"/>
          <w:u w:val="none"/>
          <w:lang w:val="zh-CN" w:eastAsia="zh-CN"/>
        </w:rPr>
        <w:t>项目绩效目标设置。</w:t>
      </w:r>
    </w:p>
    <w:p w14:paraId="0D6CDEAC">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本项目围绕“西南区域医药健康研发中心基地”医疗建筑支持奖补资金使用，结合投资协议约定及项目实际，设置以下绩效目标。</w:t>
      </w:r>
    </w:p>
    <w:p w14:paraId="02150A56">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1.项目整体绩效目标</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到2025年底，完成项目主体工程竣工验收，并依据投资协议约定向项目公司拨付奖补资金1000万元，保障项目顺利推进，为后续装修及投产运营奠定基础。</w:t>
      </w:r>
    </w:p>
    <w:p w14:paraId="7BD941F4">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2.产出指标</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在数量方面，项目实际建成医药健康研发中心基地面积19181.43平方米，超过协议约定的18000平方米。在质量方面，主体工程竣工验收合格率100%，工程质量达到设计标准和医疗产业用房标准。在时效方面，按计划完成主体工程竣工验收并及时拨付奖补资金。</w:t>
      </w:r>
    </w:p>
    <w:p w14:paraId="477135B0">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3.效益指标</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在经济方面，奖补资金1000万元引导带动企业后续装修及研发设备投入。在社会方面，项目建成后将促进县域医药健康产业发展，增加就业岗位，提升区域产业竞争力。</w:t>
      </w:r>
    </w:p>
    <w:p w14:paraId="2451607E">
      <w:pPr>
        <w:keepNext w:val="0"/>
        <w:keepLines w:val="0"/>
        <w:pageBreakBefore w:val="0"/>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4.满意度指标</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项目公司及投资方对奖补资金拨付及政府服务的满意度设定为不低于90%。</w:t>
      </w:r>
    </w:p>
    <w:p w14:paraId="6FF19C8F">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5.绩效自评工作</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项目绩效自评由马边彝族自治县经济和信息化局会同县财政局组织开展，采用资料审查、实地核查及企业满意度调查相结合的方式，对照绩效目标逐项核实完成情况，形成本评价报告。</w:t>
      </w:r>
    </w:p>
    <w:p w14:paraId="01DE308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5A09C0CB">
      <w:pPr>
        <w:keepNext w:val="0"/>
        <w:keepLines w:val="0"/>
        <w:pageBreakBefore w:val="0"/>
        <w:widowControl w:val="0"/>
        <w:kinsoku/>
        <w:wordWrap/>
        <w:overflowPunct/>
        <w:topLinePunct w:val="0"/>
        <w:autoSpaceDE/>
        <w:autoSpaceDN/>
        <w:bidi w:val="0"/>
        <w:spacing w:line="600" w:lineRule="exact"/>
        <w:ind w:firstLine="640"/>
        <w:textAlignment w:val="auto"/>
        <w:outlineLvl w:val="9"/>
        <w:rPr>
          <w:rFonts w:hint="default" w:ascii="Times New Roman" w:hAnsi="Times New Roman" w:eastAsia="楷体_GB2312" w:cs="Times New Roman"/>
          <w:b w:val="0"/>
          <w:bCs/>
          <w:color w:val="auto"/>
          <w:sz w:val="32"/>
          <w:szCs w:val="32"/>
          <w:highlight w:val="none"/>
          <w:u w:val="none"/>
          <w:lang w:val="zh-CN"/>
        </w:rPr>
      </w:pPr>
      <w:r>
        <w:rPr>
          <w:rFonts w:hint="default" w:ascii="Times New Roman" w:hAnsi="Times New Roman" w:eastAsia="楷体_GB2312" w:cs="Times New Roman"/>
          <w:b w:val="0"/>
          <w:bCs/>
          <w:color w:val="auto"/>
          <w:sz w:val="32"/>
          <w:szCs w:val="32"/>
          <w:highlight w:val="none"/>
          <w:u w:val="none"/>
          <w:lang w:val="zh-CN"/>
        </w:rPr>
        <w:t>（一）评价目的。</w:t>
      </w:r>
    </w:p>
    <w:p w14:paraId="7FF96191">
      <w:pPr>
        <w:keepNext w:val="0"/>
        <w:keepLines w:val="0"/>
        <w:pageBreakBefore w:val="0"/>
        <w:widowControl w:val="0"/>
        <w:kinsoku/>
        <w:wordWrap/>
        <w:overflowPunct/>
        <w:topLinePunct w:val="0"/>
        <w:autoSpaceDE/>
        <w:autoSpaceDN/>
        <w:bidi w:val="0"/>
        <w:spacing w:line="600"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通过绩效自评，全面了解奖补资金使用的规范性、安全性和有效性，客观反映项目产出与效益达成情况，为后续资金安排和政策完善提供依据。</w:t>
      </w:r>
    </w:p>
    <w:p w14:paraId="4D8211A4">
      <w:pPr>
        <w:keepNext w:val="0"/>
        <w:keepLines w:val="0"/>
        <w:pageBreakBefore w:val="0"/>
        <w:widowControl w:val="0"/>
        <w:numPr>
          <w:ilvl w:val="0"/>
          <w:numId w:val="9"/>
        </w:numPr>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Times New Roman" w:hAnsi="Times New Roman" w:eastAsia="楷体_GB2312" w:cs="Times New Roman"/>
          <w:b w:val="0"/>
          <w:bCs/>
          <w:color w:val="auto"/>
          <w:sz w:val="32"/>
          <w:szCs w:val="32"/>
          <w:highlight w:val="none"/>
          <w:u w:val="none"/>
          <w:lang w:val="zh-CN"/>
        </w:rPr>
      </w:pPr>
      <w:r>
        <w:rPr>
          <w:rFonts w:hint="default" w:ascii="Times New Roman" w:hAnsi="Times New Roman" w:eastAsia="楷体_GB2312" w:cs="Times New Roman"/>
          <w:b w:val="0"/>
          <w:bCs/>
          <w:color w:val="auto"/>
          <w:sz w:val="32"/>
          <w:szCs w:val="32"/>
          <w:highlight w:val="none"/>
          <w:u w:val="none"/>
          <w:lang w:val="zh-CN"/>
        </w:rPr>
        <w:t>预设问题及评价重点。</w:t>
      </w:r>
    </w:p>
    <w:p w14:paraId="6F21034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按照《项目预算绩效评价指标体系》要求，围绕通用指标（项目决策、项目管理、项目实施、项目结果）、专用指标（基础设施类—建成项目：项目验收、功能实现、后续管护）、个性指标进行综合评价。</w:t>
      </w:r>
    </w:p>
    <w:p w14:paraId="39DA6E76">
      <w:pPr>
        <w:keepNext w:val="0"/>
        <w:keepLines w:val="0"/>
        <w:pageBreakBefore w:val="0"/>
        <w:widowControl w:val="0"/>
        <w:numPr>
          <w:ilvl w:val="0"/>
          <w:numId w:val="9"/>
        </w:numPr>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Times New Roman" w:hAnsi="Times New Roman" w:eastAsia="楷体_GB2312" w:cs="Times New Roman"/>
          <w:b w:val="0"/>
          <w:bCs/>
          <w:color w:val="auto"/>
          <w:sz w:val="32"/>
          <w:szCs w:val="32"/>
          <w:highlight w:val="none"/>
          <w:u w:val="none"/>
          <w:lang w:val="zh-CN"/>
        </w:rPr>
      </w:pPr>
      <w:r>
        <w:rPr>
          <w:rFonts w:hint="default" w:ascii="Times New Roman" w:hAnsi="Times New Roman" w:eastAsia="楷体_GB2312" w:cs="Times New Roman"/>
          <w:b w:val="0"/>
          <w:bCs/>
          <w:color w:val="auto"/>
          <w:sz w:val="32"/>
          <w:szCs w:val="32"/>
          <w:highlight w:val="none"/>
          <w:u w:val="none"/>
          <w:lang w:val="zh-CN"/>
        </w:rPr>
        <w:t>评价选点。</w:t>
      </w:r>
    </w:p>
    <w:p w14:paraId="67EF660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本项目涉及1个项目单位（四川中科鼎耀细胞科技有限公司），覆盖该专项资金分配点位的100%。实地踏勘点位清单详见附件。</w:t>
      </w:r>
    </w:p>
    <w:p w14:paraId="1DBA026A">
      <w:pPr>
        <w:keepNext w:val="0"/>
        <w:keepLines w:val="0"/>
        <w:pageBreakBefore w:val="0"/>
        <w:widowControl w:val="0"/>
        <w:numPr>
          <w:ilvl w:val="0"/>
          <w:numId w:val="9"/>
        </w:numPr>
        <w:kinsoku/>
        <w:wordWrap/>
        <w:overflowPunct/>
        <w:topLinePunct w:val="0"/>
        <w:autoSpaceDE/>
        <w:autoSpaceDN/>
        <w:bidi w:val="0"/>
        <w:spacing w:line="600" w:lineRule="exact"/>
        <w:ind w:left="0" w:leftChars="0" w:firstLine="640" w:firstLineChars="200"/>
        <w:textAlignment w:val="auto"/>
        <w:outlineLvl w:val="9"/>
        <w:rPr>
          <w:rFonts w:hint="default" w:ascii="Times New Roman" w:hAnsi="Times New Roman" w:eastAsia="楷体_GB2312" w:cs="Times New Roman"/>
          <w:b w:val="0"/>
          <w:bCs/>
          <w:color w:val="auto"/>
          <w:sz w:val="32"/>
          <w:szCs w:val="32"/>
          <w:highlight w:val="none"/>
          <w:u w:val="none"/>
          <w:lang w:val="zh-CN"/>
        </w:rPr>
      </w:pPr>
      <w:r>
        <w:rPr>
          <w:rFonts w:hint="default" w:ascii="Times New Roman" w:hAnsi="Times New Roman" w:eastAsia="楷体_GB2312" w:cs="Times New Roman"/>
          <w:b w:val="0"/>
          <w:bCs/>
          <w:color w:val="auto"/>
          <w:sz w:val="32"/>
          <w:szCs w:val="32"/>
          <w:highlight w:val="none"/>
          <w:u w:val="none"/>
          <w:lang w:val="zh-CN"/>
        </w:rPr>
        <w:t>评价方法。</w:t>
      </w:r>
    </w:p>
    <w:p w14:paraId="483791D9">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综合采用以下方法：</w:t>
      </w:r>
    </w:p>
    <w:p w14:paraId="4AB8E225">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rPr>
        <w:t>案卷研究法：查阅投资协议、资金拨付文件、财务凭证、竣工验收报告等资料。</w:t>
      </w:r>
    </w:p>
    <w:p w14:paraId="7F5FF2BA">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实地勘察法：对项目现场进行勘察，核实建设面积、工程质量等情况。</w:t>
      </w:r>
    </w:p>
    <w:p w14:paraId="25772363">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座谈调研法：与项目公司负责人、财务人员座谈，了解资金使用及项目进展。</w:t>
      </w:r>
    </w:p>
    <w:p w14:paraId="37469A4F">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问卷调查法：向项目公司发放满意度问卷，收集对资金政策、管理服务的评价。</w:t>
      </w:r>
    </w:p>
    <w:p w14:paraId="4761E14E">
      <w:pPr>
        <w:keepNext w:val="0"/>
        <w:keepLines w:val="0"/>
        <w:pageBreakBefore w:val="0"/>
        <w:widowControl w:val="0"/>
        <w:kinsoku/>
        <w:wordWrap/>
        <w:overflowPunct/>
        <w:topLinePunct w:val="0"/>
        <w:autoSpaceDE/>
        <w:autoSpaceDN/>
        <w:bidi w:val="0"/>
        <w:spacing w:line="600" w:lineRule="exact"/>
        <w:ind w:firstLine="640"/>
        <w:textAlignment w:val="auto"/>
        <w:outlineLvl w:val="9"/>
        <w:rPr>
          <w:rFonts w:hint="default" w:ascii="Times New Roman" w:hAnsi="Times New Roman" w:eastAsia="楷体_GB2312" w:cs="Times New Roman"/>
          <w:b w:val="0"/>
          <w:bCs/>
          <w:color w:val="auto"/>
          <w:sz w:val="32"/>
          <w:szCs w:val="32"/>
          <w:highlight w:val="none"/>
          <w:u w:val="none"/>
          <w:lang w:val="zh-CN"/>
        </w:rPr>
      </w:pPr>
      <w:r>
        <w:rPr>
          <w:rFonts w:hint="default" w:ascii="Times New Roman" w:hAnsi="Times New Roman" w:eastAsia="楷体_GB2312" w:cs="Times New Roman"/>
          <w:b w:val="0"/>
          <w:bCs/>
          <w:color w:val="auto"/>
          <w:sz w:val="32"/>
          <w:szCs w:val="32"/>
          <w:highlight w:val="none"/>
          <w:u w:val="none"/>
          <w:lang w:val="zh-CN"/>
        </w:rPr>
        <w:t>（五）评价组织。</w:t>
      </w:r>
    </w:p>
    <w:p w14:paraId="02FE5834">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评价工作由马边彝族自治县经济和信息化局牵头，组成绩效评价工作组：</w:t>
      </w:r>
    </w:p>
    <w:p w14:paraId="13A25694">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rPr>
        <w:t>组长：县经济和信息化局分管副局长</w:t>
      </w:r>
    </w:p>
    <w:p w14:paraId="6E989E88">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成员：县经济和信息化局工业股、县财政局经建股</w:t>
      </w:r>
    </w:p>
    <w:p w14:paraId="2319CFED">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bCs/>
          <w:sz w:val="32"/>
          <w:szCs w:val="32"/>
          <w:lang w:eastAsia="zh-CN"/>
        </w:rPr>
      </w:pP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职责：制定评价方案、收集资料、开展现场核查、分析数据、撰写报告。</w:t>
      </w:r>
    </w:p>
    <w:p w14:paraId="2BAC9EAB">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14:paraId="19745F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根据《项目预算绩效评价指标体系》，逐项分析并评分如下</w:t>
      </w:r>
      <w:r>
        <w:rPr>
          <w:rFonts w:hint="eastAsia" w:eastAsia="仿宋_GB2312" w:cs="Times New Roman"/>
          <w:sz w:val="32"/>
          <w:szCs w:val="32"/>
          <w:lang w:val="zh-CN" w:eastAsia="zh-CN"/>
        </w:rPr>
        <w:t>。</w:t>
      </w:r>
    </w:p>
    <w:p w14:paraId="297D6D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楷体_GB2312" w:cs="Times New Roman"/>
          <w:b w:val="0"/>
          <w:bCs/>
          <w:color w:val="auto"/>
          <w:sz w:val="32"/>
          <w:szCs w:val="32"/>
          <w:highlight w:val="none"/>
          <w:u w:val="none"/>
          <w:lang w:val="en-US" w:eastAsia="zh-CN"/>
        </w:rPr>
      </w:pPr>
      <w:r>
        <w:rPr>
          <w:rFonts w:hint="default" w:ascii="Times New Roman" w:hAnsi="Times New Roman" w:eastAsia="楷体_GB2312" w:cs="Times New Roman"/>
          <w:b w:val="0"/>
          <w:bCs/>
          <w:color w:val="auto"/>
          <w:sz w:val="32"/>
          <w:szCs w:val="32"/>
          <w:highlight w:val="none"/>
          <w:u w:val="none"/>
          <w:lang w:val="zh-CN"/>
        </w:rPr>
        <w:t>（一）</w:t>
      </w:r>
      <w:r>
        <w:rPr>
          <w:rFonts w:hint="default" w:ascii="Times New Roman" w:hAnsi="Times New Roman" w:eastAsia="楷体_GB2312" w:cs="Times New Roman"/>
          <w:b w:val="0"/>
          <w:bCs/>
          <w:color w:val="auto"/>
          <w:sz w:val="32"/>
          <w:szCs w:val="32"/>
          <w:highlight w:val="none"/>
          <w:u w:val="none"/>
          <w:lang w:val="en-US" w:eastAsia="zh-CN"/>
        </w:rPr>
        <w:t>通用指标</w:t>
      </w:r>
      <w:r>
        <w:rPr>
          <w:rFonts w:hint="default" w:ascii="Times New Roman" w:hAnsi="Times New Roman" w:eastAsia="楷体_GB2312" w:cs="Times New Roman"/>
          <w:b w:val="0"/>
          <w:bCs/>
          <w:color w:val="000000"/>
          <w:kern w:val="0"/>
          <w:sz w:val="32"/>
          <w:szCs w:val="32"/>
          <w:highlight w:val="none"/>
          <w:shd w:val="clear" w:color="auto" w:fill="FFFFFF"/>
          <w:lang w:val="zh-CN"/>
        </w:rPr>
        <w:t>绩效分析。</w:t>
      </w:r>
    </w:p>
    <w:p w14:paraId="4125003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lang w:eastAsia="zh-CN"/>
        </w:rPr>
        <w:t>项目决策。</w:t>
      </w:r>
    </w:p>
    <w:p w14:paraId="0FCFEB4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eastAsia" w:eastAsia="楷体_GB2312" w:cs="Times New Roman"/>
          <w:color w:val="auto"/>
          <w:sz w:val="32"/>
          <w:szCs w:val="32"/>
          <w:lang w:eastAsia="zh-CN"/>
        </w:rPr>
        <w:t>（</w:t>
      </w:r>
      <w:r>
        <w:rPr>
          <w:rFonts w:hint="eastAsia" w:eastAsia="楷体_GB2312" w:cs="Times New Roman"/>
          <w:color w:val="auto"/>
          <w:sz w:val="32"/>
          <w:szCs w:val="32"/>
          <w:lang w:val="en-US" w:eastAsia="zh-CN"/>
        </w:rPr>
        <w:t>1</w:t>
      </w:r>
      <w:r>
        <w:rPr>
          <w:rFonts w:hint="eastAsia" w:eastAsia="楷体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决策程序：项目依据投资协议约定设立，经县委财经委员会第二十四次会议暨县托底性帮扶工作专班2025年第三次会议审议通过，属于单位重大经济事项，经领导班子集体研究决定。发现0处不符合，得2分。</w:t>
      </w:r>
    </w:p>
    <w:p w14:paraId="21BC32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规划合理性：项目符合上级党委、政府关于医药健康产业发展的决策部署；符合本级党委、政府产业发展工作部署；项目规划已列入经县委、县政府审批的相关规划。发现0处不符合，得3分。</w:t>
      </w:r>
    </w:p>
    <w:p w14:paraId="5A3D873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评估论证：项目设立前经过投资协议论证，符合资金管理办法基本规范；未与相关部门同类项目重复；贯彻厉行节约要求；有相关政策依据；属于重点项目支出范围。发现0处不符合，得6分。</w:t>
      </w:r>
    </w:p>
    <w:p w14:paraId="73AE3F3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4</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绩效目标：绩效目标与全县产业发展目标相匹配；绩效目标与细化的经济事项（奖补资金拨付）相匹配；指标设置采用计划标准；与重点项目支出责任相匹配；目标责任人及股室明确。发现0处不符合，得5分。</w:t>
      </w:r>
    </w:p>
    <w:p w14:paraId="0A4739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5</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资金测算：预算方案按协议约定细化量化（每平方米2000元，面积19181.43平方米）；预算编制与政府批复事项匹配；投入成本合理，测算依据充分；聚焦重点领域，避免“撒胡椒面”；未与其他同类项目交叉重复。发现0处不符合，得5分。</w:t>
      </w:r>
    </w:p>
    <w:p w14:paraId="2F0087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2.</w:t>
      </w:r>
      <w:r>
        <w:rPr>
          <w:rFonts w:hint="default" w:ascii="Times New Roman" w:hAnsi="Times New Roman" w:eastAsia="楷体_GB2312" w:cs="Times New Roman"/>
          <w:color w:val="auto"/>
          <w:sz w:val="32"/>
          <w:szCs w:val="32"/>
          <w:lang w:eastAsia="zh-CN"/>
        </w:rPr>
        <w:t>项目管理。</w:t>
      </w:r>
    </w:p>
    <w:p w14:paraId="3939FA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1</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围制度办法：县经信局建立了专项资金管理办法和监管制度；项目公司建立了财务管理制度和专账管理机制；制度未出现有悖实际、难以操作或执行不畅的情况。缺失0项，得5分。</w:t>
      </w:r>
    </w:p>
    <w:p w14:paraId="2E928F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分配管理：本项目采用项目分配法，依据投资协议约定分配资金；明确申报审核程序并按规定履行审批；资金分配严格按管理办法执行，决策程序及时高效。得10分。</w:t>
      </w:r>
    </w:p>
    <w:p w14:paraId="7E73AC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绩效监管：项目按要求完成绩效目标设定、绩效监控、绩效评价等工作得2分；县级部门对项目实施单位绩效管理要求到位，开展了评价、监督、指导得2分；对绩效监控信息进行了分析研判得1分；及时进行了纠偏得1分。得6分。</w:t>
      </w:r>
    </w:p>
    <w:p w14:paraId="4D1FE1EB">
      <w:pPr>
        <w:keepNext w:val="0"/>
        <w:keepLines w:val="0"/>
        <w:pageBreakBefore w:val="0"/>
        <w:widowControl w:val="0"/>
        <w:kinsoku/>
        <w:wordWrap/>
        <w:overflowPunct/>
        <w:topLinePunct w:val="0"/>
        <w:autoSpaceDE/>
        <w:autoSpaceDN/>
        <w:bidi w:val="0"/>
        <w:adjustRightInd/>
        <w:snapToGrid/>
        <w:spacing w:line="600" w:lineRule="exact"/>
        <w:ind w:left="420" w:leftChars="200" w:firstLine="0" w:firstLineChars="0"/>
        <w:textAlignment w:val="auto"/>
        <w:outlineLvl w:val="9"/>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3.项目实施。</w:t>
      </w:r>
    </w:p>
    <w:p w14:paraId="43CB7B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楷体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预算执行：单位资金使用率100%。指标得分3分，得3分。</w:t>
      </w:r>
    </w:p>
    <w:p w14:paraId="772A99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财务管理：经核查，资金使用规范，财政监控有效；原始凭证规范；经济业务审签记录、合同等凭证完整；账户管理规范；账证、账账、账实相符；建立印章和档案管理制度。发现0处不合规，得5分。</w:t>
      </w:r>
    </w:p>
    <w:p w14:paraId="673287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采购管理：本项目为奖补资金支付，不涉及设备采购。采购管理不适用，按满分计。得5分。</w:t>
      </w:r>
    </w:p>
    <w:p w14:paraId="6BB2B4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4</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资产管理：项目形成的建筑资产已按规定登记；产权明晰（项目公司持有）；落实资产管护责任。发现0处不合规，得3分。</w:t>
      </w:r>
    </w:p>
    <w:p w14:paraId="06D430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5</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资金管理：资金使用符合预算管理办法和专项资金管理办法；拨付有完整审批程序和手续；符合项目批复或合同规定用途；无截留、挤占、挪用、虚列支出；无超预算使用；落实经济事项审查机制。发现0处不合规，得4分。</w:t>
      </w:r>
    </w:p>
    <w:p w14:paraId="485E55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4.项目结果。</w:t>
      </w:r>
    </w:p>
    <w:p w14:paraId="3ED59A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eastAsia="楷体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目标完成：实际完成目标任务量（拨付奖补资金1000万元，支持建成面积19181.43平方米）与首次批复设定的绩效目标任务量一致，目标实现程度100%。指标得分4分。</w:t>
      </w:r>
    </w:p>
    <w:p w14:paraId="01F95E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资金结余：项目资金1000万元全部列支，无结余资金，无需清退，得3分。</w:t>
      </w:r>
    </w:p>
    <w:p w14:paraId="59D581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完成时效：项目资金于2025年按程序审议通过后及时拨付，实际拨付时间未超过计划时间。得3分。</w:t>
      </w:r>
    </w:p>
    <w:p w14:paraId="504AD6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绩效自评：已组织开展部门评价得0.5分；及时编制评价报告得0.5分；报告格式规范、要素齐全得0.5分；结论准确、依据充分得0.5分；整改措施可行具体得0.5分；自评资料及时公开得0.5分。得3分。</w:t>
      </w:r>
    </w:p>
    <w:p w14:paraId="2E757C2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ascii="Times New Roman" w:hAnsi="Times New Roman" w:eastAsia="楷体_GB2312" w:cs="Times New Roman"/>
          <w:b w:val="0"/>
          <w:bCs/>
          <w:color w:val="000000"/>
          <w:kern w:val="0"/>
          <w:sz w:val="32"/>
          <w:szCs w:val="32"/>
          <w:highlight w:val="none"/>
          <w:shd w:val="clear" w:color="auto" w:fill="FFFFFF"/>
          <w:lang w:val="zh-CN"/>
        </w:rPr>
      </w:pPr>
      <w:r>
        <w:rPr>
          <w:rFonts w:hint="default" w:ascii="Times New Roman" w:hAnsi="Times New Roman" w:eastAsia="楷体_GB2312" w:cs="Times New Roman"/>
          <w:b w:val="0"/>
          <w:bCs/>
          <w:color w:val="auto"/>
          <w:sz w:val="32"/>
          <w:szCs w:val="32"/>
          <w:highlight w:val="none"/>
          <w:u w:val="none"/>
          <w:lang w:val="zh-CN"/>
        </w:rPr>
        <w:t>（二）</w:t>
      </w:r>
      <w:r>
        <w:rPr>
          <w:rFonts w:hint="default" w:ascii="Times New Roman" w:hAnsi="Times New Roman" w:eastAsia="楷体_GB2312" w:cs="Times New Roman"/>
          <w:b w:val="0"/>
          <w:bCs/>
          <w:color w:val="auto"/>
          <w:sz w:val="32"/>
          <w:szCs w:val="32"/>
          <w:highlight w:val="none"/>
          <w:u w:val="none"/>
          <w:lang w:val="en-US" w:eastAsia="zh-CN"/>
        </w:rPr>
        <w:t>专用指标</w:t>
      </w:r>
      <w:r>
        <w:rPr>
          <w:rFonts w:hint="default" w:ascii="Times New Roman" w:hAnsi="Times New Roman" w:eastAsia="楷体_GB2312" w:cs="Times New Roman"/>
          <w:b w:val="0"/>
          <w:bCs/>
          <w:color w:val="000000"/>
          <w:kern w:val="0"/>
          <w:sz w:val="32"/>
          <w:szCs w:val="32"/>
          <w:highlight w:val="none"/>
          <w:shd w:val="clear" w:color="auto" w:fill="FFFFFF"/>
          <w:lang w:val="zh-CN"/>
        </w:rPr>
        <w:t>绩效分析。</w:t>
      </w:r>
    </w:p>
    <w:p w14:paraId="18C454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根据专项预算项目资金支持对象，本项目属于基础设施类中的建成项目，围绕项目验收、功能实现、后续管护进行绩效分析。</w:t>
      </w:r>
    </w:p>
    <w:p w14:paraId="346996D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zh-CN" w:eastAsia="zh-CN"/>
        </w:rPr>
        <w:t>项目验收：项目已完成主体工程竣工验收，总建设面积19181.43平方米，符合投资协议约定。经核查，验收程序规范，验收结论为合格，验收资料齐全。发现0处不合规，得5分。</w:t>
      </w:r>
    </w:p>
    <w:p w14:paraId="1CE2AC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eastAsia="zh-CN"/>
        </w:rPr>
        <w:t>功能实现：项目建成后，已具备医药健康研发中心基地基本功能，可满足入驻企业研发、办公等需求。项目功能与预期目标一致，能够有效支撑县域医药健康产业发展。发现0处不合规，得5分。</w:t>
      </w:r>
    </w:p>
    <w:p w14:paraId="52699F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zh-CN" w:eastAsia="zh-CN"/>
        </w:rPr>
        <w:t>后续管护：项目公司已建立资产管护制度和运营管理机制，明确管护责任人，后续维护有保障。发现0处不合规，得5分。</w:t>
      </w:r>
    </w:p>
    <w:p w14:paraId="77735F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楷体_GB2312" w:cs="Times New Roman"/>
          <w:b w:val="0"/>
          <w:bCs/>
          <w:color w:val="000000"/>
          <w:kern w:val="0"/>
          <w:sz w:val="32"/>
          <w:szCs w:val="32"/>
          <w:highlight w:val="none"/>
          <w:shd w:val="clear" w:color="auto" w:fill="FFFFFF"/>
          <w:lang w:val="zh-CN"/>
        </w:rPr>
      </w:pPr>
      <w:r>
        <w:rPr>
          <w:rFonts w:hint="default" w:ascii="Times New Roman" w:hAnsi="Times New Roman" w:eastAsia="楷体_GB2312" w:cs="Times New Roman"/>
          <w:b w:val="0"/>
          <w:bCs/>
          <w:color w:val="auto"/>
          <w:sz w:val="32"/>
          <w:szCs w:val="32"/>
          <w:highlight w:val="none"/>
          <w:u w:val="none"/>
          <w:lang w:val="zh-CN"/>
        </w:rPr>
        <w:t>（三）</w:t>
      </w:r>
      <w:r>
        <w:rPr>
          <w:rFonts w:hint="default" w:ascii="Times New Roman" w:hAnsi="Times New Roman" w:eastAsia="楷体_GB2312" w:cs="Times New Roman"/>
          <w:b w:val="0"/>
          <w:bCs/>
          <w:color w:val="auto"/>
          <w:sz w:val="32"/>
          <w:szCs w:val="32"/>
          <w:highlight w:val="none"/>
          <w:u w:val="none"/>
          <w:lang w:val="en-US" w:eastAsia="zh-CN"/>
        </w:rPr>
        <w:t>个性指标</w:t>
      </w:r>
      <w:r>
        <w:rPr>
          <w:rFonts w:hint="default" w:ascii="Times New Roman" w:hAnsi="Times New Roman" w:eastAsia="楷体_GB2312" w:cs="Times New Roman"/>
          <w:b w:val="0"/>
          <w:bCs/>
          <w:color w:val="000000"/>
          <w:kern w:val="0"/>
          <w:sz w:val="32"/>
          <w:szCs w:val="32"/>
          <w:highlight w:val="none"/>
          <w:shd w:val="clear" w:color="auto" w:fill="FFFFFF"/>
          <w:lang w:val="zh-CN"/>
        </w:rPr>
        <w:t>绩效分析。</w:t>
      </w:r>
    </w:p>
    <w:p w14:paraId="524213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根据项目实际，增设以下个性指标：</w:t>
      </w:r>
    </w:p>
    <w:p w14:paraId="055298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zh-CN" w:eastAsia="zh-CN"/>
        </w:rPr>
        <w:t>协议履约率：项目严格按投资协议约定执行，建设面积、奖补标准、拨付条件等均符合协议要求。得5分。</w:t>
      </w:r>
    </w:p>
    <w:p w14:paraId="690F1E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eastAsia="zh-CN"/>
        </w:rPr>
        <w:t>安全生产：项目建设期间及竣工验收后未发生安全生产事故，企业安全管理制度健全。得5分。</w:t>
      </w:r>
    </w:p>
    <w:p w14:paraId="3ECA56FF">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四</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14:paraId="43BBF7D9">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项目实施情况：西南区域“医药健康研发中心基地”项目已完成主体工程竣工验收，实际建设面积19181.43平方米，超过协议约定面积。奖补资金1000万元已按程序全额拨付到位，资金使用规范、专款专用，产出指标全面达成。项目有效减轻了企业建设资金压力，为后续装修及投产运营奠定了坚实基础，对推动马边彝族自治县医药健康产业高质量发展具有积极意义。</w:t>
      </w:r>
    </w:p>
    <w:p w14:paraId="65E8A844">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zh-CN" w:bidi="ar-SA"/>
        </w:rPr>
      </w:pPr>
    </w:p>
    <w:p w14:paraId="27B72519">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zh-CN" w:bidi="ar-SA"/>
        </w:rPr>
      </w:pPr>
      <w:r>
        <w:rPr>
          <w:rFonts w:hint="default" w:ascii="Times New Roman" w:hAnsi="Times New Roman" w:eastAsia="黑体" w:cs="Times New Roman"/>
          <w:color w:val="auto"/>
          <w:kern w:val="0"/>
          <w:position w:val="3"/>
          <w:sz w:val="32"/>
          <w:szCs w:val="32"/>
          <w:highlight w:val="none"/>
          <w:u w:val="none"/>
          <w:lang w:val="en-US" w:eastAsia="zh-CN" w:bidi="ar-SA"/>
        </w:rPr>
        <w:t>五、存在主要问题</w:t>
      </w:r>
    </w:p>
    <w:p w14:paraId="3FB32A52">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val="0"/>
          <w:bCs w:val="0"/>
          <w:kern w:val="0"/>
          <w:position w:val="0"/>
          <w:sz w:val="32"/>
          <w:szCs w:val="32"/>
          <w:highlight w:val="none"/>
          <w:lang w:val="en-US" w:eastAsia="zh-CN" w:bidi="ar-SA"/>
        </w:rPr>
        <w:t>无</w:t>
      </w:r>
    </w:p>
    <w:p w14:paraId="68F22782">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7D6F0326">
      <w:pPr>
        <w:keepNext w:val="0"/>
        <w:keepLines w:val="0"/>
        <w:pageBreakBefore w:val="0"/>
        <w:tabs>
          <w:tab w:val="left" w:pos="1911"/>
        </w:tabs>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r>
        <w:rPr>
          <w:rFonts w:hint="eastAsia" w:eastAsia="仿宋_GB2312" w:cs="Times New Roman"/>
          <w:b w:val="0"/>
          <w:bCs w:val="0"/>
          <w:kern w:val="0"/>
          <w:position w:val="0"/>
          <w:sz w:val="32"/>
          <w:szCs w:val="32"/>
          <w:highlight w:val="none"/>
          <w:lang w:val="en-US" w:eastAsia="zh-CN" w:bidi="ar-SA"/>
        </w:rPr>
        <w:t>无</w:t>
      </w:r>
    </w:p>
    <w:p w14:paraId="7B327BA6">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0948DA1B">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042D7D00">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605C48DF">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4B42C609">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4FC7F041">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45E1B701">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217C2FA6">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014AB80B">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3C1DE64B">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7570FC7A">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5B4F2CD6">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3DE31CE8">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38386B35">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4E183DC5">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p>
    <w:p w14:paraId="671D1C4A">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马边彝族自治县经济和信息化局</w:t>
      </w:r>
    </w:p>
    <w:p w14:paraId="48DF8308">
      <w:pPr>
        <w:keepNext w:val="0"/>
        <w:keepLines w:val="0"/>
        <w:pageBreakBefore w:val="0"/>
        <w:widowControl w:val="0"/>
        <w:kinsoku/>
        <w:wordWrap/>
        <w:overflowPunct/>
        <w:topLinePunct w:val="0"/>
        <w:autoSpaceDE/>
        <w:autoSpaceDN/>
        <w:bidi w:val="0"/>
        <w:adjustRightInd/>
        <w:snapToGrid/>
        <w:spacing w:line="700" w:lineRule="exact"/>
        <w:contextualSpacing/>
        <w:jc w:val="center"/>
        <w:textAlignment w:val="auto"/>
        <w:rPr>
          <w:rFonts w:hint="eastAsia" w:ascii="方正小标宋简体" w:hAnsi="方正小标宋简体" w:eastAsia="方正小标宋简体" w:cs="方正小标宋简体"/>
          <w:color w:val="auto"/>
          <w:kern w:val="2"/>
          <w:sz w:val="44"/>
          <w:szCs w:val="44"/>
          <w:lang w:val="en-US" w:eastAsia="zh-CN" w:bidi="ar"/>
        </w:rPr>
      </w:pPr>
      <w:r>
        <w:rPr>
          <w:rFonts w:hint="eastAsia" w:ascii="方正小标宋简体" w:hAnsi="方正小标宋简体" w:eastAsia="方正小标宋简体" w:cs="方正小标宋简体"/>
          <w:sz w:val="44"/>
          <w:szCs w:val="44"/>
          <w:lang w:val="en-US" w:eastAsia="zh-CN"/>
        </w:rPr>
        <w:t>西南区域“医药健康研发中心基地“项目预付医疗建筑奖补资金</w:t>
      </w:r>
      <w:r>
        <w:rPr>
          <w:rFonts w:hint="eastAsia" w:ascii="方正小标宋简体" w:hAnsi="方正小标宋简体" w:eastAsia="方正小标宋简体" w:cs="方正小标宋简体"/>
          <w:color w:val="auto"/>
          <w:kern w:val="2"/>
          <w:sz w:val="44"/>
          <w:szCs w:val="44"/>
          <w:lang w:val="en-US" w:eastAsia="zh-CN" w:bidi="ar"/>
        </w:rPr>
        <w:t>绩效评价报告</w:t>
      </w:r>
    </w:p>
    <w:p w14:paraId="4E9C2276">
      <w:pPr>
        <w:keepNext w:val="0"/>
        <w:keepLines w:val="0"/>
        <w:widowControl w:val="0"/>
        <w:suppressLineNumbers w:val="0"/>
        <w:spacing w:before="0" w:beforeLines="0" w:beforeAutospacing="0" w:after="0" w:afterLines="0" w:afterAutospacing="0" w:line="578" w:lineRule="exact"/>
        <w:ind w:left="0" w:right="0" w:firstLine="640"/>
        <w:jc w:val="center"/>
        <w:rPr>
          <w:rFonts w:hint="default" w:ascii="Times New Roman" w:hAnsi="Times New Roman" w:eastAsia="Times New Roman" w:cs="Times New Roman"/>
          <w:color w:val="auto"/>
          <w:kern w:val="2"/>
          <w:sz w:val="32"/>
          <w:szCs w:val="32"/>
          <w:lang w:val="en-US" w:eastAsia="zh-CN" w:bidi="ar"/>
        </w:rPr>
      </w:pPr>
    </w:p>
    <w:p w14:paraId="10DD951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1E07B05B">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166E4CFB">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为贯彻落实创新驱动发展战略，推动县域医药健康产业高质量发展，2023年11月4日，马边彝族自治县人民政府与四川中科森蓝新材料有限公司、北京彩真细胞技术服务有限责任公司（现已更名为北京佳弛生物科技有限公司）共同签订了《西南区域“医药健康研发中心基地”项目投资协议》。投资方与县禾丰国有资产有限公司共同成立四川中科鼎耀细胞科技有限公司作为项目公司，具体负责项目的建设和运营工作。根据投资协议约定，项目建成后将对医药健康研发中心基地给予医疗建筑支持奖补。项目主管部门为马边彝族自治县经济和信息化局，主要负责项目协调、资金申报及绩效监管等工作。</w:t>
      </w:r>
    </w:p>
    <w:p w14:paraId="07C0F248">
      <w:pPr>
        <w:keepNext w:val="0"/>
        <w:keepLines w:val="0"/>
        <w:pageBreakBefore w:val="0"/>
        <w:numPr>
          <w:ilvl w:val="0"/>
          <w:numId w:val="10"/>
        </w:numPr>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14:paraId="35C8E21D">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项目实施目的：支持西南区域“医药健康研发中心基地”项目建设，对完成三通一平及地基正负零建设后的医疗建筑给予预付奖补，减轻企业前期建设资金压力，保障项目顺利推进，促进县域医药健康产业集聚发展。</w:t>
      </w:r>
    </w:p>
    <w:p w14:paraId="6CE5D6CE">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奖补依据：《西南区域“医药健康研发中心基地”项目投资协议》第五条第（一）款“医疗建筑支持”：建设面积不低于18000平方米，并按照医疗产业用房标准进行装修，每平方米（含装修）给予2000元奖补，奖补面积最高不超过20000平方米。其中，土地三通一平、地基正负零起来后预付奖补资金1500万元。</w:t>
      </w:r>
    </w:p>
    <w:p w14:paraId="66019391">
      <w:pPr>
        <w:keepNext w:val="0"/>
        <w:keepLines w:val="0"/>
        <w:pageBreakBefore w:val="0"/>
        <w:widowControl/>
        <w:numPr>
          <w:ilvl w:val="0"/>
          <w:numId w:val="10"/>
        </w:numPr>
        <w:kinsoku/>
        <w:wordWrap/>
        <w:overflowPunct/>
        <w:topLinePunct w:val="0"/>
        <w:autoSpaceDE/>
        <w:autoSpaceDN/>
        <w:bidi w:val="0"/>
        <w:adjustRightInd w:val="0"/>
        <w:snapToGrid w:val="0"/>
        <w:spacing w:line="600"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14:paraId="0FD786BD">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根据投资协议约定及项目实际建设进度，项目已完成三通一平和地基正负零建设，符合奖补资金申报条件。经项目公司申请，由县财政在支持企业发展资金中解决1500万元，专项用于支付项目医疗建筑支持第一次奖补资金。资金由县财政局拨付至县经济和信息化局，再拨付至项目公司，实行专款专用。</w:t>
      </w:r>
    </w:p>
    <w:p w14:paraId="1DED88DC">
      <w:pPr>
        <w:keepNext w:val="0"/>
        <w:keepLines w:val="0"/>
        <w:pageBreakBefore w:val="0"/>
        <w:numPr>
          <w:ilvl w:val="0"/>
          <w:numId w:val="10"/>
        </w:numPr>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14:paraId="41583A43">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本项目围绕“西南区域医药健康研发中心基地”医疗建筑支持第一次奖补资金使用，结合投资协议约定及项目实际，设置以下绩效目标。</w:t>
      </w:r>
    </w:p>
    <w:p w14:paraId="50D5FA93">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1.项目整体绩效目标</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到2025年底，完成项目三通一平及地基正负零建设，并依据投资协议约定向项目公司拨付奖补资金1500万元，保障项目前期建设顺利推进，为后续主体工程施工奠定基础。</w:t>
      </w:r>
    </w:p>
    <w:p w14:paraId="1664557B">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2.产出指标</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在数量方面，项目建设面积不低于18000平方米（计划建设面积19181.43平方米），三通一平及地基正负零工程已完成。在质量方面，工程质量合格率100%，达到设计标准和施工规范要求。在时效方面，按计划完成三通一平及地基正负零建设。</w:t>
      </w:r>
    </w:p>
    <w:p w14:paraId="387A65CD">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3.效益指标</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在经济方面，奖补资金1500万元引导带动企业后续建设投入。在社会方面，项目建成后将促进县域医药健康产业发展，增加就业岗位，提升区域产业竞争力。</w:t>
      </w:r>
    </w:p>
    <w:p w14:paraId="6A20F7DE">
      <w:pPr>
        <w:keepNext w:val="0"/>
        <w:keepLines w:val="0"/>
        <w:pageBreakBefore w:val="0"/>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4.满意度指标</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项目公司及投资方对奖补资金拨付及政府服务的满意度设定为不低于90%。</w:t>
      </w:r>
    </w:p>
    <w:p w14:paraId="5BA84C8B">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5.绩效自评工作</w:t>
      </w:r>
      <w:r>
        <w:rPr>
          <w:rFonts w:hint="eastAsia"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项目绩效自评由马边彝族自治县经济和信息化局会同县财政局组织开展，采用资料审查、实地核查及企业满意度调查相结合的方式，对照绩效目标逐项核实完成情况，形成本评价报告。</w:t>
      </w:r>
    </w:p>
    <w:p w14:paraId="2521F10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0997AC29">
      <w:pPr>
        <w:keepNext w:val="0"/>
        <w:keepLines w:val="0"/>
        <w:pageBreakBefore w:val="0"/>
        <w:widowControl w:val="0"/>
        <w:kinsoku/>
        <w:wordWrap/>
        <w:overflowPunct/>
        <w:topLinePunct w:val="0"/>
        <w:autoSpaceDE/>
        <w:autoSpaceDN/>
        <w:bidi w:val="0"/>
        <w:spacing w:line="600" w:lineRule="exact"/>
        <w:ind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77A0CD18">
      <w:pPr>
        <w:keepNext w:val="0"/>
        <w:keepLines w:val="0"/>
        <w:pageBreakBefore w:val="0"/>
        <w:widowControl w:val="0"/>
        <w:kinsoku/>
        <w:wordWrap/>
        <w:overflowPunct/>
        <w:topLinePunct w:val="0"/>
        <w:autoSpaceDE/>
        <w:autoSpaceDN/>
        <w:bidi w:val="0"/>
        <w:spacing w:line="600"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通过绩效自评，全面了解奖补资金使用的规范性、安全性和有效性，客观反映项目产出与效益达成情况，为后续资金安排和政策完善提供依据。</w:t>
      </w:r>
    </w:p>
    <w:p w14:paraId="5B79FFAE">
      <w:pPr>
        <w:keepNext w:val="0"/>
        <w:keepLines w:val="0"/>
        <w:pageBreakBefore w:val="0"/>
        <w:widowControl w:val="0"/>
        <w:numPr>
          <w:ilvl w:val="0"/>
          <w:numId w:val="11"/>
        </w:numPr>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r>
        <w:rPr>
          <w:rFonts w:hint="eastAsia" w:eastAsia="楷体_GB2312" w:cs="Times New Roman"/>
          <w:b/>
          <w:color w:val="auto"/>
          <w:sz w:val="32"/>
          <w:szCs w:val="32"/>
          <w:highlight w:val="none"/>
          <w:u w:val="none"/>
          <w:lang w:val="zh-CN"/>
        </w:rPr>
        <w:t>。</w:t>
      </w:r>
    </w:p>
    <w:p w14:paraId="26DA9AA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按照《项目预算绩效评价指标体系》要求，围绕通用指标（项目决策、项目管理、项目实施、项目结果）、专用指标（基础设施类—在建项目：工程进度、资金拨付）、个性指标进行综合评价。</w:t>
      </w:r>
    </w:p>
    <w:p w14:paraId="1D8E09B7">
      <w:pPr>
        <w:keepNext w:val="0"/>
        <w:keepLines w:val="0"/>
        <w:pageBreakBefore w:val="0"/>
        <w:widowControl w:val="0"/>
        <w:numPr>
          <w:ilvl w:val="0"/>
          <w:numId w:val="11"/>
        </w:numPr>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266F043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本项目涉及1个项目单位（四川中科鼎耀细胞科技有限公司），覆盖该专项资金分配点位的100%。实地踏勘点位清单详见附件。</w:t>
      </w:r>
    </w:p>
    <w:p w14:paraId="336BB1CE">
      <w:pPr>
        <w:keepNext w:val="0"/>
        <w:keepLines w:val="0"/>
        <w:pageBreakBefore w:val="0"/>
        <w:widowControl w:val="0"/>
        <w:numPr>
          <w:ilvl w:val="0"/>
          <w:numId w:val="11"/>
        </w:numPr>
        <w:kinsoku/>
        <w:wordWrap/>
        <w:overflowPunct/>
        <w:topLinePunct w:val="0"/>
        <w:autoSpaceDE/>
        <w:autoSpaceDN/>
        <w:bidi w:val="0"/>
        <w:spacing w:line="60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70B6759F">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综合采用以下方法：</w:t>
      </w:r>
    </w:p>
    <w:p w14:paraId="719D8B06">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rPr>
        <w:t>案卷研究法：查阅投资协议、资金拨付文件、财务凭证、工程进度报告等资料。</w:t>
      </w:r>
    </w:p>
    <w:p w14:paraId="3D3F9383">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实地勘察法：对项目现场进行勘察，核实三通一平及地基正负零完成情况。</w:t>
      </w:r>
    </w:p>
    <w:p w14:paraId="63EDA41C">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座谈调研法：与项目公司负责人、财务人员座谈，了解资金使用及项目进展。</w:t>
      </w:r>
    </w:p>
    <w:p w14:paraId="28B09667">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问卷调查法：向项目公司发放满意度问卷，收集对资金政策、管理服务的评价。</w:t>
      </w:r>
    </w:p>
    <w:p w14:paraId="5291319C">
      <w:pPr>
        <w:keepNext w:val="0"/>
        <w:keepLines w:val="0"/>
        <w:pageBreakBefore w:val="0"/>
        <w:widowControl w:val="0"/>
        <w:kinsoku/>
        <w:wordWrap/>
        <w:overflowPunct/>
        <w:topLinePunct w:val="0"/>
        <w:autoSpaceDE/>
        <w:autoSpaceDN/>
        <w:bidi w:val="0"/>
        <w:spacing w:line="600" w:lineRule="exact"/>
        <w:ind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14:paraId="0597CEAF">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评价工作由马边彝族自治县经济和信息化局牵头，组成绩效评价工作组：</w:t>
      </w:r>
    </w:p>
    <w:p w14:paraId="6D2029AD">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rPr>
        <w:t>组长：县经济和信息化局分管副局长</w:t>
      </w:r>
    </w:p>
    <w:p w14:paraId="7C21985D">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sz w:val="32"/>
          <w:szCs w:val="32"/>
        </w:rPr>
      </w:pP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成员：县经济和信息化局工业股、县财政局经建股</w:t>
      </w:r>
    </w:p>
    <w:p w14:paraId="5800F003">
      <w:pPr>
        <w:keepNext w:val="0"/>
        <w:keepLines w:val="0"/>
        <w:pageBreakBefore w:val="0"/>
        <w:widowControl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bCs/>
          <w:sz w:val="32"/>
          <w:szCs w:val="32"/>
          <w:lang w:eastAsia="zh-CN"/>
        </w:rPr>
      </w:pP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职责：制定评价方案、收集资料、开展现场核查、分析数据、撰写报告。</w:t>
      </w:r>
    </w:p>
    <w:p w14:paraId="7C4FE1D3">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14:paraId="7F7397A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根据《项目预算绩效评价指标体系》，逐项分析并评分如下。</w:t>
      </w:r>
    </w:p>
    <w:p w14:paraId="1D0C9DAF">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0DCA7B7A">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lang w:eastAsia="zh-CN"/>
        </w:rPr>
        <w:t>项目决策。</w:t>
      </w:r>
    </w:p>
    <w:p w14:paraId="767E76C8">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eastAsia" w:eastAsia="楷体_GB2312" w:cs="Times New Roman"/>
          <w:color w:val="auto"/>
          <w:sz w:val="32"/>
          <w:szCs w:val="32"/>
          <w:lang w:eastAsia="zh-CN"/>
        </w:rPr>
        <w:t>（</w:t>
      </w:r>
      <w:r>
        <w:rPr>
          <w:rFonts w:hint="eastAsia" w:eastAsia="楷体_GB2312" w:cs="Times New Roman"/>
          <w:color w:val="auto"/>
          <w:sz w:val="32"/>
          <w:szCs w:val="32"/>
          <w:lang w:val="en-US" w:eastAsia="zh-CN"/>
        </w:rPr>
        <w:t>1</w:t>
      </w:r>
      <w:r>
        <w:rPr>
          <w:rFonts w:hint="eastAsia" w:eastAsia="楷体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决策程序：项目依据投资协议约定设立，经县委财经委员会审议通过，属于单位重大经济事项，经领导班子集体研究决定。发现0处不符合，得2分。</w:t>
      </w:r>
    </w:p>
    <w:p w14:paraId="4BBD9D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规划合理性：项目符合上级党委、政府关于医药健康产业发展的决策部署；符合本级党委、政府产业发展工作部署；项目规划已列入经县委、县政府审批的相关规划。发现0处不符合，得3分。</w:t>
      </w:r>
    </w:p>
    <w:p w14:paraId="5A2BB7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评估论证：项目设立前经过投资协议论证，符合资金管理办法基本规范；未与相关部门同类项目重复；贯彻厉行节约要求；有相关政策依据；属于重点项目支出范围。发现0处不符合，得6分。</w:t>
      </w:r>
    </w:p>
    <w:p w14:paraId="3D4F5E1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4</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绩效目标：绩效目标与全县产业发展目标相匹配；绩效目标与细化的经济事项（奖补资金拨付）相匹配；指标设置采用计划标准；与重点项目支出责任相匹配；目标责任人及股室明确。发现0处不符合，得5分。</w:t>
      </w:r>
    </w:p>
    <w:p w14:paraId="7630B46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5</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资金测算：预算方案按协议约定细化量化（1500万元）；预算编制与政府批复事项匹配；投入成本合理，测算依据充分；聚焦重点领域，避免“撒胡椒面”；未与其他同类项目交叉重复。发现0处不符合，得5分。</w:t>
      </w:r>
    </w:p>
    <w:p w14:paraId="6AF3516B">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2.</w:t>
      </w:r>
      <w:r>
        <w:rPr>
          <w:rFonts w:hint="default" w:ascii="Times New Roman" w:hAnsi="Times New Roman" w:eastAsia="楷体_GB2312" w:cs="Times New Roman"/>
          <w:color w:val="auto"/>
          <w:sz w:val="32"/>
          <w:szCs w:val="32"/>
          <w:lang w:eastAsia="zh-CN"/>
        </w:rPr>
        <w:t>项目管理。</w:t>
      </w:r>
    </w:p>
    <w:p w14:paraId="7925D0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楷体_GB2312" w:cs="Times New Roman"/>
          <w:color w:val="auto"/>
          <w:sz w:val="32"/>
          <w:szCs w:val="32"/>
          <w:lang w:eastAsia="zh-CN"/>
        </w:rPr>
        <w:t>（</w:t>
      </w:r>
      <w:r>
        <w:rPr>
          <w:rFonts w:hint="eastAsia" w:eastAsia="楷体_GB2312" w:cs="Times New Roman"/>
          <w:color w:val="auto"/>
          <w:sz w:val="32"/>
          <w:szCs w:val="32"/>
          <w:lang w:val="en-US" w:eastAsia="zh-CN"/>
        </w:rPr>
        <w:t>1</w:t>
      </w:r>
      <w:r>
        <w:rPr>
          <w:rFonts w:hint="eastAsia" w:eastAsia="楷体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制度办法：县经信局建立了专项资金管理办法和监管制度；项目公司建立了财务管理制度和专账管理机制；制度未出现有悖实际、难以操作或执行不畅的情况。缺失0项，得5分。</w:t>
      </w:r>
    </w:p>
    <w:p w14:paraId="1F5918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分配管理：本项目采用项目分配法，依据投资协议约定分配资金；明确申报审核程序并按规定履行审批；资金分配严格按管理办法执行，决策程序及时高效。得10分。</w:t>
      </w:r>
    </w:p>
    <w:p w14:paraId="1CF574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绩效监管：项目按要求完成绩效目标设定、绩效监控、绩效评价等工作得2分；县级部门对项目实施单位绩效管理要求到位，开展了评价、监督、指导得2分；对绩效监控信息进行了分析研判（得1分）；及时进行了纠偏得1分。得6分。</w:t>
      </w:r>
    </w:p>
    <w:p w14:paraId="7BE605ED">
      <w:pPr>
        <w:keepNext w:val="0"/>
        <w:keepLines w:val="0"/>
        <w:pageBreakBefore w:val="0"/>
        <w:widowControl w:val="0"/>
        <w:kinsoku/>
        <w:wordWrap/>
        <w:overflowPunct/>
        <w:topLinePunct w:val="0"/>
        <w:autoSpaceDE/>
        <w:autoSpaceDN/>
        <w:bidi w:val="0"/>
        <w:adjustRightInd/>
        <w:snapToGrid/>
        <w:spacing w:line="600" w:lineRule="exact"/>
        <w:ind w:left="420" w:leftChars="200" w:firstLine="0" w:firstLineChars="0"/>
        <w:textAlignment w:val="auto"/>
        <w:outlineLvl w:val="9"/>
        <w:rPr>
          <w:rFonts w:hint="default" w:ascii="Times New Roman" w:hAnsi="Times New Roman" w:eastAsia="楷体_GB2312" w:cs="Times New Roman"/>
          <w:color w:val="auto"/>
          <w:sz w:val="32"/>
          <w:szCs w:val="32"/>
          <w:lang w:val="en-US" w:eastAsia="zh-CN"/>
        </w:rPr>
      </w:pPr>
    </w:p>
    <w:p w14:paraId="4302317D">
      <w:pPr>
        <w:keepNext w:val="0"/>
        <w:keepLines w:val="0"/>
        <w:pageBreakBefore w:val="0"/>
        <w:widowControl w:val="0"/>
        <w:kinsoku/>
        <w:wordWrap/>
        <w:overflowPunct/>
        <w:topLinePunct w:val="0"/>
        <w:autoSpaceDE/>
        <w:autoSpaceDN/>
        <w:bidi w:val="0"/>
        <w:adjustRightInd/>
        <w:snapToGrid/>
        <w:spacing w:line="600" w:lineRule="exact"/>
        <w:ind w:left="420" w:leftChars="200" w:firstLine="0" w:firstLineChars="0"/>
        <w:textAlignment w:val="auto"/>
        <w:outlineLvl w:val="9"/>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3.项目实施。</w:t>
      </w:r>
    </w:p>
    <w:p w14:paraId="359C08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楷体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预算执行：单位资金使用率100%。指标得分3分。</w:t>
      </w:r>
    </w:p>
    <w:p w14:paraId="458873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财务管理：经核查，资金使用规范，财政监控有效；原始凭证规范；经济业务审签记录、合同等凭证完整；账户管理规范；账证、账账、账实相符；建立印章和档案管理制度。发现0处不合规，得5分。</w:t>
      </w:r>
    </w:p>
    <w:p w14:paraId="1AF6805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采购管理：本项目为奖补资金支付，不涉及设备采购。采购管理不适用，按满分计。得5分。</w:t>
      </w:r>
    </w:p>
    <w:p w14:paraId="1B23F6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4</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资产管理：项目形成的在建工程资产已按规定登记；产权明晰；落实资产管护责任。发现0处不合规，得3分。</w:t>
      </w:r>
    </w:p>
    <w:p w14:paraId="64E5372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5</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资金管</w:t>
      </w:r>
      <w:r>
        <w:rPr>
          <w:rFonts w:hint="eastAsia" w:eastAsia="仿宋_GB2312" w:cs="Times New Roman"/>
          <w:color w:val="auto"/>
          <w:sz w:val="32"/>
          <w:szCs w:val="32"/>
          <w:lang w:eastAsia="zh-CN"/>
        </w:rPr>
        <w:t>理</w:t>
      </w:r>
      <w:r>
        <w:rPr>
          <w:rFonts w:hint="default" w:ascii="Times New Roman" w:hAnsi="Times New Roman" w:eastAsia="仿宋_GB2312" w:cs="Times New Roman"/>
          <w:color w:val="auto"/>
          <w:sz w:val="32"/>
          <w:szCs w:val="32"/>
          <w:lang w:eastAsia="zh-CN"/>
        </w:rPr>
        <w:t>：资金使用符合预算管理办法和专项资金管理办法；拨付有完整审批程序和手续；符合项目批复或合同规定用途；无截留、挤占、挪用、虚列支出；无超预算使用；落实经济事项审查机制。发现0处不合规，得4分。</w:t>
      </w:r>
    </w:p>
    <w:p w14:paraId="0BE457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4.项目结果。</w:t>
      </w:r>
    </w:p>
    <w:p w14:paraId="285D91A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eastAsia="楷体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目标完成：实际完成目标任务量（完成三通一平及地基正负零建设，拨付奖补资金1500万元）与首次批复设定的绩效目标任务量一致，目标实现程度100%。指标得4分。</w:t>
      </w:r>
    </w:p>
    <w:p w14:paraId="2492FC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资金结余：项目资金1500万元全部列支，无结余资金，无需清退。指标得3分。</w:t>
      </w:r>
    </w:p>
    <w:p w14:paraId="2725DF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完成时效：项目资金按程序审议通过后及时拨付，工程按计划完成，实际完成时间未超过计划时间。得3分。</w:t>
      </w:r>
    </w:p>
    <w:p w14:paraId="0F10426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绩效自评：已组织开展部门评价得0.5分；及时编制评价报告得0.5分；报告格式规范、要素齐全得0.5分；结论准确、依据充分得0.5分；整改措施可行具体得0.5分；自评资料及时公开得0.5分。</w:t>
      </w:r>
      <w:r>
        <w:rPr>
          <w:rFonts w:hint="eastAsia" w:eastAsia="仿宋_GB2312" w:cs="Times New Roman"/>
          <w:color w:val="auto"/>
          <w:sz w:val="32"/>
          <w:szCs w:val="32"/>
          <w:lang w:val="en-US" w:eastAsia="zh-CN"/>
        </w:rPr>
        <w:t>合计</w:t>
      </w:r>
      <w:r>
        <w:rPr>
          <w:rFonts w:hint="default" w:ascii="Times New Roman" w:hAnsi="Times New Roman" w:eastAsia="仿宋_GB2312" w:cs="Times New Roman"/>
          <w:color w:val="auto"/>
          <w:sz w:val="32"/>
          <w:szCs w:val="32"/>
          <w:lang w:val="en-US" w:eastAsia="zh-CN"/>
        </w:rPr>
        <w:t>得3分。</w:t>
      </w:r>
    </w:p>
    <w:p w14:paraId="1BDD60FB">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72DFA7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根据专项预算项目资金支持对象，本项目属于基础设施类中的在建项目，围绕工程进度和资金拨付进行绩效分析。</w:t>
      </w:r>
    </w:p>
    <w:p w14:paraId="384972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zh-CN" w:eastAsia="zh-CN"/>
        </w:rPr>
        <w:t>（</w:t>
      </w:r>
      <w:r>
        <w:rPr>
          <w:rFonts w:hint="eastAsia" w:eastAsia="仿宋_GB2312" w:cs="Times New Roman"/>
          <w:color w:val="auto"/>
          <w:sz w:val="32"/>
          <w:szCs w:val="32"/>
          <w:lang w:val="en-US" w:eastAsia="zh-CN"/>
        </w:rPr>
        <w:t>1</w:t>
      </w:r>
      <w:r>
        <w:rPr>
          <w:rFonts w:hint="eastAsia"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工程进度：项目已完成三通一平和地基正负零建设，实际工程进度达到计划工程进度。经现场勘察，工程按申报内容、进度、标准有序推进，工程质量符合要求。发现0处不符合，得10分。</w:t>
      </w:r>
    </w:p>
    <w:p w14:paraId="5703081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zh-CN"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资金拨付：项目实际资金拨付进度达到预先确定的资金拨付进度。奖补资金1500万元按协议约定及时拨付到位，拨付程序规范，审批手续齐全。发现0处不符合，得5分。</w:t>
      </w:r>
    </w:p>
    <w:p w14:paraId="6F64FE6C">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5D08570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据项目实际，增设以下个性指标：</w:t>
      </w:r>
    </w:p>
    <w:p w14:paraId="0A6CDC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zh-CN" w:eastAsia="zh-CN"/>
        </w:rPr>
        <w:t>（</w:t>
      </w:r>
      <w:r>
        <w:rPr>
          <w:rFonts w:hint="eastAsia" w:eastAsia="仿宋_GB2312" w:cs="Times New Roman"/>
          <w:color w:val="auto"/>
          <w:sz w:val="32"/>
          <w:szCs w:val="32"/>
          <w:lang w:val="en-US" w:eastAsia="zh-CN"/>
        </w:rPr>
        <w:t>1</w:t>
      </w:r>
      <w:r>
        <w:rPr>
          <w:rFonts w:hint="eastAsia"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协议履约率：项目严格按投资协议约定执行，三通一平及地基正负零建设符合协议要求，奖补资金按约定标准申报。得5分。</w:t>
      </w:r>
    </w:p>
    <w:p w14:paraId="4B9337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eastAsia" w:eastAsia="仿宋_GB2312" w:cs="Times New Roman"/>
          <w:color w:val="auto"/>
          <w:sz w:val="32"/>
          <w:szCs w:val="32"/>
          <w:lang w:val="zh-CN"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安全生产：项目建设期间未发生安全生产事故，企业安全管理制度健全，施工安全措施到位。得5分。</w:t>
      </w:r>
    </w:p>
    <w:p w14:paraId="3A3AB955">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四</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14:paraId="0D38DD6C">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本次绩效评价总分：100分。评价等级：优秀。</w:t>
      </w:r>
    </w:p>
    <w:p w14:paraId="392AC4C6">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项目实施情况：西南区域“医药健康研发中心基地”项目已完成三通一平及地基正负零建设，符合投资协议约定的第一次奖补资金拨付条件。奖补资金1500万元已按程序全额拨付到位，资金使用规范、专款专用，产出指标全面达成。项目有效减轻了企业前期建设资金压力，为后续主体工程施工奠定了坚实基础，对推动马边彝族自治县医药健康产业高质量发展具有积极意义。</w:t>
      </w:r>
    </w:p>
    <w:p w14:paraId="7320F2E6">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zh-CN" w:bidi="ar-SA"/>
        </w:rPr>
      </w:pPr>
      <w:r>
        <w:rPr>
          <w:rFonts w:hint="default" w:ascii="Times New Roman" w:hAnsi="Times New Roman" w:eastAsia="黑体" w:cs="Times New Roman"/>
          <w:color w:val="auto"/>
          <w:kern w:val="0"/>
          <w:position w:val="3"/>
          <w:sz w:val="32"/>
          <w:szCs w:val="32"/>
          <w:highlight w:val="none"/>
          <w:u w:val="none"/>
          <w:lang w:val="en-US" w:eastAsia="zh-CN" w:bidi="ar-SA"/>
        </w:rPr>
        <w:t>五、存在主要问题</w:t>
      </w:r>
    </w:p>
    <w:p w14:paraId="02CE9F87">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val="0"/>
          <w:bCs w:val="0"/>
          <w:kern w:val="0"/>
          <w:position w:val="0"/>
          <w:sz w:val="32"/>
          <w:szCs w:val="32"/>
          <w:highlight w:val="none"/>
          <w:lang w:val="en-US" w:eastAsia="zh-CN" w:bidi="ar-SA"/>
        </w:rPr>
        <w:t>无</w:t>
      </w:r>
    </w:p>
    <w:p w14:paraId="4CFD82A7">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31B26AD6">
      <w:pPr>
        <w:keepNext w:val="0"/>
        <w:keepLines w:val="0"/>
        <w:pageBreakBefore w:val="0"/>
        <w:tabs>
          <w:tab w:val="left" w:pos="1911"/>
        </w:tabs>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r>
        <w:rPr>
          <w:rFonts w:hint="eastAsia" w:eastAsia="仿宋_GB2312" w:cs="Times New Roman"/>
          <w:b w:val="0"/>
          <w:bCs w:val="0"/>
          <w:kern w:val="0"/>
          <w:position w:val="0"/>
          <w:sz w:val="32"/>
          <w:szCs w:val="32"/>
          <w:highlight w:val="none"/>
          <w:lang w:val="en-US" w:eastAsia="zh-CN" w:bidi="ar-SA"/>
        </w:rPr>
        <w:t>无</w:t>
      </w:r>
    </w:p>
    <w:p w14:paraId="515350B7">
      <w:pPr>
        <w:spacing w:after="0" w:line="560" w:lineRule="exact"/>
        <w:ind w:firstLine="640"/>
        <w:jc w:val="both"/>
        <w:rPr>
          <w:rFonts w:ascii="Times New Roman" w:hAnsi="Times New Roman" w:eastAsia="FangSong_GB2312" w:cs="Times New Roman"/>
          <w:color w:val="000000"/>
          <w:sz w:val="32"/>
          <w:szCs w:val="32"/>
        </w:rPr>
      </w:pPr>
    </w:p>
    <w:p w14:paraId="163972DF">
      <w:pPr>
        <w:spacing w:after="0" w:line="560" w:lineRule="exact"/>
        <w:ind w:firstLine="640"/>
        <w:jc w:val="both"/>
        <w:rPr>
          <w:rFonts w:ascii="Times New Roman" w:hAnsi="Times New Roman" w:eastAsia="FangSong_GB2312" w:cs="Times New Roman"/>
          <w:color w:val="000000"/>
          <w:sz w:val="32"/>
          <w:szCs w:val="32"/>
        </w:rPr>
      </w:pPr>
    </w:p>
    <w:p w14:paraId="3AA0A3A7">
      <w:pPr>
        <w:spacing w:after="0" w:line="560" w:lineRule="exact"/>
        <w:ind w:firstLine="640"/>
        <w:jc w:val="both"/>
        <w:rPr>
          <w:rFonts w:ascii="Times New Roman" w:hAnsi="Times New Roman" w:eastAsia="FangSong_GB2312" w:cs="Times New Roman"/>
          <w:color w:val="000000"/>
          <w:sz w:val="32"/>
          <w:szCs w:val="32"/>
        </w:rPr>
      </w:pPr>
    </w:p>
    <w:p w14:paraId="13755561">
      <w:pPr>
        <w:spacing w:after="0" w:line="560" w:lineRule="exact"/>
        <w:ind w:firstLine="640"/>
        <w:jc w:val="both"/>
        <w:rPr>
          <w:rFonts w:ascii="Times New Roman" w:hAnsi="Times New Roman" w:eastAsia="FangSong_GB2312" w:cs="Times New Roman"/>
          <w:color w:val="000000"/>
          <w:sz w:val="32"/>
          <w:szCs w:val="32"/>
        </w:rPr>
      </w:pPr>
    </w:p>
    <w:p w14:paraId="6E0091F2">
      <w:pPr>
        <w:spacing w:after="0" w:line="560" w:lineRule="exact"/>
        <w:ind w:firstLine="640"/>
        <w:jc w:val="both"/>
        <w:rPr>
          <w:rFonts w:ascii="Times New Roman" w:hAnsi="Times New Roman" w:eastAsia="FangSong_GB2312" w:cs="Times New Roman"/>
          <w:color w:val="000000"/>
          <w:sz w:val="32"/>
          <w:szCs w:val="32"/>
        </w:rPr>
      </w:pPr>
    </w:p>
    <w:p w14:paraId="01151E59">
      <w:pPr>
        <w:spacing w:after="0" w:line="560" w:lineRule="exact"/>
        <w:ind w:firstLine="640"/>
        <w:jc w:val="both"/>
      </w:pPr>
      <w:r>
        <w:rPr>
          <w:rFonts w:ascii="Times New Roman" w:hAnsi="Times New Roman" w:eastAsia="FangSong_GB2312" w:cs="Times New Roman"/>
          <w:color w:val="000000"/>
          <w:sz w:val="32"/>
          <w:szCs w:val="32"/>
        </w:rPr>
        <w:t>预算项目支出绩效自评表（2025年度）</w:t>
      </w:r>
    </w:p>
    <w:tbl>
      <w:tblPr>
        <w:tblStyle w:val="2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8"/>
        <w:gridCol w:w="658"/>
        <w:gridCol w:w="658"/>
        <w:gridCol w:w="2955"/>
        <w:gridCol w:w="1059"/>
        <w:gridCol w:w="1569"/>
        <w:gridCol w:w="482"/>
        <w:gridCol w:w="482"/>
        <w:gridCol w:w="571"/>
      </w:tblGrid>
      <w:tr w14:paraId="6C4C5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6AD1B60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13BE2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93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831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2021年第二批省级工业发展资金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18B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2B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5F43F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16B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98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314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F75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4DB77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94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3A603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E09191C">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78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F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D03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78D50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94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6F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15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4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B816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5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4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A4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DA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EB0E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1EF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4A39">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4294">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001C9">
            <w:pPr>
              <w:jc w:val="center"/>
              <w:rPr>
                <w:rFonts w:hint="eastAsia" w:ascii="宋体" w:hAnsi="宋体" w:eastAsia="宋体" w:cs="宋体"/>
                <w:i w:val="0"/>
                <w:iCs w:val="0"/>
                <w:color w:val="000000"/>
                <w:sz w:val="20"/>
                <w:szCs w:val="20"/>
                <w:u w:val="none"/>
              </w:rPr>
            </w:pPr>
          </w:p>
        </w:tc>
      </w:tr>
      <w:tr w14:paraId="2DCBC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2A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CA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00F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2AE59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FCA2">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15E45B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通过省级工业发展资金，支持县域工业企业实施技术改造、创新能力提升或产业基础再造，推动工业经济高质量发展，提升企业核心竞争力。</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C562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资金已全部拨付到位，支持1家企业完成技术改造项目，购置自动化生产线2条，带动就业30余人，企业生产效率提升15%以上，达到预期目标。</w:t>
            </w:r>
          </w:p>
        </w:tc>
      </w:tr>
      <w:tr w14:paraId="0C295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25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C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6D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95D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6BB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308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621D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08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79977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9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B2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71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B99F2">
            <w:pPr>
              <w:jc w:val="center"/>
              <w:rPr>
                <w:rFonts w:hint="eastAsia" w:ascii="宋体" w:hAnsi="宋体" w:eastAsia="宋体" w:cs="宋体"/>
                <w:i w:val="0"/>
                <w:iCs w:val="0"/>
                <w:color w:val="000000"/>
                <w:sz w:val="18"/>
                <w:szCs w:val="18"/>
                <w:u w:val="none"/>
              </w:rPr>
            </w:pPr>
          </w:p>
        </w:tc>
      </w:tr>
      <w:tr w14:paraId="460F4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DFE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E664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A138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D7B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1B1C0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8C1E3">
            <w:pPr>
              <w:rPr>
                <w:rFonts w:hint="eastAsia" w:ascii="宋体" w:hAnsi="宋体" w:eastAsia="宋体" w:cs="宋体"/>
                <w:i w:val="0"/>
                <w:iCs w:val="0"/>
                <w:color w:val="000000"/>
                <w:sz w:val="18"/>
                <w:szCs w:val="18"/>
                <w:u w:val="none"/>
              </w:rPr>
            </w:pPr>
          </w:p>
        </w:tc>
      </w:tr>
      <w:tr w14:paraId="2A7A1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00A2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C01785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3AAD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支持技术改造项目数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E504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F29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78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05933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39BC9">
            <w:pPr>
              <w:rPr>
                <w:rFonts w:hint="eastAsia" w:ascii="宋体" w:hAnsi="宋体" w:eastAsia="宋体" w:cs="宋体"/>
                <w:i w:val="0"/>
                <w:iCs w:val="0"/>
                <w:color w:val="000000"/>
                <w:sz w:val="18"/>
                <w:szCs w:val="18"/>
                <w:u w:val="none"/>
              </w:rPr>
            </w:pPr>
          </w:p>
        </w:tc>
      </w:tr>
      <w:tr w14:paraId="5C827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EBF9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AC1E96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E2DF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AECE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74D3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65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74D4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DB8BE">
            <w:pPr>
              <w:rPr>
                <w:rFonts w:hint="eastAsia" w:ascii="宋体" w:hAnsi="宋体" w:eastAsia="宋体" w:cs="宋体"/>
                <w:i w:val="0"/>
                <w:iCs w:val="0"/>
                <w:color w:val="000000"/>
                <w:sz w:val="18"/>
                <w:szCs w:val="18"/>
                <w:u w:val="none"/>
              </w:rPr>
            </w:pPr>
          </w:p>
        </w:tc>
      </w:tr>
      <w:tr w14:paraId="3819D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A0E2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BCA49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4813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资金拨付及时率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9648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9012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FB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C1833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CB98E">
            <w:pPr>
              <w:rPr>
                <w:rFonts w:hint="eastAsia" w:ascii="宋体" w:hAnsi="宋体" w:eastAsia="宋体" w:cs="宋体"/>
                <w:i w:val="0"/>
                <w:iCs w:val="0"/>
                <w:color w:val="000000"/>
                <w:sz w:val="18"/>
                <w:szCs w:val="18"/>
                <w:u w:val="none"/>
              </w:rPr>
            </w:pPr>
          </w:p>
        </w:tc>
      </w:tr>
      <w:tr w14:paraId="352A0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C170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06FEA1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9041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2EC8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103万元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FEE6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103万元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0C0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BC27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2D0D7">
            <w:pPr>
              <w:rPr>
                <w:rFonts w:hint="eastAsia" w:ascii="宋体" w:hAnsi="宋体" w:eastAsia="宋体" w:cs="宋体"/>
                <w:i w:val="0"/>
                <w:iCs w:val="0"/>
                <w:color w:val="000000"/>
                <w:sz w:val="18"/>
                <w:szCs w:val="18"/>
                <w:u w:val="none"/>
              </w:rPr>
            </w:pPr>
          </w:p>
        </w:tc>
      </w:tr>
      <w:tr w14:paraId="7D228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3D1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B8E3AD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1F270">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6E57E">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178E0">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C55E">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C418A9A">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47507">
            <w:pPr>
              <w:rPr>
                <w:rFonts w:hint="eastAsia" w:ascii="宋体" w:hAnsi="宋体" w:eastAsia="宋体" w:cs="宋体"/>
                <w:i w:val="0"/>
                <w:iCs w:val="0"/>
                <w:color w:val="000000"/>
                <w:sz w:val="18"/>
                <w:szCs w:val="18"/>
                <w:u w:val="none"/>
              </w:rPr>
            </w:pPr>
          </w:p>
        </w:tc>
      </w:tr>
      <w:tr w14:paraId="105E4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22DD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3AE88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C9AB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带动新增就业人数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BCD1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≥20人</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416B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30人</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02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FD8E4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4F352">
            <w:pPr>
              <w:rPr>
                <w:rFonts w:hint="eastAsia" w:ascii="宋体" w:hAnsi="宋体" w:eastAsia="宋体" w:cs="宋体"/>
                <w:i w:val="0"/>
                <w:iCs w:val="0"/>
                <w:color w:val="000000"/>
                <w:sz w:val="18"/>
                <w:szCs w:val="18"/>
                <w:u w:val="none"/>
              </w:rPr>
            </w:pPr>
          </w:p>
        </w:tc>
      </w:tr>
      <w:tr w14:paraId="77A90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AEF9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0CF1E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0BBA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项目环保达标率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4795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46C08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74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9196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1A3F1">
            <w:pPr>
              <w:rPr>
                <w:rFonts w:hint="eastAsia" w:ascii="宋体" w:hAnsi="宋体" w:eastAsia="宋体" w:cs="宋体"/>
                <w:i w:val="0"/>
                <w:iCs w:val="0"/>
                <w:color w:val="000000"/>
                <w:sz w:val="18"/>
                <w:szCs w:val="18"/>
                <w:u w:val="none"/>
              </w:rPr>
            </w:pPr>
          </w:p>
        </w:tc>
      </w:tr>
      <w:tr w14:paraId="5E667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AF2B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08C1DF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737C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企业创新能力提升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246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14E2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D8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DB50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5318D">
            <w:pPr>
              <w:rPr>
                <w:rFonts w:hint="eastAsia" w:ascii="宋体" w:hAnsi="宋体" w:eastAsia="宋体" w:cs="宋体"/>
                <w:i w:val="0"/>
                <w:iCs w:val="0"/>
                <w:color w:val="000000"/>
                <w:sz w:val="18"/>
                <w:szCs w:val="18"/>
                <w:u w:val="none"/>
              </w:rPr>
            </w:pPr>
          </w:p>
        </w:tc>
      </w:tr>
      <w:tr w14:paraId="27A3F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4F76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3AAC9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1765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受益企业满意度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3A76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6C5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92%</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5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B4CC5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01DE1">
            <w:pPr>
              <w:rPr>
                <w:rFonts w:hint="eastAsia" w:ascii="宋体" w:hAnsi="宋体" w:eastAsia="宋体" w:cs="宋体"/>
                <w:i w:val="0"/>
                <w:iCs w:val="0"/>
                <w:color w:val="000000"/>
                <w:sz w:val="18"/>
                <w:szCs w:val="18"/>
                <w:u w:val="none"/>
              </w:rPr>
            </w:pPr>
          </w:p>
        </w:tc>
      </w:tr>
      <w:tr w14:paraId="30363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0C3C23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D0BE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3DF668C1">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2C2B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20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D0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2021年脱贫攻坚特色农产品大联展暨年货采购节费用3.5万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104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53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72B10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9CA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19D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ACC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E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0FE5A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5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78FDC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441D21DF">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FE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5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AD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BB2F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D4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D24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83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43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389C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8A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0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B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30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22F3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5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9313B">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8066A">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8C8B">
            <w:pPr>
              <w:jc w:val="center"/>
              <w:rPr>
                <w:rFonts w:hint="eastAsia" w:ascii="宋体" w:hAnsi="宋体" w:eastAsia="宋体" w:cs="宋体"/>
                <w:i w:val="0"/>
                <w:iCs w:val="0"/>
                <w:color w:val="000000"/>
                <w:sz w:val="20"/>
                <w:szCs w:val="20"/>
                <w:u w:val="none"/>
              </w:rPr>
            </w:pPr>
          </w:p>
        </w:tc>
      </w:tr>
      <w:tr w14:paraId="28557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6E5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1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9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1BFF9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5A4CF">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6A85D7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对2017年国家级电子商务进农村综合示范项目进行终期验收或阶段性验收，确保项目合规、资金使用规范，形成验收报告。</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AE2F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资金已全部执行，用于聘请第三方机构开展项目验收、资料审核、现场核查等工作。完成示范项目全部建设内容的验收，出具验收报告1份，验收结论为“合格”，项目资产已移交，运营正常。</w:t>
            </w:r>
          </w:p>
        </w:tc>
      </w:tr>
      <w:tr w14:paraId="6CCCC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42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8E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A76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9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53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19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33C2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21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0B3AC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26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E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F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D3371">
            <w:pPr>
              <w:jc w:val="center"/>
              <w:rPr>
                <w:rFonts w:hint="eastAsia" w:ascii="宋体" w:hAnsi="宋体" w:eastAsia="宋体" w:cs="宋体"/>
                <w:i w:val="0"/>
                <w:iCs w:val="0"/>
                <w:color w:val="000000"/>
                <w:sz w:val="18"/>
                <w:szCs w:val="18"/>
                <w:u w:val="none"/>
              </w:rPr>
            </w:pPr>
          </w:p>
        </w:tc>
      </w:tr>
      <w:tr w14:paraId="13A29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4A37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0DCD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466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2E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DEBB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139F9">
            <w:pPr>
              <w:rPr>
                <w:rFonts w:hint="eastAsia" w:ascii="宋体" w:hAnsi="宋体" w:eastAsia="宋体" w:cs="宋体"/>
                <w:i w:val="0"/>
                <w:iCs w:val="0"/>
                <w:color w:val="000000"/>
                <w:sz w:val="18"/>
                <w:szCs w:val="18"/>
                <w:u w:val="none"/>
              </w:rPr>
            </w:pPr>
          </w:p>
        </w:tc>
      </w:tr>
      <w:tr w14:paraId="57D73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5014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9AF763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830A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出具验收报告份数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0830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≥1份</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BAFA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≥1份</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DD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1CD3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D052A">
            <w:pPr>
              <w:rPr>
                <w:rFonts w:hint="eastAsia" w:ascii="宋体" w:hAnsi="宋体" w:eastAsia="宋体" w:cs="宋体"/>
                <w:i w:val="0"/>
                <w:iCs w:val="0"/>
                <w:color w:val="000000"/>
                <w:sz w:val="18"/>
                <w:szCs w:val="18"/>
                <w:u w:val="none"/>
              </w:rPr>
            </w:pPr>
          </w:p>
        </w:tc>
      </w:tr>
      <w:tr w14:paraId="22FC1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AFED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1B91A5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8C2B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验收工作合规率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0CD6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BE8F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8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F934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50384">
            <w:pPr>
              <w:rPr>
                <w:rFonts w:hint="eastAsia" w:ascii="宋体" w:hAnsi="宋体" w:eastAsia="宋体" w:cs="宋体"/>
                <w:i w:val="0"/>
                <w:iCs w:val="0"/>
                <w:color w:val="000000"/>
                <w:sz w:val="18"/>
                <w:szCs w:val="18"/>
                <w:u w:val="none"/>
              </w:rPr>
            </w:pPr>
          </w:p>
        </w:tc>
      </w:tr>
      <w:tr w14:paraId="5540D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744A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0CB5A2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7F1A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验收按时完成率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6988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0789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E8E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AC5E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AF1C9">
            <w:pPr>
              <w:rPr>
                <w:rFonts w:hint="eastAsia" w:ascii="宋体" w:hAnsi="宋体" w:eastAsia="宋体" w:cs="宋体"/>
                <w:i w:val="0"/>
                <w:iCs w:val="0"/>
                <w:color w:val="000000"/>
                <w:sz w:val="18"/>
                <w:szCs w:val="18"/>
                <w:u w:val="none"/>
              </w:rPr>
            </w:pPr>
          </w:p>
        </w:tc>
      </w:tr>
      <w:tr w14:paraId="65BDE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C2EF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D43034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81DC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C4F1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3.5万元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322D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3.5万元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C38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726A9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EFDD7">
            <w:pPr>
              <w:rPr>
                <w:rFonts w:hint="eastAsia" w:ascii="宋体" w:hAnsi="宋体" w:eastAsia="宋体" w:cs="宋体"/>
                <w:i w:val="0"/>
                <w:iCs w:val="0"/>
                <w:color w:val="000000"/>
                <w:sz w:val="18"/>
                <w:szCs w:val="18"/>
                <w:u w:val="none"/>
              </w:rPr>
            </w:pPr>
          </w:p>
        </w:tc>
      </w:tr>
      <w:tr w14:paraId="42F2C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52C1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000452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8A8D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确认项目资金使用效益</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4BF1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资金无闲置、无违规</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7FC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资金无闲置、无违规</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9F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15034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49129">
            <w:pPr>
              <w:rPr>
                <w:rFonts w:hint="eastAsia" w:ascii="宋体" w:hAnsi="宋体" w:eastAsia="宋体" w:cs="宋体"/>
                <w:i w:val="0"/>
                <w:iCs w:val="0"/>
                <w:color w:val="000000"/>
                <w:sz w:val="18"/>
                <w:szCs w:val="18"/>
                <w:u w:val="none"/>
              </w:rPr>
            </w:pPr>
          </w:p>
        </w:tc>
      </w:tr>
      <w:tr w14:paraId="5872A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60E9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551B89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1D34A">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645CB">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BB240">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FC59C">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85C1C50">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75AF5">
            <w:pPr>
              <w:rPr>
                <w:rFonts w:hint="eastAsia" w:ascii="宋体" w:hAnsi="宋体" w:eastAsia="宋体" w:cs="宋体"/>
                <w:i w:val="0"/>
                <w:iCs w:val="0"/>
                <w:color w:val="000000"/>
                <w:sz w:val="18"/>
                <w:szCs w:val="18"/>
                <w:u w:val="none"/>
              </w:rPr>
            </w:pPr>
          </w:p>
        </w:tc>
      </w:tr>
      <w:tr w14:paraId="7303E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F7ED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FB8E7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A27AA">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B3FFB">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EFDCE">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9CAB4">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09DD3D3">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5CD5F">
            <w:pPr>
              <w:rPr>
                <w:rFonts w:hint="eastAsia" w:ascii="宋体" w:hAnsi="宋体" w:eastAsia="宋体" w:cs="宋体"/>
                <w:i w:val="0"/>
                <w:iCs w:val="0"/>
                <w:color w:val="000000"/>
                <w:sz w:val="18"/>
                <w:szCs w:val="18"/>
                <w:u w:val="none"/>
              </w:rPr>
            </w:pPr>
          </w:p>
        </w:tc>
      </w:tr>
      <w:tr w14:paraId="4DB98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9A76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8334F2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0F42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电商服务体系持续发挥作用</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45AB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有效保障</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4EAE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有效保障</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8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1F7E9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10F97">
            <w:pPr>
              <w:rPr>
                <w:rFonts w:hint="eastAsia" w:ascii="宋体" w:hAnsi="宋体" w:eastAsia="宋体" w:cs="宋体"/>
                <w:i w:val="0"/>
                <w:iCs w:val="0"/>
                <w:color w:val="000000"/>
                <w:sz w:val="18"/>
                <w:szCs w:val="18"/>
                <w:u w:val="none"/>
              </w:rPr>
            </w:pPr>
          </w:p>
        </w:tc>
      </w:tr>
      <w:tr w14:paraId="4B7AB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ACD0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8176A1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DD44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项目承办单位满意度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13FA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B017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48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FAE3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4BD1B">
            <w:pPr>
              <w:rPr>
                <w:rFonts w:hint="eastAsia" w:ascii="宋体" w:hAnsi="宋体" w:eastAsia="宋体" w:cs="宋体"/>
                <w:i w:val="0"/>
                <w:iCs w:val="0"/>
                <w:color w:val="000000"/>
                <w:sz w:val="18"/>
                <w:szCs w:val="18"/>
                <w:u w:val="none"/>
              </w:rPr>
            </w:pPr>
          </w:p>
        </w:tc>
      </w:tr>
      <w:tr w14:paraId="1C447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412BC8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7CF7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119070B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8AFF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F45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FC1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2017年国家级电子商务进农村综合示范项目项目管理费用</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87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0FC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70A99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17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00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B56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7FC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5905F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6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6E7BB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23EFFEB">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3A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ED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10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5727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F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9C6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0.99</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BE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0.99</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F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5A9D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1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89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0.99</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FB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0.99</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EE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CEC0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3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3CE9A">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AC82">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05F62">
            <w:pPr>
              <w:jc w:val="center"/>
              <w:rPr>
                <w:rFonts w:hint="eastAsia" w:ascii="宋体" w:hAnsi="宋体" w:eastAsia="宋体" w:cs="宋体"/>
                <w:i w:val="0"/>
                <w:iCs w:val="0"/>
                <w:color w:val="000000"/>
                <w:sz w:val="20"/>
                <w:szCs w:val="20"/>
                <w:u w:val="none"/>
              </w:rPr>
            </w:pPr>
          </w:p>
        </w:tc>
      </w:tr>
      <w:tr w14:paraId="3C381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7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44C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0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4AA9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05D74">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08D1F2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保障电子商务进农村综合示范项目后续管理支出，包括项目固定资产管护、验收资料归档、第三方审计等，确保项目规范运行。</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17D4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保障了电子商务进农村综合示范项目后续管理支出，包括项目固定资产管护、验收资料归档、第三方审计等，确保项目规范运行。</w:t>
            </w:r>
          </w:p>
        </w:tc>
      </w:tr>
      <w:tr w14:paraId="16F1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06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A3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F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6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B2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1C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9BE1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71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2D622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888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059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A7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6C671">
            <w:pPr>
              <w:jc w:val="center"/>
              <w:rPr>
                <w:rFonts w:hint="eastAsia" w:ascii="宋体" w:hAnsi="宋体" w:eastAsia="宋体" w:cs="宋体"/>
                <w:i w:val="0"/>
                <w:iCs w:val="0"/>
                <w:color w:val="000000"/>
                <w:sz w:val="18"/>
                <w:szCs w:val="18"/>
                <w:u w:val="none"/>
              </w:rPr>
            </w:pPr>
          </w:p>
        </w:tc>
      </w:tr>
      <w:tr w14:paraId="20EB0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C14F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362A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0.99 </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2EA0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0.99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FD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B945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C3907">
            <w:pPr>
              <w:rPr>
                <w:rFonts w:hint="eastAsia" w:ascii="宋体" w:hAnsi="宋体" w:eastAsia="宋体" w:cs="宋体"/>
                <w:i w:val="0"/>
                <w:iCs w:val="0"/>
                <w:color w:val="000000"/>
                <w:sz w:val="18"/>
                <w:szCs w:val="18"/>
                <w:u w:val="none"/>
              </w:rPr>
            </w:pPr>
          </w:p>
        </w:tc>
      </w:tr>
      <w:tr w14:paraId="266C6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DE75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40A580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8B05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管理费用支出项目数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D2D7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≥1项</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4838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1项</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A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46D4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44691">
            <w:pPr>
              <w:rPr>
                <w:rFonts w:hint="eastAsia" w:ascii="宋体" w:hAnsi="宋体" w:eastAsia="宋体" w:cs="宋体"/>
                <w:i w:val="0"/>
                <w:iCs w:val="0"/>
                <w:color w:val="000000"/>
                <w:sz w:val="18"/>
                <w:szCs w:val="18"/>
                <w:u w:val="none"/>
              </w:rPr>
            </w:pPr>
          </w:p>
        </w:tc>
      </w:tr>
      <w:tr w14:paraId="2AF11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3B4E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36A07A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4D6F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费用支出合规率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280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A5EC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E0C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BBED8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4787E">
            <w:pPr>
              <w:rPr>
                <w:rFonts w:hint="eastAsia" w:ascii="宋体" w:hAnsi="宋体" w:eastAsia="宋体" w:cs="宋体"/>
                <w:i w:val="0"/>
                <w:iCs w:val="0"/>
                <w:color w:val="000000"/>
                <w:sz w:val="18"/>
                <w:szCs w:val="18"/>
                <w:u w:val="none"/>
              </w:rPr>
            </w:pPr>
          </w:p>
        </w:tc>
      </w:tr>
      <w:tr w14:paraId="74D16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93E3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3B4203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6370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资金支付及时率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CFFF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AD6D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0E5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13C9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C0F4B">
            <w:pPr>
              <w:rPr>
                <w:rFonts w:hint="eastAsia" w:ascii="宋体" w:hAnsi="宋体" w:eastAsia="宋体" w:cs="宋体"/>
                <w:i w:val="0"/>
                <w:iCs w:val="0"/>
                <w:color w:val="000000"/>
                <w:sz w:val="18"/>
                <w:szCs w:val="18"/>
                <w:u w:val="none"/>
              </w:rPr>
            </w:pPr>
          </w:p>
        </w:tc>
      </w:tr>
      <w:tr w14:paraId="4B237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4BBC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E88357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D90A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9D16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0.99万元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64F1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0.99万元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57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F276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EBAEA">
            <w:pPr>
              <w:rPr>
                <w:rFonts w:hint="eastAsia" w:ascii="宋体" w:hAnsi="宋体" w:eastAsia="宋体" w:cs="宋体"/>
                <w:i w:val="0"/>
                <w:iCs w:val="0"/>
                <w:color w:val="000000"/>
                <w:sz w:val="18"/>
                <w:szCs w:val="18"/>
                <w:u w:val="none"/>
              </w:rPr>
            </w:pPr>
          </w:p>
        </w:tc>
      </w:tr>
      <w:tr w14:paraId="084FF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4812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7150D8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D9AD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9D39C">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4A7E4">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5895">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376C6DB">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EBA53">
            <w:pPr>
              <w:rPr>
                <w:rFonts w:hint="eastAsia" w:ascii="宋体" w:hAnsi="宋体" w:eastAsia="宋体" w:cs="宋体"/>
                <w:i w:val="0"/>
                <w:iCs w:val="0"/>
                <w:color w:val="000000"/>
                <w:sz w:val="18"/>
                <w:szCs w:val="18"/>
                <w:u w:val="none"/>
              </w:rPr>
            </w:pPr>
          </w:p>
        </w:tc>
      </w:tr>
      <w:tr w14:paraId="259DC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DF66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B9DE2C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EE65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项目后续管理规范性</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E8B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规范</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CE5E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档案完整、资产账实相符</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B57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48F2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5DCE7">
            <w:pPr>
              <w:rPr>
                <w:rFonts w:hint="eastAsia" w:ascii="宋体" w:hAnsi="宋体" w:eastAsia="宋体" w:cs="宋体"/>
                <w:i w:val="0"/>
                <w:iCs w:val="0"/>
                <w:color w:val="000000"/>
                <w:sz w:val="18"/>
                <w:szCs w:val="18"/>
                <w:u w:val="none"/>
              </w:rPr>
            </w:pPr>
          </w:p>
        </w:tc>
      </w:tr>
      <w:tr w14:paraId="14F2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0CC2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12E14D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B64BF">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8E5F7">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80F593">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FA86C">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DDAC5BB">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D0EEE">
            <w:pPr>
              <w:rPr>
                <w:rFonts w:hint="eastAsia" w:ascii="宋体" w:hAnsi="宋体" w:eastAsia="宋体" w:cs="宋体"/>
                <w:i w:val="0"/>
                <w:iCs w:val="0"/>
                <w:color w:val="000000"/>
                <w:sz w:val="18"/>
                <w:szCs w:val="18"/>
                <w:u w:val="none"/>
              </w:rPr>
            </w:pPr>
          </w:p>
        </w:tc>
      </w:tr>
      <w:tr w14:paraId="11522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C8D5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4486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32D8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示范项目运营可持续性</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D42C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有效保障</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363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有效保障</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4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2B23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E2434">
            <w:pPr>
              <w:rPr>
                <w:rFonts w:hint="eastAsia" w:ascii="宋体" w:hAnsi="宋体" w:eastAsia="宋体" w:cs="宋体"/>
                <w:i w:val="0"/>
                <w:iCs w:val="0"/>
                <w:color w:val="000000"/>
                <w:sz w:val="18"/>
                <w:szCs w:val="18"/>
                <w:u w:val="none"/>
              </w:rPr>
            </w:pPr>
          </w:p>
        </w:tc>
      </w:tr>
      <w:tr w14:paraId="1E741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3BC5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B34DA6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2EF3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项目承办单位满意度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5DB8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BCD1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DCA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9BBD5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735A4">
            <w:pPr>
              <w:rPr>
                <w:rFonts w:hint="eastAsia" w:ascii="宋体" w:hAnsi="宋体" w:eastAsia="宋体" w:cs="宋体"/>
                <w:i w:val="0"/>
                <w:iCs w:val="0"/>
                <w:color w:val="000000"/>
                <w:sz w:val="18"/>
                <w:szCs w:val="18"/>
                <w:u w:val="none"/>
              </w:rPr>
            </w:pPr>
          </w:p>
        </w:tc>
      </w:tr>
      <w:tr w14:paraId="2B3EB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4825AF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25120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7BEE44D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20989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843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924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2021年脱贫攻坚特色农产品大联展暨年货采购节费用60万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2B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66E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13E26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C57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F3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11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FE6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25347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C5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770E2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5C31DBA">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DC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4E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E0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59A34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07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7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CA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2F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78427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5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73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F7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41B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98B0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E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684C">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E6A7">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6AFD">
            <w:pPr>
              <w:jc w:val="center"/>
              <w:rPr>
                <w:rFonts w:hint="eastAsia" w:ascii="宋体" w:hAnsi="宋体" w:eastAsia="宋体" w:cs="宋体"/>
                <w:i w:val="0"/>
                <w:iCs w:val="0"/>
                <w:color w:val="000000"/>
                <w:sz w:val="20"/>
                <w:szCs w:val="20"/>
                <w:u w:val="none"/>
              </w:rPr>
            </w:pPr>
          </w:p>
        </w:tc>
      </w:tr>
      <w:tr w14:paraId="67D64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2BD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1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81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47CFE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1E25">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17DBB1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通过举办或参与特色农产品大联展、年货采购节等活动，扩宽马边农产品销售渠道，提升品牌知名度，带动脱贫户增收，巩固脱贫攻坚成果。</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6864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举办或参与特色农产品大联展、年货采购节等活动，扩宽了马边农产品销售渠道，提升了品牌知名度，带动了脱贫户增收，巩固了脱贫攻坚成果。</w:t>
            </w:r>
          </w:p>
        </w:tc>
      </w:tr>
      <w:tr w14:paraId="7F7B4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8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A1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488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AD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14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98D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695E6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C6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4150B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1BE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4A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A1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263F1">
            <w:pPr>
              <w:jc w:val="center"/>
              <w:rPr>
                <w:rFonts w:hint="eastAsia" w:ascii="宋体" w:hAnsi="宋体" w:eastAsia="宋体" w:cs="宋体"/>
                <w:i w:val="0"/>
                <w:iCs w:val="0"/>
                <w:color w:val="000000"/>
                <w:sz w:val="18"/>
                <w:szCs w:val="18"/>
                <w:u w:val="none"/>
              </w:rPr>
            </w:pPr>
          </w:p>
        </w:tc>
      </w:tr>
      <w:tr w14:paraId="65EB9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3B1E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2230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F2EF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BA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4F698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3FB27">
            <w:pPr>
              <w:rPr>
                <w:rFonts w:hint="eastAsia" w:ascii="宋体" w:hAnsi="宋体" w:eastAsia="宋体" w:cs="宋体"/>
                <w:i w:val="0"/>
                <w:iCs w:val="0"/>
                <w:color w:val="000000"/>
                <w:sz w:val="18"/>
                <w:szCs w:val="18"/>
                <w:u w:val="none"/>
              </w:rPr>
            </w:pPr>
          </w:p>
        </w:tc>
      </w:tr>
      <w:tr w14:paraId="26B2C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2644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EBC480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B381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组织参展企业数量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45D2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≥15家</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C391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9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F499D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166A">
            <w:pPr>
              <w:rPr>
                <w:rFonts w:hint="eastAsia" w:ascii="宋体" w:hAnsi="宋体" w:eastAsia="宋体" w:cs="宋体"/>
                <w:i w:val="0"/>
                <w:iCs w:val="0"/>
                <w:color w:val="000000"/>
                <w:sz w:val="18"/>
                <w:szCs w:val="18"/>
                <w:u w:val="none"/>
              </w:rPr>
            </w:pPr>
          </w:p>
        </w:tc>
      </w:tr>
      <w:tr w14:paraId="04E6F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F24F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2CCF06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EFE1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参展产品质量安全合格率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577A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80B4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0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59F6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52746">
            <w:pPr>
              <w:rPr>
                <w:rFonts w:hint="eastAsia" w:ascii="宋体" w:hAnsi="宋体" w:eastAsia="宋体" w:cs="宋体"/>
                <w:i w:val="0"/>
                <w:iCs w:val="0"/>
                <w:color w:val="000000"/>
                <w:sz w:val="18"/>
                <w:szCs w:val="18"/>
                <w:u w:val="none"/>
              </w:rPr>
            </w:pPr>
          </w:p>
        </w:tc>
      </w:tr>
      <w:tr w14:paraId="72FBE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1556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62000D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EFE7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活动按时完成率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220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702B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BE6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D0CD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95C7B">
            <w:pPr>
              <w:rPr>
                <w:rFonts w:hint="eastAsia" w:ascii="宋体" w:hAnsi="宋体" w:eastAsia="宋体" w:cs="宋体"/>
                <w:i w:val="0"/>
                <w:iCs w:val="0"/>
                <w:color w:val="000000"/>
                <w:sz w:val="18"/>
                <w:szCs w:val="18"/>
                <w:u w:val="none"/>
              </w:rPr>
            </w:pPr>
          </w:p>
        </w:tc>
      </w:tr>
      <w:tr w14:paraId="210E6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DE38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17C63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8265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35C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60万元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60A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60万元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69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3FCD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E3DBD">
            <w:pPr>
              <w:rPr>
                <w:rFonts w:hint="eastAsia" w:ascii="宋体" w:hAnsi="宋体" w:eastAsia="宋体" w:cs="宋体"/>
                <w:i w:val="0"/>
                <w:iCs w:val="0"/>
                <w:color w:val="000000"/>
                <w:sz w:val="18"/>
                <w:szCs w:val="18"/>
                <w:u w:val="none"/>
              </w:rPr>
            </w:pPr>
          </w:p>
        </w:tc>
      </w:tr>
      <w:tr w14:paraId="59915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129E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18B46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CF1D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带动脱贫户增收户数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DFAC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≥200户</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152E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≥200户</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B9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9EA1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54DDA">
            <w:pPr>
              <w:rPr>
                <w:rFonts w:hint="eastAsia" w:ascii="宋体" w:hAnsi="宋体" w:eastAsia="宋体" w:cs="宋体"/>
                <w:i w:val="0"/>
                <w:iCs w:val="0"/>
                <w:color w:val="000000"/>
                <w:sz w:val="18"/>
                <w:szCs w:val="18"/>
                <w:u w:val="none"/>
              </w:rPr>
            </w:pPr>
          </w:p>
        </w:tc>
      </w:tr>
      <w:tr w14:paraId="0CEA7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D818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3C6D55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A43D0">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17F62">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0A924">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40624">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D6AA5D8">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D1D3F">
            <w:pPr>
              <w:rPr>
                <w:rFonts w:hint="eastAsia" w:ascii="宋体" w:hAnsi="宋体" w:eastAsia="宋体" w:cs="宋体"/>
                <w:i w:val="0"/>
                <w:iCs w:val="0"/>
                <w:color w:val="000000"/>
                <w:sz w:val="18"/>
                <w:szCs w:val="18"/>
                <w:u w:val="none"/>
              </w:rPr>
            </w:pPr>
          </w:p>
        </w:tc>
      </w:tr>
      <w:tr w14:paraId="3B545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1E26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823A7C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9D4EF">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1AEB2">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10176D">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D9497">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518E887">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14540">
            <w:pPr>
              <w:rPr>
                <w:rFonts w:hint="eastAsia" w:ascii="宋体" w:hAnsi="宋体" w:eastAsia="宋体" w:cs="宋体"/>
                <w:i w:val="0"/>
                <w:iCs w:val="0"/>
                <w:color w:val="000000"/>
                <w:sz w:val="18"/>
                <w:szCs w:val="18"/>
                <w:u w:val="none"/>
              </w:rPr>
            </w:pPr>
          </w:p>
        </w:tc>
      </w:tr>
      <w:tr w14:paraId="71AD9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E428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E2A33F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2AE9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特色农产品品牌知名度提升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0031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6058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CD0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88FDE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036C2">
            <w:pPr>
              <w:rPr>
                <w:rFonts w:hint="eastAsia" w:ascii="宋体" w:hAnsi="宋体" w:eastAsia="宋体" w:cs="宋体"/>
                <w:i w:val="0"/>
                <w:iCs w:val="0"/>
                <w:color w:val="000000"/>
                <w:sz w:val="18"/>
                <w:szCs w:val="18"/>
                <w:u w:val="none"/>
              </w:rPr>
            </w:pPr>
          </w:p>
        </w:tc>
      </w:tr>
      <w:tr w14:paraId="65DB2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7485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A02993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A804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采购商及消费者满意度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609C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A616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8D1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B272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8119">
            <w:pPr>
              <w:rPr>
                <w:rFonts w:hint="eastAsia" w:ascii="宋体" w:hAnsi="宋体" w:eastAsia="宋体" w:cs="宋体"/>
                <w:i w:val="0"/>
                <w:iCs w:val="0"/>
                <w:color w:val="000000"/>
                <w:sz w:val="18"/>
                <w:szCs w:val="18"/>
                <w:u w:val="none"/>
              </w:rPr>
            </w:pPr>
          </w:p>
        </w:tc>
      </w:tr>
      <w:tr w14:paraId="03C7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403452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6A817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3121318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1D78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361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47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2023年第二批省级外经贸发展专项资金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4D3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B4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2FB5A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0DF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E6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E2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6D4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27B81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A0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4DBED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704432AA">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8D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A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51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2473A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5F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81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62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B2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F67F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8A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AD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7A6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D4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3AF6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0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624F7">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BBBA5">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46C83">
            <w:pPr>
              <w:jc w:val="center"/>
              <w:rPr>
                <w:rFonts w:hint="eastAsia" w:ascii="宋体" w:hAnsi="宋体" w:eastAsia="宋体" w:cs="宋体"/>
                <w:i w:val="0"/>
                <w:iCs w:val="0"/>
                <w:color w:val="000000"/>
                <w:sz w:val="20"/>
                <w:szCs w:val="20"/>
                <w:u w:val="none"/>
              </w:rPr>
            </w:pPr>
          </w:p>
        </w:tc>
      </w:tr>
      <w:tr w14:paraId="209ED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BEB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79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948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2A30A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5301">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775D38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支持外贸企业开展国际化经营，包括境外展会参展、出口信用保险保费补贴、跨境电商培训及平台建设等，推动外贸稳中提质。</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74E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EF1F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4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6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3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87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CD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69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9550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27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726AC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5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D71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6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2188B">
            <w:pPr>
              <w:jc w:val="center"/>
              <w:rPr>
                <w:rFonts w:hint="eastAsia" w:ascii="宋体" w:hAnsi="宋体" w:eastAsia="宋体" w:cs="宋体"/>
                <w:i w:val="0"/>
                <w:iCs w:val="0"/>
                <w:color w:val="000000"/>
                <w:sz w:val="18"/>
                <w:szCs w:val="18"/>
                <w:u w:val="none"/>
              </w:rPr>
            </w:pPr>
          </w:p>
        </w:tc>
      </w:tr>
      <w:tr w14:paraId="02B57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A9F0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DE0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0D8A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B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AFE9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50E6A">
            <w:pPr>
              <w:rPr>
                <w:rFonts w:hint="eastAsia" w:ascii="宋体" w:hAnsi="宋体" w:eastAsia="宋体" w:cs="宋体"/>
                <w:i w:val="0"/>
                <w:iCs w:val="0"/>
                <w:color w:val="000000"/>
                <w:sz w:val="18"/>
                <w:szCs w:val="18"/>
                <w:u w:val="none"/>
              </w:rPr>
            </w:pPr>
          </w:p>
        </w:tc>
      </w:tr>
      <w:tr w14:paraId="27821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8383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2524E4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E250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支持参展企业数量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6C9F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≥2家</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CF36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65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F94C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1B820">
            <w:pPr>
              <w:rPr>
                <w:rFonts w:hint="eastAsia" w:ascii="宋体" w:hAnsi="宋体" w:eastAsia="宋体" w:cs="宋体"/>
                <w:i w:val="0"/>
                <w:iCs w:val="0"/>
                <w:color w:val="000000"/>
                <w:sz w:val="18"/>
                <w:szCs w:val="18"/>
                <w:u w:val="none"/>
              </w:rPr>
            </w:pPr>
          </w:p>
        </w:tc>
      </w:tr>
      <w:tr w14:paraId="25224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97C2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C29C26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5638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资金使用合规率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9A00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F9E6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1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C2375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1D011">
            <w:pPr>
              <w:rPr>
                <w:rFonts w:hint="eastAsia" w:ascii="宋体" w:hAnsi="宋体" w:eastAsia="宋体" w:cs="宋体"/>
                <w:i w:val="0"/>
                <w:iCs w:val="0"/>
                <w:color w:val="000000"/>
                <w:sz w:val="18"/>
                <w:szCs w:val="18"/>
                <w:u w:val="none"/>
              </w:rPr>
            </w:pPr>
          </w:p>
        </w:tc>
      </w:tr>
      <w:tr w14:paraId="68552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9B84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9ED4DE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FB53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资金拨付及时率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EADE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DA83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2B1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A2B5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6F36D">
            <w:pPr>
              <w:rPr>
                <w:rFonts w:hint="eastAsia" w:ascii="宋体" w:hAnsi="宋体" w:eastAsia="宋体" w:cs="宋体"/>
                <w:i w:val="0"/>
                <w:iCs w:val="0"/>
                <w:color w:val="000000"/>
                <w:sz w:val="18"/>
                <w:szCs w:val="18"/>
                <w:u w:val="none"/>
              </w:rPr>
            </w:pPr>
          </w:p>
        </w:tc>
      </w:tr>
      <w:tr w14:paraId="7EF07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EB82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8CBAA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6BA2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B38F5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30.25万元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747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30.25万元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E71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9EC19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76C85">
            <w:pPr>
              <w:rPr>
                <w:rFonts w:hint="eastAsia" w:ascii="宋体" w:hAnsi="宋体" w:eastAsia="宋体" w:cs="宋体"/>
                <w:i w:val="0"/>
                <w:iCs w:val="0"/>
                <w:color w:val="000000"/>
                <w:sz w:val="18"/>
                <w:szCs w:val="18"/>
                <w:u w:val="none"/>
              </w:rPr>
            </w:pPr>
          </w:p>
        </w:tc>
      </w:tr>
      <w:tr w14:paraId="52728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054E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9E0083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DC18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外贸企业抗风险能力提升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9E6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D48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9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C9D5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522FF">
            <w:pPr>
              <w:rPr>
                <w:rFonts w:hint="eastAsia" w:ascii="宋体" w:hAnsi="宋体" w:eastAsia="宋体" w:cs="宋体"/>
                <w:i w:val="0"/>
                <w:iCs w:val="0"/>
                <w:color w:val="000000"/>
                <w:sz w:val="18"/>
                <w:szCs w:val="18"/>
                <w:u w:val="none"/>
              </w:rPr>
            </w:pPr>
          </w:p>
        </w:tc>
      </w:tr>
      <w:tr w14:paraId="2780C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216B5">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B9D36F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EB78F1">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7F981">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8848F">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EB351">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06DE60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ABE37">
            <w:pPr>
              <w:rPr>
                <w:rFonts w:hint="eastAsia" w:ascii="宋体" w:hAnsi="宋体" w:eastAsia="宋体" w:cs="宋体"/>
                <w:i w:val="0"/>
                <w:iCs w:val="0"/>
                <w:color w:val="000000"/>
                <w:sz w:val="18"/>
                <w:szCs w:val="18"/>
                <w:u w:val="none"/>
              </w:rPr>
            </w:pPr>
          </w:p>
        </w:tc>
      </w:tr>
      <w:tr w14:paraId="6ED92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FF6C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D47C92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79F2E">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01D3A">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90F9C">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A69F">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B446937">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54FB9">
            <w:pPr>
              <w:rPr>
                <w:rFonts w:hint="eastAsia" w:ascii="宋体" w:hAnsi="宋体" w:eastAsia="宋体" w:cs="宋体"/>
                <w:i w:val="0"/>
                <w:iCs w:val="0"/>
                <w:color w:val="000000"/>
                <w:sz w:val="18"/>
                <w:szCs w:val="18"/>
                <w:u w:val="none"/>
              </w:rPr>
            </w:pPr>
          </w:p>
        </w:tc>
      </w:tr>
      <w:tr w14:paraId="76463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B5E9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40EB7B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A529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外贸发展后劲增强</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A51A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培育外贸新主体</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3F14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培育外贸新主体</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C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175E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A2E0E">
            <w:pPr>
              <w:rPr>
                <w:rFonts w:hint="eastAsia" w:ascii="宋体" w:hAnsi="宋体" w:eastAsia="宋体" w:cs="宋体"/>
                <w:i w:val="0"/>
                <w:iCs w:val="0"/>
                <w:color w:val="000000"/>
                <w:sz w:val="18"/>
                <w:szCs w:val="18"/>
                <w:u w:val="none"/>
              </w:rPr>
            </w:pPr>
          </w:p>
        </w:tc>
      </w:tr>
      <w:tr w14:paraId="7D5E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B611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6F31CC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8DBC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受助企业满意度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1811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EF54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7E2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7BF7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5BDBB">
            <w:pPr>
              <w:rPr>
                <w:rFonts w:hint="eastAsia" w:ascii="宋体" w:hAnsi="宋体" w:eastAsia="宋体" w:cs="宋体"/>
                <w:i w:val="0"/>
                <w:iCs w:val="0"/>
                <w:color w:val="000000"/>
                <w:sz w:val="18"/>
                <w:szCs w:val="18"/>
                <w:u w:val="none"/>
              </w:rPr>
            </w:pPr>
          </w:p>
        </w:tc>
      </w:tr>
      <w:tr w14:paraId="24BA5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F62E3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2BFA4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247270AD">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9A87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189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88E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2024年超长期特别国债资金（大规模设备更新和消费品以旧换新方向）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AAE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FFD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415A7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1E8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5AF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D27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7B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41F11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57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20153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2B3C5F5E">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F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46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375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077B9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0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85E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58.45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C3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53.56</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1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91.63%</w:t>
            </w:r>
          </w:p>
        </w:tc>
      </w:tr>
      <w:tr w14:paraId="24BC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6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4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58.45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5B8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53.56</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A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91.63%</w:t>
            </w:r>
          </w:p>
        </w:tc>
      </w:tr>
      <w:tr w14:paraId="4AD3B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6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2AC32">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3AF05">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911EA">
            <w:pPr>
              <w:jc w:val="center"/>
              <w:rPr>
                <w:rFonts w:hint="eastAsia" w:ascii="宋体" w:hAnsi="宋体" w:eastAsia="宋体" w:cs="宋体"/>
                <w:i w:val="0"/>
                <w:iCs w:val="0"/>
                <w:color w:val="000000"/>
                <w:sz w:val="20"/>
                <w:szCs w:val="20"/>
                <w:u w:val="none"/>
              </w:rPr>
            </w:pPr>
          </w:p>
        </w:tc>
      </w:tr>
      <w:tr w14:paraId="65E11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31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94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89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542D2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87C2C">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7ADBE0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利用超长期特别国债资金，支持工业企业开展大规模设备更新，推动消费品以旧换新，促进投资和消费升级，提升产业高端化、智能化、绿色化水平。</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15CA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使用超长期特别国债资金，支持了工业企业开展大规模设备更新，推动了消费品以旧换新，促进了投资和消费升级，提升了产业高端化、智能化、绿色化水平。</w:t>
            </w:r>
          </w:p>
        </w:tc>
      </w:tr>
      <w:tr w14:paraId="7A1A6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33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87B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4F4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40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98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B7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4A5A5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72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155D6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9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880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91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99.16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3F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执行率未达100%，因企业项目验收及票据审核滞后，剩余资金待支付。</w:t>
            </w:r>
          </w:p>
        </w:tc>
      </w:tr>
      <w:tr w14:paraId="1BFA3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791C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44C8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58.45 </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E00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53.56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51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D409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9.16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8FAD7">
            <w:pPr>
              <w:rPr>
                <w:rFonts w:hint="eastAsia" w:ascii="宋体" w:hAnsi="宋体" w:eastAsia="宋体" w:cs="宋体"/>
                <w:i w:val="0"/>
                <w:iCs w:val="0"/>
                <w:color w:val="000000"/>
                <w:sz w:val="18"/>
                <w:szCs w:val="18"/>
                <w:u w:val="none"/>
              </w:rPr>
            </w:pPr>
          </w:p>
        </w:tc>
      </w:tr>
      <w:tr w14:paraId="0B649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CDAF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32477E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61AB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支持设备更新改造项目数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6C88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5368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7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6E99E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C357B">
            <w:pPr>
              <w:rPr>
                <w:rFonts w:hint="eastAsia" w:ascii="宋体" w:hAnsi="宋体" w:eastAsia="宋体" w:cs="宋体"/>
                <w:i w:val="0"/>
                <w:iCs w:val="0"/>
                <w:color w:val="000000"/>
                <w:sz w:val="18"/>
                <w:szCs w:val="18"/>
                <w:u w:val="none"/>
              </w:rPr>
            </w:pPr>
          </w:p>
        </w:tc>
      </w:tr>
      <w:tr w14:paraId="396F9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72DA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36DBF1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A542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设备更新后产品合格率提升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DB61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4D70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94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2796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C3530">
            <w:pPr>
              <w:rPr>
                <w:rFonts w:hint="eastAsia" w:ascii="宋体" w:hAnsi="宋体" w:eastAsia="宋体" w:cs="宋体"/>
                <w:i w:val="0"/>
                <w:iCs w:val="0"/>
                <w:color w:val="000000"/>
                <w:sz w:val="18"/>
                <w:szCs w:val="18"/>
                <w:u w:val="none"/>
              </w:rPr>
            </w:pPr>
          </w:p>
        </w:tc>
      </w:tr>
      <w:tr w14:paraId="7A054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8033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BC444F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3A3D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设备更新项目按时完成率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567C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B1B0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19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4CC4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DCB45">
            <w:pPr>
              <w:rPr>
                <w:rFonts w:hint="eastAsia" w:ascii="宋体" w:hAnsi="宋体" w:eastAsia="宋体" w:cs="宋体"/>
                <w:i w:val="0"/>
                <w:iCs w:val="0"/>
                <w:color w:val="000000"/>
                <w:sz w:val="18"/>
                <w:szCs w:val="18"/>
                <w:u w:val="none"/>
              </w:rPr>
            </w:pPr>
          </w:p>
        </w:tc>
      </w:tr>
      <w:tr w14:paraId="66958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FCCB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466557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BC20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补贴资金使用合规率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6F2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63EE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EA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C1D8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BAE1">
            <w:pPr>
              <w:rPr>
                <w:rFonts w:hint="eastAsia" w:ascii="宋体" w:hAnsi="宋体" w:eastAsia="宋体" w:cs="宋体"/>
                <w:i w:val="0"/>
                <w:iCs w:val="0"/>
                <w:color w:val="000000"/>
                <w:sz w:val="18"/>
                <w:szCs w:val="18"/>
                <w:u w:val="none"/>
              </w:rPr>
            </w:pPr>
          </w:p>
        </w:tc>
      </w:tr>
      <w:tr w14:paraId="47ED1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EA6C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F66291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20D48">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惠及消费者户数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8702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≥4000户</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26C8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约6500户</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D60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37D46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366F4">
            <w:pPr>
              <w:rPr>
                <w:rFonts w:hint="eastAsia" w:ascii="宋体" w:hAnsi="宋体" w:eastAsia="宋体" w:cs="宋体"/>
                <w:i w:val="0"/>
                <w:iCs w:val="0"/>
                <w:color w:val="000000"/>
                <w:sz w:val="18"/>
                <w:szCs w:val="18"/>
                <w:u w:val="none"/>
              </w:rPr>
            </w:pPr>
          </w:p>
        </w:tc>
      </w:tr>
      <w:tr w14:paraId="5DB7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5BA27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88E277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021A0">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FB916">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42A37">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A2AE6">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58C6BC2">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0262E">
            <w:pPr>
              <w:rPr>
                <w:rFonts w:hint="eastAsia" w:ascii="宋体" w:hAnsi="宋体" w:eastAsia="宋体" w:cs="宋体"/>
                <w:i w:val="0"/>
                <w:iCs w:val="0"/>
                <w:color w:val="000000"/>
                <w:sz w:val="18"/>
                <w:szCs w:val="18"/>
                <w:u w:val="none"/>
              </w:rPr>
            </w:pPr>
          </w:p>
        </w:tc>
      </w:tr>
      <w:tr w14:paraId="3B9A6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1F31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748E1A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2884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年节能降碳量（吨标准煤）</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F287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≥200吨</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A1E9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240吨</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E0B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23B26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57685">
            <w:pPr>
              <w:rPr>
                <w:rFonts w:hint="eastAsia" w:ascii="宋体" w:hAnsi="宋体" w:eastAsia="宋体" w:cs="宋体"/>
                <w:i w:val="0"/>
                <w:iCs w:val="0"/>
                <w:color w:val="000000"/>
                <w:sz w:val="18"/>
                <w:szCs w:val="18"/>
                <w:u w:val="none"/>
              </w:rPr>
            </w:pPr>
          </w:p>
        </w:tc>
      </w:tr>
      <w:tr w14:paraId="113A4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7086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B37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nil"/>
              <w:left w:val="nil"/>
              <w:bottom w:val="nil"/>
              <w:right w:val="nil"/>
            </w:tcBorders>
            <w:shd w:val="clear" w:color="auto" w:fill="auto"/>
            <w:vAlign w:val="center"/>
          </w:tcPr>
          <w:p w14:paraId="0341A69B">
            <w:pPr>
              <w:keepNext w:val="0"/>
              <w:keepLines w:val="0"/>
              <w:widowControl/>
              <w:suppressLineNumbers w:val="0"/>
              <w:jc w:val="left"/>
              <w:textAlignment w:val="center"/>
              <w:rPr>
                <w:rFonts w:ascii="quote-cjk-patch" w:hAnsi="quote-cjk-patch" w:eastAsia="quote-cjk-patch" w:cs="quote-cjk-patch"/>
                <w:i w:val="0"/>
                <w:iCs w:val="0"/>
                <w:color w:val="0F1115"/>
                <w:sz w:val="22"/>
                <w:szCs w:val="22"/>
                <w:u w:val="none"/>
              </w:rPr>
            </w:pPr>
            <w:r>
              <w:rPr>
                <w:rFonts w:hint="default" w:ascii="quote-cjk-patch" w:hAnsi="quote-cjk-patch" w:eastAsia="quote-cjk-patch" w:cs="quote-cjk-patch"/>
                <w:i w:val="0"/>
                <w:iCs w:val="0"/>
                <w:color w:val="0F1115"/>
                <w:kern w:val="0"/>
                <w:sz w:val="22"/>
                <w:szCs w:val="22"/>
                <w:u w:val="none"/>
                <w:lang w:val="en-US" w:eastAsia="zh-CN" w:bidi="ar"/>
              </w:rPr>
              <w:t>企业“智改数转”水平提升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0CAF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FC4C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0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8153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50B4E">
            <w:pPr>
              <w:rPr>
                <w:rFonts w:hint="eastAsia" w:ascii="宋体" w:hAnsi="宋体" w:eastAsia="宋体" w:cs="宋体"/>
                <w:i w:val="0"/>
                <w:iCs w:val="0"/>
                <w:color w:val="000000"/>
                <w:sz w:val="18"/>
                <w:szCs w:val="18"/>
                <w:u w:val="none"/>
              </w:rPr>
            </w:pPr>
          </w:p>
        </w:tc>
      </w:tr>
      <w:tr w14:paraId="5041F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07F4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53F836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75C7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以旧换新消费者满意度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334D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C961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91%</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9BF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6B6A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6E2B1">
            <w:pPr>
              <w:rPr>
                <w:rFonts w:hint="eastAsia" w:ascii="宋体" w:hAnsi="宋体" w:eastAsia="宋体" w:cs="宋体"/>
                <w:i w:val="0"/>
                <w:iCs w:val="0"/>
                <w:color w:val="000000"/>
                <w:sz w:val="18"/>
                <w:szCs w:val="18"/>
                <w:u w:val="none"/>
              </w:rPr>
            </w:pPr>
          </w:p>
        </w:tc>
      </w:tr>
      <w:tr w14:paraId="3ADB5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485334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D47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548327D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C30C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265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401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2024年第四批省级工业发展专项资金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BB5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DEB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6D0F6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53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35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1A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6FA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18C66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F3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77F70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44E50BF1">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F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52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15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531C7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6B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E4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63.13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18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63.13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DF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C64A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8EF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26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63.13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ED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63.13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C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3BC96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F12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D7C9">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0EC6">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11812">
            <w:pPr>
              <w:jc w:val="center"/>
              <w:rPr>
                <w:rFonts w:hint="eastAsia" w:ascii="宋体" w:hAnsi="宋体" w:eastAsia="宋体" w:cs="宋体"/>
                <w:i w:val="0"/>
                <w:iCs w:val="0"/>
                <w:color w:val="000000"/>
                <w:sz w:val="20"/>
                <w:szCs w:val="20"/>
                <w:u w:val="none"/>
              </w:rPr>
            </w:pPr>
          </w:p>
        </w:tc>
      </w:tr>
      <w:tr w14:paraId="25153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249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A69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42B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040F5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082B7">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62439C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支持县域工业企业实施技术改造、创新能力提升、升规入统培育等，推动工业经济高质量发展，确保规上工业增加值增速达标。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95D6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支持了县域工业企业实施技术改造、创新能力提升、升规入统培育等，推动工业经济高质量发展，确保了规上工业增加值增速达标。</w:t>
            </w:r>
          </w:p>
        </w:tc>
      </w:tr>
      <w:tr w14:paraId="07003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DD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6E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58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E9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21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A1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A2A9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31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47522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9BE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AE1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25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1837F">
            <w:pPr>
              <w:jc w:val="center"/>
              <w:rPr>
                <w:rFonts w:hint="eastAsia" w:ascii="宋体" w:hAnsi="宋体" w:eastAsia="宋体" w:cs="宋体"/>
                <w:i w:val="0"/>
                <w:iCs w:val="0"/>
                <w:color w:val="000000"/>
                <w:sz w:val="18"/>
                <w:szCs w:val="18"/>
                <w:u w:val="none"/>
              </w:rPr>
            </w:pPr>
          </w:p>
        </w:tc>
      </w:tr>
      <w:tr w14:paraId="0D812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5C3E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7C6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63.13 </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D7C8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63.13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0B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F77D6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28190">
            <w:pPr>
              <w:rPr>
                <w:rFonts w:hint="eastAsia" w:ascii="宋体" w:hAnsi="宋体" w:eastAsia="宋体" w:cs="宋体"/>
                <w:i w:val="0"/>
                <w:iCs w:val="0"/>
                <w:color w:val="000000"/>
                <w:sz w:val="18"/>
                <w:szCs w:val="18"/>
                <w:u w:val="none"/>
              </w:rPr>
            </w:pPr>
          </w:p>
        </w:tc>
      </w:tr>
      <w:tr w14:paraId="03985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EC93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B39F26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041D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支持技术改造项目数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C83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A91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D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C46D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172C">
            <w:pPr>
              <w:rPr>
                <w:rFonts w:hint="eastAsia" w:ascii="宋体" w:hAnsi="宋体" w:eastAsia="宋体" w:cs="宋体"/>
                <w:i w:val="0"/>
                <w:iCs w:val="0"/>
                <w:color w:val="000000"/>
                <w:sz w:val="18"/>
                <w:szCs w:val="18"/>
                <w:u w:val="none"/>
              </w:rPr>
            </w:pPr>
          </w:p>
        </w:tc>
      </w:tr>
      <w:tr w14:paraId="5349D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35D2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3EFE05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3155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CC29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AD3A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5B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6FA62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62F3">
            <w:pPr>
              <w:rPr>
                <w:rFonts w:hint="eastAsia" w:ascii="宋体" w:hAnsi="宋体" w:eastAsia="宋体" w:cs="宋体"/>
                <w:i w:val="0"/>
                <w:iCs w:val="0"/>
                <w:color w:val="000000"/>
                <w:sz w:val="18"/>
                <w:szCs w:val="18"/>
                <w:u w:val="none"/>
              </w:rPr>
            </w:pPr>
          </w:p>
        </w:tc>
      </w:tr>
      <w:tr w14:paraId="4B830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DA3F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5D87D5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7BD4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资金拨付及时率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492F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FB1D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12A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B8AD4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9C90C">
            <w:pPr>
              <w:rPr>
                <w:rFonts w:hint="eastAsia" w:ascii="宋体" w:hAnsi="宋体" w:eastAsia="宋体" w:cs="宋体"/>
                <w:i w:val="0"/>
                <w:iCs w:val="0"/>
                <w:color w:val="000000"/>
                <w:sz w:val="18"/>
                <w:szCs w:val="18"/>
                <w:u w:val="none"/>
              </w:rPr>
            </w:pPr>
          </w:p>
        </w:tc>
      </w:tr>
      <w:tr w14:paraId="05E79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648E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B76EEA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C4DE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项目投入成本控制率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C26C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DDC4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26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9059C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4B744">
            <w:pPr>
              <w:rPr>
                <w:rFonts w:hint="eastAsia" w:ascii="宋体" w:hAnsi="宋体" w:eastAsia="宋体" w:cs="宋体"/>
                <w:i w:val="0"/>
                <w:iCs w:val="0"/>
                <w:color w:val="000000"/>
                <w:sz w:val="18"/>
                <w:szCs w:val="18"/>
                <w:u w:val="none"/>
              </w:rPr>
            </w:pPr>
          </w:p>
        </w:tc>
      </w:tr>
      <w:tr w14:paraId="21536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8467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251960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4B3FF">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508A8">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FFF1F5">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69E84">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3439534">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5B6FC">
            <w:pPr>
              <w:rPr>
                <w:rFonts w:hint="eastAsia" w:ascii="宋体" w:hAnsi="宋体" w:eastAsia="宋体" w:cs="宋体"/>
                <w:i w:val="0"/>
                <w:iCs w:val="0"/>
                <w:color w:val="000000"/>
                <w:sz w:val="18"/>
                <w:szCs w:val="18"/>
                <w:u w:val="none"/>
              </w:rPr>
            </w:pPr>
          </w:p>
        </w:tc>
      </w:tr>
      <w:tr w14:paraId="0FFBB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4C98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8E81EA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C455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新增就业岗位</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0596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E11B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68个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6A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E3EB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13839">
            <w:pPr>
              <w:rPr>
                <w:rFonts w:hint="eastAsia" w:ascii="宋体" w:hAnsi="宋体" w:eastAsia="宋体" w:cs="宋体"/>
                <w:i w:val="0"/>
                <w:iCs w:val="0"/>
                <w:color w:val="000000"/>
                <w:sz w:val="18"/>
                <w:szCs w:val="18"/>
                <w:u w:val="none"/>
              </w:rPr>
            </w:pPr>
          </w:p>
        </w:tc>
      </w:tr>
      <w:tr w14:paraId="66BFF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1CAA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A1116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59CB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F98D3">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E5512">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D27A">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15C2947">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60B57">
            <w:pPr>
              <w:rPr>
                <w:rFonts w:hint="eastAsia" w:ascii="宋体" w:hAnsi="宋体" w:eastAsia="宋体" w:cs="宋体"/>
                <w:i w:val="0"/>
                <w:iCs w:val="0"/>
                <w:color w:val="000000"/>
                <w:sz w:val="18"/>
                <w:szCs w:val="18"/>
                <w:u w:val="none"/>
              </w:rPr>
            </w:pPr>
          </w:p>
        </w:tc>
      </w:tr>
      <w:tr w14:paraId="05CDB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FBCF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7C82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EC72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企业“智改数转”覆盖面提升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0AC6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00C8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944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AB03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60AE6">
            <w:pPr>
              <w:rPr>
                <w:rFonts w:hint="eastAsia" w:ascii="宋体" w:hAnsi="宋体" w:eastAsia="宋体" w:cs="宋体"/>
                <w:i w:val="0"/>
                <w:iCs w:val="0"/>
                <w:color w:val="000000"/>
                <w:sz w:val="18"/>
                <w:szCs w:val="18"/>
                <w:u w:val="none"/>
              </w:rPr>
            </w:pPr>
          </w:p>
        </w:tc>
      </w:tr>
      <w:tr w14:paraId="7E5AA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522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AE5D39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3829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受益企业满意度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AF10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1189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92%</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F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5F22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F2546">
            <w:pPr>
              <w:rPr>
                <w:rFonts w:hint="eastAsia" w:ascii="宋体" w:hAnsi="宋体" w:eastAsia="宋体" w:cs="宋体"/>
                <w:i w:val="0"/>
                <w:iCs w:val="0"/>
                <w:color w:val="000000"/>
                <w:sz w:val="18"/>
                <w:szCs w:val="18"/>
                <w:u w:val="none"/>
              </w:rPr>
            </w:pPr>
          </w:p>
        </w:tc>
      </w:tr>
      <w:tr w14:paraId="4F844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7B00F9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EE3D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6233A66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447F8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F60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F8E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2024年东西协作项目：越商走马边货入城项目（越商走马活动）</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F6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63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36663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9A3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B3B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2F9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E95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00186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9C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79CFA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29F4B985">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34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10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68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53C7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5F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3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22.74</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E0C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8.31</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DBB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36.54%</w:t>
            </w:r>
          </w:p>
        </w:tc>
      </w:tr>
      <w:tr w14:paraId="426BD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70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CF2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22.74</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3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8.31</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7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36.54%</w:t>
            </w:r>
          </w:p>
        </w:tc>
      </w:tr>
      <w:tr w14:paraId="58C3E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02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68AA">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E9DF7">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13AF">
            <w:pPr>
              <w:jc w:val="center"/>
              <w:rPr>
                <w:rFonts w:hint="eastAsia" w:ascii="宋体" w:hAnsi="宋体" w:eastAsia="宋体" w:cs="宋体"/>
                <w:i w:val="0"/>
                <w:iCs w:val="0"/>
                <w:color w:val="000000"/>
                <w:sz w:val="20"/>
                <w:szCs w:val="20"/>
                <w:u w:val="none"/>
              </w:rPr>
            </w:pPr>
          </w:p>
        </w:tc>
      </w:tr>
      <w:tr w14:paraId="0B098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C14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0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33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78B86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EED5">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682A5D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通过“越商走马”活动，组织浙江越商来马边考察对接，推动马边农特产品“边货入城”至浙江市场，促进东西部消费协作，提升马边农产品知名度和销售额。</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047B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受资金拨付进度及活动方案调整影响，2025年仅开展了部分前期对接工作，未完成既定推介会、展销活动及“边货入城”物流补贴等主要任务。实际执行8.31万元，主要用于活动筹备及少量差旅支出。</w:t>
            </w:r>
          </w:p>
        </w:tc>
      </w:tr>
      <w:tr w14:paraId="59C86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AC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0F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B8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82D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340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4A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8921A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58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0FB47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5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A2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4EC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23.65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D5269">
            <w:pPr>
              <w:jc w:val="center"/>
              <w:rPr>
                <w:rFonts w:hint="eastAsia" w:ascii="宋体" w:hAnsi="宋体" w:eastAsia="宋体" w:cs="宋体"/>
                <w:i w:val="0"/>
                <w:iCs w:val="0"/>
                <w:color w:val="000000"/>
                <w:sz w:val="18"/>
                <w:szCs w:val="18"/>
                <w:u w:val="none"/>
              </w:rPr>
            </w:pPr>
          </w:p>
        </w:tc>
      </w:tr>
      <w:tr w14:paraId="23241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23EB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537E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22.74 </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840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8.31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639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AA9B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3.65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5FA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预算执行率低，仅36.54%，因项目方案调整及资金审批滞后，活动未全面开展。</w:t>
            </w:r>
          </w:p>
        </w:tc>
      </w:tr>
      <w:tr w14:paraId="1FC8D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1F68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6EEEC3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3A80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举办“越商走马”推介活动场次</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F5D7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≥1场</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F1F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4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0C30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9BB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活动未举办，资金未执行。</w:t>
            </w:r>
          </w:p>
        </w:tc>
      </w:tr>
      <w:tr w14:paraId="588FC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4E54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D649D7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3201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活动方案执行达标率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5029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3EDA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BBB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D4C8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18F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未按计划完成。</w:t>
            </w:r>
          </w:p>
        </w:tc>
      </w:tr>
      <w:tr w14:paraId="3C5BD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5306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44A869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7162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活动按时完成率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A7DB0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CAB5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55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320D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4DE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年度内未完成。</w:t>
            </w:r>
          </w:p>
        </w:tc>
      </w:tr>
      <w:tr w14:paraId="3868B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231D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512A92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A100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成本控制率（实际/预算）</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E8BD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BAB1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36.54%</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32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833C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EAC16">
            <w:pPr>
              <w:rPr>
                <w:rFonts w:hint="eastAsia" w:ascii="宋体" w:hAnsi="宋体" w:eastAsia="宋体" w:cs="宋体"/>
                <w:i w:val="0"/>
                <w:iCs w:val="0"/>
                <w:color w:val="000000"/>
                <w:sz w:val="18"/>
                <w:szCs w:val="18"/>
                <w:u w:val="none"/>
              </w:rPr>
            </w:pPr>
          </w:p>
        </w:tc>
      </w:tr>
      <w:tr w14:paraId="4C5B8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226E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7F9D78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9647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带动马边农特产品在浙江销售额增长</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2484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F98C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活动暂未开展。</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56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84E0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B8C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活动暂未开展。</w:t>
            </w:r>
          </w:p>
        </w:tc>
      </w:tr>
      <w:tr w14:paraId="7B341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0ECD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1626D9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F9AC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提升马边农产品品牌知名度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E55D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13F9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活动暂未开展。</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C5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2D13D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549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活动暂未开展。</w:t>
            </w:r>
          </w:p>
        </w:tc>
      </w:tr>
      <w:tr w14:paraId="4ACB4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9EE1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FA3769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1F4CD">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935FA">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91F9B5">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4E75">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9265A9B">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DCA04">
            <w:pPr>
              <w:rPr>
                <w:rFonts w:hint="eastAsia" w:ascii="宋体" w:hAnsi="宋体" w:eastAsia="宋体" w:cs="宋体"/>
                <w:i w:val="0"/>
                <w:iCs w:val="0"/>
                <w:color w:val="000000"/>
                <w:sz w:val="18"/>
                <w:szCs w:val="18"/>
                <w:u w:val="none"/>
              </w:rPr>
            </w:pPr>
          </w:p>
        </w:tc>
      </w:tr>
      <w:tr w14:paraId="5A6D8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FD1B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971874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04A7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东西部消费协作长效机制</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3C781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初步建立</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B035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活动暂未开展</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5B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6BB6D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9CA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活动暂未开展</w:t>
            </w:r>
          </w:p>
        </w:tc>
      </w:tr>
      <w:tr w14:paraId="2FAFD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7E9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46AA67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01AF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参与企业及客商满意度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CAF2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38705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未开展调查</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6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5AFCC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BF8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活动未举办，无满意度数据。</w:t>
            </w:r>
          </w:p>
        </w:tc>
      </w:tr>
      <w:tr w14:paraId="431BE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585FEF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711D6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2D8619F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BF0C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0B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B6E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2025年超长期特别国债支持地方消费品以旧换新资金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FC4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B6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39D8C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FF4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93B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15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F5A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1B95B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63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114B4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7254656F">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3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F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F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04690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19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3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91.29</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AB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91.29</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DC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E9E0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0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23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91.29</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99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91.29</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72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7EAE2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75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7F41B">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2F2FD">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882A">
            <w:pPr>
              <w:jc w:val="center"/>
              <w:rPr>
                <w:rFonts w:hint="eastAsia" w:ascii="宋体" w:hAnsi="宋体" w:eastAsia="宋体" w:cs="宋体"/>
                <w:i w:val="0"/>
                <w:iCs w:val="0"/>
                <w:color w:val="000000"/>
                <w:sz w:val="20"/>
                <w:szCs w:val="20"/>
                <w:u w:val="none"/>
              </w:rPr>
            </w:pPr>
          </w:p>
        </w:tc>
      </w:tr>
      <w:tr w14:paraId="7355A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A4F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3D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2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4DA3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85D8E">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752098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利用超长期特别国债资金，支持县域内家电、电动自行车、3C产品等消费品以旧换新，扩大消费需求，促进绿色智能产品普及，提升资源循环利用水平。</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37D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34292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CF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0D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57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2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F78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85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5CC9F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5C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019F1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0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C8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E7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2FE8B">
            <w:pPr>
              <w:jc w:val="center"/>
              <w:rPr>
                <w:rFonts w:hint="eastAsia" w:ascii="宋体" w:hAnsi="宋体" w:eastAsia="宋体" w:cs="宋体"/>
                <w:i w:val="0"/>
                <w:iCs w:val="0"/>
                <w:color w:val="000000"/>
                <w:sz w:val="18"/>
                <w:szCs w:val="18"/>
                <w:u w:val="none"/>
              </w:rPr>
            </w:pPr>
          </w:p>
        </w:tc>
      </w:tr>
      <w:tr w14:paraId="7A41A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AB96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214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348C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A7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5D01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ACDD7">
            <w:pPr>
              <w:rPr>
                <w:rFonts w:hint="eastAsia" w:ascii="宋体" w:hAnsi="宋体" w:eastAsia="宋体" w:cs="宋体"/>
                <w:i w:val="0"/>
                <w:iCs w:val="0"/>
                <w:color w:val="000000"/>
                <w:sz w:val="18"/>
                <w:szCs w:val="18"/>
                <w:u w:val="none"/>
              </w:rPr>
            </w:pPr>
          </w:p>
        </w:tc>
      </w:tr>
      <w:tr w14:paraId="08AE1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E01D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63352A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6692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补贴消费品（家电/3C/电动车）数量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3E93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≥5000台</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78F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≥5000台</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D2A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AF21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475D4">
            <w:pPr>
              <w:rPr>
                <w:rFonts w:hint="eastAsia" w:ascii="宋体" w:hAnsi="宋体" w:eastAsia="宋体" w:cs="宋体"/>
                <w:i w:val="0"/>
                <w:iCs w:val="0"/>
                <w:color w:val="000000"/>
                <w:sz w:val="18"/>
                <w:szCs w:val="18"/>
                <w:u w:val="none"/>
              </w:rPr>
            </w:pPr>
          </w:p>
        </w:tc>
      </w:tr>
      <w:tr w14:paraId="6025E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4E58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DAFF70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E00C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补贴发放准确率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83A8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89C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C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B7257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27085">
            <w:pPr>
              <w:rPr>
                <w:rFonts w:hint="eastAsia" w:ascii="宋体" w:hAnsi="宋体" w:eastAsia="宋体" w:cs="宋体"/>
                <w:i w:val="0"/>
                <w:iCs w:val="0"/>
                <w:color w:val="000000"/>
                <w:sz w:val="18"/>
                <w:szCs w:val="18"/>
                <w:u w:val="none"/>
              </w:rPr>
            </w:pPr>
          </w:p>
        </w:tc>
      </w:tr>
      <w:tr w14:paraId="08790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7D57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ACE20B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8B4C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补贴资金兑付及时率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F2F0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7B5A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8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8C46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39B2D">
            <w:pPr>
              <w:rPr>
                <w:rFonts w:hint="eastAsia" w:ascii="宋体" w:hAnsi="宋体" w:eastAsia="宋体" w:cs="宋体"/>
                <w:i w:val="0"/>
                <w:iCs w:val="0"/>
                <w:color w:val="000000"/>
                <w:sz w:val="18"/>
                <w:szCs w:val="18"/>
                <w:u w:val="none"/>
              </w:rPr>
            </w:pPr>
          </w:p>
        </w:tc>
      </w:tr>
      <w:tr w14:paraId="06065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184E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DEDFC1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08D2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5881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91.29万元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34C7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91.29万元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0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CC553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23748">
            <w:pPr>
              <w:rPr>
                <w:rFonts w:hint="eastAsia" w:ascii="宋体" w:hAnsi="宋体" w:eastAsia="宋体" w:cs="宋体"/>
                <w:i w:val="0"/>
                <w:iCs w:val="0"/>
                <w:color w:val="000000"/>
                <w:sz w:val="18"/>
                <w:szCs w:val="18"/>
                <w:u w:val="none"/>
              </w:rPr>
            </w:pPr>
          </w:p>
        </w:tc>
      </w:tr>
      <w:tr w14:paraId="0299B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E5BA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7DC6F7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9B5D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带动消费品销售额</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1725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≥2000万元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1540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≥2000万元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5B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4800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F3964">
            <w:pPr>
              <w:rPr>
                <w:rFonts w:hint="eastAsia" w:ascii="宋体" w:hAnsi="宋体" w:eastAsia="宋体" w:cs="宋体"/>
                <w:i w:val="0"/>
                <w:iCs w:val="0"/>
                <w:color w:val="000000"/>
                <w:sz w:val="18"/>
                <w:szCs w:val="18"/>
                <w:u w:val="none"/>
              </w:rPr>
            </w:pPr>
          </w:p>
        </w:tc>
      </w:tr>
      <w:tr w14:paraId="00137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3C1F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E64436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A301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3B5D9">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70DCB">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439A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7B93103">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84AB8">
            <w:pPr>
              <w:rPr>
                <w:rFonts w:hint="eastAsia" w:ascii="宋体" w:hAnsi="宋体" w:eastAsia="宋体" w:cs="宋体"/>
                <w:i w:val="0"/>
                <w:iCs w:val="0"/>
                <w:color w:val="000000"/>
                <w:sz w:val="18"/>
                <w:szCs w:val="18"/>
                <w:u w:val="none"/>
              </w:rPr>
            </w:pPr>
          </w:p>
        </w:tc>
      </w:tr>
      <w:tr w14:paraId="0B460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1E31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231FE4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7152E">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4E56D">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D71F9">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98EF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BACF665">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3A8F0">
            <w:pPr>
              <w:rPr>
                <w:rFonts w:hint="eastAsia" w:ascii="宋体" w:hAnsi="宋体" w:eastAsia="宋体" w:cs="宋体"/>
                <w:i w:val="0"/>
                <w:iCs w:val="0"/>
                <w:color w:val="000000"/>
                <w:sz w:val="18"/>
                <w:szCs w:val="18"/>
                <w:u w:val="none"/>
              </w:rPr>
            </w:pPr>
          </w:p>
        </w:tc>
      </w:tr>
      <w:tr w14:paraId="48014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E90A9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CF4108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8002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绿色智能产品普及率提升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F64C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DEDB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一级能效产品占比提高</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F6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F28E9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F035E">
            <w:pPr>
              <w:rPr>
                <w:rFonts w:hint="eastAsia" w:ascii="宋体" w:hAnsi="宋体" w:eastAsia="宋体" w:cs="宋体"/>
                <w:i w:val="0"/>
                <w:iCs w:val="0"/>
                <w:color w:val="000000"/>
                <w:sz w:val="18"/>
                <w:szCs w:val="18"/>
                <w:u w:val="none"/>
              </w:rPr>
            </w:pPr>
          </w:p>
        </w:tc>
      </w:tr>
      <w:tr w14:paraId="3B26B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2C51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4B6C76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D7BD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参与消费者满意度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3BCD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67B8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11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79C40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7C19F">
            <w:pPr>
              <w:rPr>
                <w:rFonts w:hint="eastAsia" w:ascii="宋体" w:hAnsi="宋体" w:eastAsia="宋体" w:cs="宋体"/>
                <w:i w:val="0"/>
                <w:iCs w:val="0"/>
                <w:color w:val="000000"/>
                <w:sz w:val="18"/>
                <w:szCs w:val="18"/>
                <w:u w:val="none"/>
              </w:rPr>
            </w:pPr>
          </w:p>
        </w:tc>
      </w:tr>
      <w:tr w14:paraId="67299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6A299B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44F2F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72B3273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3D56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90E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BD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2025年中央财政服务业和外经贸发展资金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F6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C40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1F31D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B0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00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E66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8C6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3CC88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B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511A7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4BEB6F85">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1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7B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5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34D1C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A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BD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D7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791.21</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16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79.12%</w:t>
            </w:r>
          </w:p>
        </w:tc>
      </w:tr>
      <w:tr w14:paraId="465B0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03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F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79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791.21</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D98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79.12%</w:t>
            </w:r>
          </w:p>
        </w:tc>
      </w:tr>
      <w:tr w14:paraId="27738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4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3168D">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82473">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5320D">
            <w:pPr>
              <w:jc w:val="center"/>
              <w:rPr>
                <w:rFonts w:hint="eastAsia" w:ascii="宋体" w:hAnsi="宋体" w:eastAsia="宋体" w:cs="宋体"/>
                <w:i w:val="0"/>
                <w:iCs w:val="0"/>
                <w:color w:val="000000"/>
                <w:sz w:val="20"/>
                <w:szCs w:val="20"/>
                <w:u w:val="none"/>
              </w:rPr>
            </w:pPr>
          </w:p>
        </w:tc>
      </w:tr>
      <w:tr w14:paraId="550B2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E1B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6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0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5002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17CCC">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1BA02E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支持县域商业体系建设和外经贸发展，完善县乡村三级物流配送体系，提升农产品上行能力，促进服务业提质增效，推动外经贸稳定增长。</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0CB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5AC8F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06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88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D65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D91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C6E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5D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196F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853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16099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D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5F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4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97.9</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4E820">
            <w:pPr>
              <w:jc w:val="center"/>
              <w:rPr>
                <w:rFonts w:hint="eastAsia" w:ascii="宋体" w:hAnsi="宋体" w:eastAsia="宋体" w:cs="宋体"/>
                <w:i w:val="0"/>
                <w:iCs w:val="0"/>
                <w:color w:val="000000"/>
                <w:sz w:val="18"/>
                <w:szCs w:val="18"/>
                <w:u w:val="none"/>
              </w:rPr>
            </w:pPr>
          </w:p>
        </w:tc>
      </w:tr>
      <w:tr w14:paraId="09E02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252B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7C1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52E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791.21</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70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28B80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2C53E">
            <w:pPr>
              <w:rPr>
                <w:rFonts w:hint="eastAsia" w:ascii="宋体" w:hAnsi="宋体" w:eastAsia="宋体" w:cs="宋体"/>
                <w:i w:val="0"/>
                <w:iCs w:val="0"/>
                <w:color w:val="000000"/>
                <w:sz w:val="18"/>
                <w:szCs w:val="18"/>
                <w:u w:val="none"/>
              </w:rPr>
            </w:pPr>
          </w:p>
        </w:tc>
      </w:tr>
      <w:tr w14:paraId="17483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BE2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4F8574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CA95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支持建成运营项目数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88CB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8AF1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1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7374B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C15B5">
            <w:pPr>
              <w:rPr>
                <w:rFonts w:hint="eastAsia" w:ascii="宋体" w:hAnsi="宋体" w:eastAsia="宋体" w:cs="宋体"/>
                <w:i w:val="0"/>
                <w:iCs w:val="0"/>
                <w:color w:val="000000"/>
                <w:sz w:val="18"/>
                <w:szCs w:val="18"/>
                <w:u w:val="none"/>
              </w:rPr>
            </w:pPr>
          </w:p>
        </w:tc>
      </w:tr>
      <w:tr w14:paraId="5DED0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3CC9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1AF3BC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80C0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DF6C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576B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721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423F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2D6CC">
            <w:pPr>
              <w:rPr>
                <w:rFonts w:hint="eastAsia" w:ascii="宋体" w:hAnsi="宋体" w:eastAsia="宋体" w:cs="宋体"/>
                <w:i w:val="0"/>
                <w:iCs w:val="0"/>
                <w:color w:val="000000"/>
                <w:sz w:val="18"/>
                <w:szCs w:val="18"/>
                <w:u w:val="none"/>
              </w:rPr>
            </w:pPr>
          </w:p>
        </w:tc>
      </w:tr>
      <w:tr w14:paraId="5D0F2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116C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66E4C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B000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项目按期完工率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C220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DCC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6A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B9D3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B24FB">
            <w:pPr>
              <w:rPr>
                <w:rFonts w:hint="eastAsia" w:ascii="宋体" w:hAnsi="宋体" w:eastAsia="宋体" w:cs="宋体"/>
                <w:i w:val="0"/>
                <w:iCs w:val="0"/>
                <w:color w:val="000000"/>
                <w:sz w:val="18"/>
                <w:szCs w:val="18"/>
                <w:u w:val="none"/>
              </w:rPr>
            </w:pPr>
          </w:p>
        </w:tc>
      </w:tr>
      <w:tr w14:paraId="29DE3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2845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5D8B09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E9C9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项目总投资完成率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8DDC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≥80%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94A9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84%</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6DB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86949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ADBAA">
            <w:pPr>
              <w:rPr>
                <w:rFonts w:hint="eastAsia" w:ascii="宋体" w:hAnsi="宋体" w:eastAsia="宋体" w:cs="宋体"/>
                <w:i w:val="0"/>
                <w:iCs w:val="0"/>
                <w:color w:val="000000"/>
                <w:sz w:val="18"/>
                <w:szCs w:val="18"/>
                <w:u w:val="none"/>
              </w:rPr>
            </w:pPr>
          </w:p>
        </w:tc>
      </w:tr>
      <w:tr w14:paraId="0EF0D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3A94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EBDFA1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5CBB2">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41FD8">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A5B3B">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1DA8D">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729E686">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33B4C">
            <w:pPr>
              <w:rPr>
                <w:rFonts w:hint="eastAsia" w:ascii="宋体" w:hAnsi="宋体" w:eastAsia="宋体" w:cs="宋体"/>
                <w:i w:val="0"/>
                <w:iCs w:val="0"/>
                <w:color w:val="000000"/>
                <w:sz w:val="18"/>
                <w:szCs w:val="18"/>
                <w:u w:val="none"/>
              </w:rPr>
            </w:pPr>
          </w:p>
        </w:tc>
      </w:tr>
      <w:tr w14:paraId="7E4A9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EA89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CC5B67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F53C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提升农村物流覆盖率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373D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显著提升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4344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实现“连接城乡、购销并举”综合功能</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46F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6986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C4A6B">
            <w:pPr>
              <w:rPr>
                <w:rFonts w:hint="eastAsia" w:ascii="宋体" w:hAnsi="宋体" w:eastAsia="宋体" w:cs="宋体"/>
                <w:i w:val="0"/>
                <w:iCs w:val="0"/>
                <w:color w:val="000000"/>
                <w:sz w:val="18"/>
                <w:szCs w:val="18"/>
                <w:u w:val="none"/>
              </w:rPr>
            </w:pPr>
          </w:p>
        </w:tc>
      </w:tr>
      <w:tr w14:paraId="3B8B0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D39C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EDED3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428CE">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41330">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94BE9">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C700">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F76AA70">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1AD66">
            <w:pPr>
              <w:rPr>
                <w:rFonts w:hint="eastAsia" w:ascii="宋体" w:hAnsi="宋体" w:eastAsia="宋体" w:cs="宋体"/>
                <w:i w:val="0"/>
                <w:iCs w:val="0"/>
                <w:color w:val="000000"/>
                <w:sz w:val="18"/>
                <w:szCs w:val="18"/>
                <w:u w:val="none"/>
              </w:rPr>
            </w:pPr>
          </w:p>
        </w:tc>
      </w:tr>
      <w:tr w14:paraId="4AFF4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51C3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A88A2B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E5A2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县域商业体系持续运营年限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7E828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924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已建立长效管护机制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F2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6B45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16615">
            <w:pPr>
              <w:rPr>
                <w:rFonts w:hint="eastAsia" w:ascii="宋体" w:hAnsi="宋体" w:eastAsia="宋体" w:cs="宋体"/>
                <w:i w:val="0"/>
                <w:iCs w:val="0"/>
                <w:color w:val="000000"/>
                <w:sz w:val="18"/>
                <w:szCs w:val="18"/>
                <w:u w:val="none"/>
              </w:rPr>
            </w:pPr>
          </w:p>
        </w:tc>
      </w:tr>
      <w:tr w14:paraId="74C45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DF3E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19BA8C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A6DD6">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33C2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CA2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27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00C5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1843">
            <w:pPr>
              <w:rPr>
                <w:rFonts w:hint="eastAsia" w:ascii="宋体" w:hAnsi="宋体" w:eastAsia="宋体" w:cs="宋体"/>
                <w:i w:val="0"/>
                <w:iCs w:val="0"/>
                <w:color w:val="000000"/>
                <w:sz w:val="18"/>
                <w:szCs w:val="18"/>
                <w:u w:val="none"/>
              </w:rPr>
            </w:pPr>
          </w:p>
        </w:tc>
      </w:tr>
      <w:tr w14:paraId="64912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53BBC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7FA50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54D511DF">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4769A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BF1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0FD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2025年驻村第一书记和工作队派员单位所需经费</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701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AE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0C43F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E3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DF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B92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1AB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04B15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C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07A0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42BF8C6F">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2B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46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DEE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2BCB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63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C9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0.82</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13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0.82</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42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8970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5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893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0.82</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BF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0.82</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5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2888A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27C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87361">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958D">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7828">
            <w:pPr>
              <w:jc w:val="center"/>
              <w:rPr>
                <w:rFonts w:hint="eastAsia" w:ascii="宋体" w:hAnsi="宋体" w:eastAsia="宋体" w:cs="宋体"/>
                <w:i w:val="0"/>
                <w:iCs w:val="0"/>
                <w:color w:val="000000"/>
                <w:sz w:val="20"/>
                <w:szCs w:val="20"/>
                <w:u w:val="none"/>
              </w:rPr>
            </w:pPr>
          </w:p>
        </w:tc>
      </w:tr>
      <w:tr w14:paraId="4E458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28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1BF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768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150C9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68C68">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6F318E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保障驻村第一书记和工作队正常开展工作所需的交通、通讯、生活等基本经费，确保驻村干部扎实履职，助力巩固拓展脱贫攻坚成果同乡村振兴有效衔接。</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059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63CA7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1C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1B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2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13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B2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0A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6231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101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0C586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E9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4E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51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4C4C3">
            <w:pPr>
              <w:jc w:val="center"/>
              <w:rPr>
                <w:rFonts w:hint="eastAsia" w:ascii="宋体" w:hAnsi="宋体" w:eastAsia="宋体" w:cs="宋体"/>
                <w:i w:val="0"/>
                <w:iCs w:val="0"/>
                <w:color w:val="000000"/>
                <w:sz w:val="18"/>
                <w:szCs w:val="18"/>
                <w:u w:val="none"/>
              </w:rPr>
            </w:pPr>
          </w:p>
        </w:tc>
      </w:tr>
      <w:tr w14:paraId="525E2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92B9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ADF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B4D2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9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8D778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328A8">
            <w:pPr>
              <w:rPr>
                <w:rFonts w:hint="eastAsia" w:ascii="宋体" w:hAnsi="宋体" w:eastAsia="宋体" w:cs="宋体"/>
                <w:i w:val="0"/>
                <w:iCs w:val="0"/>
                <w:color w:val="000000"/>
                <w:sz w:val="18"/>
                <w:szCs w:val="18"/>
                <w:u w:val="none"/>
              </w:rPr>
            </w:pPr>
          </w:p>
        </w:tc>
      </w:tr>
      <w:tr w14:paraId="218C1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C6F2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DCB2CC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F329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保障驻村干部人数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5040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≥1人</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FCBE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1人</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D7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FA232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BB955">
            <w:pPr>
              <w:rPr>
                <w:rFonts w:hint="eastAsia" w:ascii="宋体" w:hAnsi="宋体" w:eastAsia="宋体" w:cs="宋体"/>
                <w:i w:val="0"/>
                <w:iCs w:val="0"/>
                <w:color w:val="000000"/>
                <w:sz w:val="18"/>
                <w:szCs w:val="18"/>
                <w:u w:val="none"/>
              </w:rPr>
            </w:pPr>
          </w:p>
        </w:tc>
      </w:tr>
      <w:tr w14:paraId="04479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7751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CE0113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DB568">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经费使用合规率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177A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989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A6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2E7D8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4BE9">
            <w:pPr>
              <w:rPr>
                <w:rFonts w:hint="eastAsia" w:ascii="宋体" w:hAnsi="宋体" w:eastAsia="宋体" w:cs="宋体"/>
                <w:i w:val="0"/>
                <w:iCs w:val="0"/>
                <w:color w:val="000000"/>
                <w:sz w:val="18"/>
                <w:szCs w:val="18"/>
                <w:u w:val="none"/>
              </w:rPr>
            </w:pPr>
          </w:p>
        </w:tc>
      </w:tr>
      <w:tr w14:paraId="49067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048B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6D66F9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D518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经费拨付及时率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7D8C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07CB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E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B46D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9B6CE">
            <w:pPr>
              <w:rPr>
                <w:rFonts w:hint="eastAsia" w:ascii="宋体" w:hAnsi="宋体" w:eastAsia="宋体" w:cs="宋体"/>
                <w:i w:val="0"/>
                <w:iCs w:val="0"/>
                <w:color w:val="000000"/>
                <w:sz w:val="18"/>
                <w:szCs w:val="18"/>
                <w:u w:val="none"/>
              </w:rPr>
            </w:pPr>
          </w:p>
        </w:tc>
      </w:tr>
      <w:tr w14:paraId="64669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A2C7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A934B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5032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成本控制率（实际/预算）</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20C2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6629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094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C684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9700D">
            <w:pPr>
              <w:rPr>
                <w:rFonts w:hint="eastAsia" w:ascii="宋体" w:hAnsi="宋体" w:eastAsia="宋体" w:cs="宋体"/>
                <w:i w:val="0"/>
                <w:iCs w:val="0"/>
                <w:color w:val="000000"/>
                <w:sz w:val="18"/>
                <w:szCs w:val="18"/>
                <w:u w:val="none"/>
              </w:rPr>
            </w:pPr>
          </w:p>
        </w:tc>
      </w:tr>
      <w:tr w14:paraId="22994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1825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26A70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D45F7">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6CB5B">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22A3F">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37E9A">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9F6FC1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9BAED">
            <w:pPr>
              <w:rPr>
                <w:rFonts w:hint="eastAsia" w:ascii="宋体" w:hAnsi="宋体" w:eastAsia="宋体" w:cs="宋体"/>
                <w:i w:val="0"/>
                <w:iCs w:val="0"/>
                <w:color w:val="000000"/>
                <w:sz w:val="18"/>
                <w:szCs w:val="18"/>
                <w:u w:val="none"/>
              </w:rPr>
            </w:pPr>
          </w:p>
        </w:tc>
      </w:tr>
      <w:tr w14:paraId="39CF6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F060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9A631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8FC2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解决群众急难愁盼问题数量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CE95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F2FA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DA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BE0CD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220AA">
            <w:pPr>
              <w:rPr>
                <w:rFonts w:hint="eastAsia" w:ascii="宋体" w:hAnsi="宋体" w:eastAsia="宋体" w:cs="宋体"/>
                <w:i w:val="0"/>
                <w:iCs w:val="0"/>
                <w:color w:val="000000"/>
                <w:sz w:val="18"/>
                <w:szCs w:val="18"/>
                <w:u w:val="none"/>
              </w:rPr>
            </w:pPr>
          </w:p>
        </w:tc>
      </w:tr>
      <w:tr w14:paraId="65BBD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0A17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6C1D5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1DC77">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FA171">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0850C">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E33F">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9EBDC4F">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7424F">
            <w:pPr>
              <w:rPr>
                <w:rFonts w:hint="eastAsia" w:ascii="宋体" w:hAnsi="宋体" w:eastAsia="宋体" w:cs="宋体"/>
                <w:i w:val="0"/>
                <w:iCs w:val="0"/>
                <w:color w:val="000000"/>
                <w:sz w:val="18"/>
                <w:szCs w:val="18"/>
                <w:u w:val="none"/>
              </w:rPr>
            </w:pPr>
          </w:p>
        </w:tc>
      </w:tr>
      <w:tr w14:paraId="589BF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A6F0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E678C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6965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驻村干部工作积极性提升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31B1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6715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6D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9ECA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BBB0C">
            <w:pPr>
              <w:rPr>
                <w:rFonts w:hint="eastAsia" w:ascii="宋体" w:hAnsi="宋体" w:eastAsia="宋体" w:cs="宋体"/>
                <w:i w:val="0"/>
                <w:iCs w:val="0"/>
                <w:color w:val="000000"/>
                <w:sz w:val="18"/>
                <w:szCs w:val="18"/>
                <w:u w:val="none"/>
              </w:rPr>
            </w:pPr>
          </w:p>
        </w:tc>
      </w:tr>
      <w:tr w14:paraId="0288D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DD94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60C109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0C116">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EC29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E790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94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20EF3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683EC">
            <w:pPr>
              <w:rPr>
                <w:rFonts w:hint="eastAsia" w:ascii="宋体" w:hAnsi="宋体" w:eastAsia="宋体" w:cs="宋体"/>
                <w:i w:val="0"/>
                <w:iCs w:val="0"/>
                <w:color w:val="000000"/>
                <w:sz w:val="18"/>
                <w:szCs w:val="18"/>
                <w:u w:val="none"/>
              </w:rPr>
            </w:pPr>
          </w:p>
        </w:tc>
      </w:tr>
      <w:tr w14:paraId="1ACDC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76E508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BFAF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4A56D6C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F410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50E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A57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工业转型升级绿色发展专项资金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EF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E2E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27B99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A23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B2D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98D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958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6510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A9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44EBE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39B99E6E">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77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7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9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641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65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B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08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4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49EA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38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54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E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1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A2FA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CF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30641">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17B7">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1EA88">
            <w:pPr>
              <w:jc w:val="center"/>
              <w:rPr>
                <w:rFonts w:hint="eastAsia" w:ascii="宋体" w:hAnsi="宋体" w:eastAsia="宋体" w:cs="宋体"/>
                <w:i w:val="0"/>
                <w:iCs w:val="0"/>
                <w:color w:val="000000"/>
                <w:sz w:val="20"/>
                <w:szCs w:val="20"/>
                <w:u w:val="none"/>
              </w:rPr>
            </w:pPr>
          </w:p>
        </w:tc>
      </w:tr>
      <w:tr w14:paraId="5B7D8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7C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72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51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4DB87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005AF">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67F1FA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通过专项资金引导工业企业实施节能降碳、清洁生产、资源综合利用等绿色化改造，推动传统产业转型升级，提升工业绿色发展水平。</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F105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已全部拨付到位，支持1家企业实施绿色化改造项目，完成节能技改、废水循环利用等建设内容。项目建成后，年节约标准煤约500吨，减少废水排放1.2万吨，企业单位产品能耗下降8%，达到预期环保和经济效益。</w:t>
            </w:r>
          </w:p>
        </w:tc>
      </w:tr>
      <w:tr w14:paraId="6F153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B00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CD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F7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B1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79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8F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B0AB9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39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3A502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09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44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3E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C7AF4">
            <w:pPr>
              <w:jc w:val="center"/>
              <w:rPr>
                <w:rFonts w:hint="eastAsia" w:ascii="宋体" w:hAnsi="宋体" w:eastAsia="宋体" w:cs="宋体"/>
                <w:i w:val="0"/>
                <w:iCs w:val="0"/>
                <w:color w:val="000000"/>
                <w:sz w:val="18"/>
                <w:szCs w:val="18"/>
                <w:u w:val="none"/>
              </w:rPr>
            </w:pPr>
          </w:p>
        </w:tc>
      </w:tr>
      <w:tr w14:paraId="688CC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1216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C6B8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1D81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63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E798C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9F40D">
            <w:pPr>
              <w:rPr>
                <w:rFonts w:hint="eastAsia" w:ascii="宋体" w:hAnsi="宋体" w:eastAsia="宋体" w:cs="宋体"/>
                <w:i w:val="0"/>
                <w:iCs w:val="0"/>
                <w:color w:val="000000"/>
                <w:sz w:val="18"/>
                <w:szCs w:val="18"/>
                <w:u w:val="none"/>
              </w:rPr>
            </w:pPr>
          </w:p>
        </w:tc>
      </w:tr>
      <w:tr w14:paraId="69516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92F9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FDF1D9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B636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支持绿色化改造项目数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110A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A019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53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160A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49676">
            <w:pPr>
              <w:rPr>
                <w:rFonts w:hint="eastAsia" w:ascii="宋体" w:hAnsi="宋体" w:eastAsia="宋体" w:cs="宋体"/>
                <w:i w:val="0"/>
                <w:iCs w:val="0"/>
                <w:color w:val="000000"/>
                <w:sz w:val="18"/>
                <w:szCs w:val="18"/>
                <w:u w:val="none"/>
              </w:rPr>
            </w:pPr>
          </w:p>
        </w:tc>
      </w:tr>
      <w:tr w14:paraId="2474C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14C8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F99E25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7917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A48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E520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8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7A3AE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93BE7">
            <w:pPr>
              <w:rPr>
                <w:rFonts w:hint="eastAsia" w:ascii="宋体" w:hAnsi="宋体" w:eastAsia="宋体" w:cs="宋体"/>
                <w:i w:val="0"/>
                <w:iCs w:val="0"/>
                <w:color w:val="000000"/>
                <w:sz w:val="18"/>
                <w:szCs w:val="18"/>
                <w:u w:val="none"/>
              </w:rPr>
            </w:pPr>
          </w:p>
        </w:tc>
      </w:tr>
      <w:tr w14:paraId="3E4CA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AADD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49009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7E62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9DC9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BD0B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21D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3F6C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B2810">
            <w:pPr>
              <w:rPr>
                <w:rFonts w:hint="eastAsia" w:ascii="宋体" w:hAnsi="宋体" w:eastAsia="宋体" w:cs="宋体"/>
                <w:i w:val="0"/>
                <w:iCs w:val="0"/>
                <w:color w:val="000000"/>
                <w:sz w:val="18"/>
                <w:szCs w:val="18"/>
                <w:u w:val="none"/>
              </w:rPr>
            </w:pPr>
          </w:p>
        </w:tc>
      </w:tr>
      <w:tr w14:paraId="69806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4B20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EB419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0A1B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4CA1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33万元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BB41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33万元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AE0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12C7E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7A432">
            <w:pPr>
              <w:rPr>
                <w:rFonts w:hint="eastAsia" w:ascii="宋体" w:hAnsi="宋体" w:eastAsia="宋体" w:cs="宋体"/>
                <w:i w:val="0"/>
                <w:iCs w:val="0"/>
                <w:color w:val="000000"/>
                <w:sz w:val="18"/>
                <w:szCs w:val="18"/>
                <w:u w:val="none"/>
              </w:rPr>
            </w:pPr>
          </w:p>
        </w:tc>
      </w:tr>
      <w:tr w14:paraId="63DCD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62C3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76408B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2D227">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F88F0">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ED41F">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89C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43C4EDE">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3458A">
            <w:pPr>
              <w:rPr>
                <w:rFonts w:hint="eastAsia" w:ascii="宋体" w:hAnsi="宋体" w:eastAsia="宋体" w:cs="宋体"/>
                <w:i w:val="0"/>
                <w:iCs w:val="0"/>
                <w:color w:val="000000"/>
                <w:sz w:val="18"/>
                <w:szCs w:val="18"/>
                <w:u w:val="none"/>
              </w:rPr>
            </w:pPr>
          </w:p>
        </w:tc>
      </w:tr>
      <w:tr w14:paraId="11BEC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CA4B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47A555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CA748">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带动工业企业绿色转型意识提升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DAAF3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4C5C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94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0D32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B1609">
            <w:pPr>
              <w:rPr>
                <w:rFonts w:hint="eastAsia" w:ascii="宋体" w:hAnsi="宋体" w:eastAsia="宋体" w:cs="宋体"/>
                <w:i w:val="0"/>
                <w:iCs w:val="0"/>
                <w:color w:val="000000"/>
                <w:sz w:val="18"/>
                <w:szCs w:val="18"/>
                <w:u w:val="none"/>
              </w:rPr>
            </w:pPr>
          </w:p>
        </w:tc>
      </w:tr>
      <w:tr w14:paraId="22C99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A6D3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10A06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D9D79">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C1339">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D665C">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CEC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1A2514B">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8F249">
            <w:pPr>
              <w:rPr>
                <w:rFonts w:hint="eastAsia" w:ascii="宋体" w:hAnsi="宋体" w:eastAsia="宋体" w:cs="宋体"/>
                <w:i w:val="0"/>
                <w:iCs w:val="0"/>
                <w:color w:val="000000"/>
                <w:sz w:val="18"/>
                <w:szCs w:val="18"/>
                <w:u w:val="none"/>
              </w:rPr>
            </w:pPr>
          </w:p>
        </w:tc>
      </w:tr>
      <w:tr w14:paraId="5EFF1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4FEC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E19B9D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9991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绿色制造长效运行机制</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569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建立完善</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DF160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企业已建立节能环保管理制度</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ED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FAFA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FF17">
            <w:pPr>
              <w:rPr>
                <w:rFonts w:hint="eastAsia" w:ascii="宋体" w:hAnsi="宋体" w:eastAsia="宋体" w:cs="宋体"/>
                <w:i w:val="0"/>
                <w:iCs w:val="0"/>
                <w:color w:val="000000"/>
                <w:sz w:val="18"/>
                <w:szCs w:val="18"/>
                <w:u w:val="none"/>
              </w:rPr>
            </w:pPr>
          </w:p>
        </w:tc>
      </w:tr>
      <w:tr w14:paraId="61BBF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2B07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7391FE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6F30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受益企业满意度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0ED9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2F13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DF7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1F72C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DC5EC">
            <w:pPr>
              <w:rPr>
                <w:rFonts w:hint="eastAsia" w:ascii="宋体" w:hAnsi="宋体" w:eastAsia="宋体" w:cs="宋体"/>
                <w:i w:val="0"/>
                <w:iCs w:val="0"/>
                <w:color w:val="000000"/>
                <w:sz w:val="18"/>
                <w:szCs w:val="18"/>
                <w:u w:val="none"/>
              </w:rPr>
            </w:pPr>
          </w:p>
        </w:tc>
      </w:tr>
      <w:tr w14:paraId="3E394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C8FBA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7A454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6FA91F0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3E0D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A18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5D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犍为经开区马边飞地化工园区基础设施建设项目（三期）</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C22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97A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5510A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57B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F36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5C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527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18A63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09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68C17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429512C6">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38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BA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7F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314D1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104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6A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6D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8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32E6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A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D8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65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99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5BC9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68C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1CD5">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1D3D">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CEC9">
            <w:pPr>
              <w:jc w:val="center"/>
              <w:rPr>
                <w:rFonts w:hint="eastAsia" w:ascii="宋体" w:hAnsi="宋体" w:eastAsia="宋体" w:cs="宋体"/>
                <w:i w:val="0"/>
                <w:iCs w:val="0"/>
                <w:color w:val="000000"/>
                <w:sz w:val="20"/>
                <w:szCs w:val="20"/>
                <w:u w:val="none"/>
              </w:rPr>
            </w:pPr>
          </w:p>
        </w:tc>
      </w:tr>
      <w:tr w14:paraId="78D47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735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D7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31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0D30E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4C300">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43A245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完成飞地化工园区三期基础设施配套建设，提升园区承载能力，满足入驻企业需求。</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CF8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8B1F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114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EC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818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15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F91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F21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0135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DB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59C39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FBA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FD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56E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9DD56">
            <w:pPr>
              <w:jc w:val="center"/>
              <w:rPr>
                <w:rFonts w:hint="eastAsia" w:ascii="宋体" w:hAnsi="宋体" w:eastAsia="宋体" w:cs="宋体"/>
                <w:i w:val="0"/>
                <w:iCs w:val="0"/>
                <w:color w:val="000000"/>
                <w:sz w:val="18"/>
                <w:szCs w:val="18"/>
                <w:u w:val="none"/>
              </w:rPr>
            </w:pPr>
          </w:p>
        </w:tc>
      </w:tr>
      <w:tr w14:paraId="5108F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26B2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2D64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8E10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35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0F7EF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CD173">
            <w:pPr>
              <w:rPr>
                <w:rFonts w:hint="eastAsia" w:ascii="宋体" w:hAnsi="宋体" w:eastAsia="宋体" w:cs="宋体"/>
                <w:i w:val="0"/>
                <w:iCs w:val="0"/>
                <w:color w:val="000000"/>
                <w:sz w:val="18"/>
                <w:szCs w:val="18"/>
                <w:u w:val="none"/>
              </w:rPr>
            </w:pPr>
          </w:p>
        </w:tc>
      </w:tr>
      <w:tr w14:paraId="49CD5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868A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61DF45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B2E6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新建园区道路长度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A26C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≥2公里</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593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≥2公里</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9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64541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49AE8">
            <w:pPr>
              <w:rPr>
                <w:rFonts w:hint="eastAsia" w:ascii="宋体" w:hAnsi="宋体" w:eastAsia="宋体" w:cs="宋体"/>
                <w:i w:val="0"/>
                <w:iCs w:val="0"/>
                <w:color w:val="000000"/>
                <w:sz w:val="18"/>
                <w:szCs w:val="18"/>
                <w:u w:val="none"/>
              </w:rPr>
            </w:pPr>
          </w:p>
        </w:tc>
      </w:tr>
      <w:tr w14:paraId="02535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6618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0F5CA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8F7B8">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工程竣工验收合格率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E547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BE38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1B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DA70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4950">
            <w:pPr>
              <w:rPr>
                <w:rFonts w:hint="eastAsia" w:ascii="宋体" w:hAnsi="宋体" w:eastAsia="宋体" w:cs="宋体"/>
                <w:i w:val="0"/>
                <w:iCs w:val="0"/>
                <w:color w:val="000000"/>
                <w:sz w:val="18"/>
                <w:szCs w:val="18"/>
                <w:u w:val="none"/>
              </w:rPr>
            </w:pPr>
          </w:p>
        </w:tc>
      </w:tr>
      <w:tr w14:paraId="3A2F4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FF784">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E541EB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51FE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工程按期完工率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9D53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416C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8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30469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31BAC">
            <w:pPr>
              <w:rPr>
                <w:rFonts w:hint="eastAsia" w:ascii="宋体" w:hAnsi="宋体" w:eastAsia="宋体" w:cs="宋体"/>
                <w:i w:val="0"/>
                <w:iCs w:val="0"/>
                <w:color w:val="000000"/>
                <w:sz w:val="18"/>
                <w:szCs w:val="18"/>
                <w:u w:val="none"/>
              </w:rPr>
            </w:pPr>
          </w:p>
        </w:tc>
      </w:tr>
      <w:tr w14:paraId="62F16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35DD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D53F37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BC02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0EB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2900万元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8F89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2900万元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0E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4683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F8E44">
            <w:pPr>
              <w:rPr>
                <w:rFonts w:hint="eastAsia" w:ascii="宋体" w:hAnsi="宋体" w:eastAsia="宋体" w:cs="宋体"/>
                <w:i w:val="0"/>
                <w:iCs w:val="0"/>
                <w:color w:val="000000"/>
                <w:sz w:val="18"/>
                <w:szCs w:val="18"/>
                <w:u w:val="none"/>
              </w:rPr>
            </w:pPr>
          </w:p>
        </w:tc>
      </w:tr>
      <w:tr w14:paraId="4E6F4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F628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062353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CBF79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带动园区招商引资新增投资额</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0CD0D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≥5亿元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E692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≥5亿元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7C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E88E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08616">
            <w:pPr>
              <w:rPr>
                <w:rFonts w:hint="eastAsia" w:ascii="宋体" w:hAnsi="宋体" w:eastAsia="宋体" w:cs="宋体"/>
                <w:i w:val="0"/>
                <w:iCs w:val="0"/>
                <w:color w:val="000000"/>
                <w:sz w:val="18"/>
                <w:szCs w:val="18"/>
                <w:u w:val="none"/>
              </w:rPr>
            </w:pPr>
          </w:p>
        </w:tc>
      </w:tr>
      <w:tr w14:paraId="3752F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C405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017543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95D45">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E5944">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E08CA">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67F0E">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6CF206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6E03D">
            <w:pPr>
              <w:rPr>
                <w:rFonts w:hint="eastAsia" w:ascii="宋体" w:hAnsi="宋体" w:eastAsia="宋体" w:cs="宋体"/>
                <w:i w:val="0"/>
                <w:iCs w:val="0"/>
                <w:color w:val="000000"/>
                <w:sz w:val="18"/>
                <w:szCs w:val="18"/>
                <w:u w:val="none"/>
              </w:rPr>
            </w:pPr>
          </w:p>
        </w:tc>
      </w:tr>
      <w:tr w14:paraId="2BB98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F5AB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1255C9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2F8A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污水收集处理率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4E5D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1A4A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E9B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D4148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E54B3">
            <w:pPr>
              <w:rPr>
                <w:rFonts w:hint="eastAsia" w:ascii="宋体" w:hAnsi="宋体" w:eastAsia="宋体" w:cs="宋体"/>
                <w:i w:val="0"/>
                <w:iCs w:val="0"/>
                <w:color w:val="000000"/>
                <w:sz w:val="18"/>
                <w:szCs w:val="18"/>
                <w:u w:val="none"/>
              </w:rPr>
            </w:pPr>
          </w:p>
        </w:tc>
      </w:tr>
      <w:tr w14:paraId="38A1F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54D8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6E8B69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AEA9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园区服务年限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13F0B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D285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按设计标准，满足长期使用</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5A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5A68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F78E5">
            <w:pPr>
              <w:rPr>
                <w:rFonts w:hint="eastAsia" w:ascii="宋体" w:hAnsi="宋体" w:eastAsia="宋体" w:cs="宋体"/>
                <w:i w:val="0"/>
                <w:iCs w:val="0"/>
                <w:color w:val="000000"/>
                <w:sz w:val="18"/>
                <w:szCs w:val="18"/>
                <w:u w:val="none"/>
              </w:rPr>
            </w:pPr>
          </w:p>
        </w:tc>
      </w:tr>
      <w:tr w14:paraId="27539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DE32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44FBB8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03C2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入驻企业满意度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BE2B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CC5C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D8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2123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82385">
            <w:pPr>
              <w:rPr>
                <w:rFonts w:hint="eastAsia" w:ascii="宋体" w:hAnsi="宋体" w:eastAsia="宋体" w:cs="宋体"/>
                <w:i w:val="0"/>
                <w:iCs w:val="0"/>
                <w:color w:val="000000"/>
                <w:sz w:val="18"/>
                <w:szCs w:val="18"/>
                <w:u w:val="none"/>
              </w:rPr>
            </w:pPr>
          </w:p>
        </w:tc>
      </w:tr>
      <w:tr w14:paraId="2F4A6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57869F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7C72C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6DF5CC1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2BDC8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C4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583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劳动园区及基础设施配套建设项目-污水处理建设工程强夯受损房屋补偿费</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C23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43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5C083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979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C9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9B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D0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2FA70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44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67268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3E9B7462">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E8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C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275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1E237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1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81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7A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A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73D39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7A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39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6D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45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4EF4C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B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DD25">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27CD">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92378">
            <w:pPr>
              <w:jc w:val="center"/>
              <w:rPr>
                <w:rFonts w:hint="eastAsia" w:ascii="宋体" w:hAnsi="宋体" w:eastAsia="宋体" w:cs="宋体"/>
                <w:i w:val="0"/>
                <w:iCs w:val="0"/>
                <w:color w:val="000000"/>
                <w:sz w:val="20"/>
                <w:szCs w:val="20"/>
                <w:u w:val="none"/>
              </w:rPr>
            </w:pPr>
          </w:p>
        </w:tc>
      </w:tr>
      <w:tr w14:paraId="7DC9F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494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90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61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14D0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3E85F">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126EEB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对污水厂强夯施工范围内受损房屋进行安全鉴定、价值评估，并依据标准给予合理补偿，消除矛盾，保障施工进度，维护社会稳定。</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B59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89AB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37D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96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9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B3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42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EB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31C3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F4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4721C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0D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ED7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75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5470A">
            <w:pPr>
              <w:jc w:val="center"/>
              <w:rPr>
                <w:rFonts w:hint="eastAsia" w:ascii="宋体" w:hAnsi="宋体" w:eastAsia="宋体" w:cs="宋体"/>
                <w:i w:val="0"/>
                <w:iCs w:val="0"/>
                <w:color w:val="000000"/>
                <w:sz w:val="18"/>
                <w:szCs w:val="18"/>
                <w:u w:val="none"/>
              </w:rPr>
            </w:pPr>
          </w:p>
        </w:tc>
      </w:tr>
      <w:tr w14:paraId="4A514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261D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D4F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A0F1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7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BF37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9B8C2">
            <w:pPr>
              <w:rPr>
                <w:rFonts w:hint="eastAsia" w:ascii="宋体" w:hAnsi="宋体" w:eastAsia="宋体" w:cs="宋体"/>
                <w:i w:val="0"/>
                <w:iCs w:val="0"/>
                <w:color w:val="000000"/>
                <w:sz w:val="18"/>
                <w:szCs w:val="18"/>
                <w:u w:val="none"/>
              </w:rPr>
            </w:pPr>
          </w:p>
        </w:tc>
      </w:tr>
      <w:tr w14:paraId="0F2C3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3EE1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A93F18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6FC0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受损房屋补偿户数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B2A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≥10户</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3167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≥10户</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743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22776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B2F05">
            <w:pPr>
              <w:rPr>
                <w:rFonts w:hint="eastAsia" w:ascii="宋体" w:hAnsi="宋体" w:eastAsia="宋体" w:cs="宋体"/>
                <w:i w:val="0"/>
                <w:iCs w:val="0"/>
                <w:color w:val="000000"/>
                <w:sz w:val="18"/>
                <w:szCs w:val="18"/>
                <w:u w:val="none"/>
              </w:rPr>
            </w:pPr>
          </w:p>
        </w:tc>
      </w:tr>
      <w:tr w14:paraId="560AD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3E44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0E16E0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C3F8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补偿标准合规率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B73D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4B36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44B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395B4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60B6D">
            <w:pPr>
              <w:rPr>
                <w:rFonts w:hint="eastAsia" w:ascii="宋体" w:hAnsi="宋体" w:eastAsia="宋体" w:cs="宋体"/>
                <w:i w:val="0"/>
                <w:iCs w:val="0"/>
                <w:color w:val="000000"/>
                <w:sz w:val="18"/>
                <w:szCs w:val="18"/>
                <w:u w:val="none"/>
              </w:rPr>
            </w:pPr>
          </w:p>
        </w:tc>
      </w:tr>
      <w:tr w14:paraId="04964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508E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FF816A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26EC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补偿资金发放及时率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3962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B09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7B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DC4C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0CDF8">
            <w:pPr>
              <w:rPr>
                <w:rFonts w:hint="eastAsia" w:ascii="宋体" w:hAnsi="宋体" w:eastAsia="宋体" w:cs="宋体"/>
                <w:i w:val="0"/>
                <w:iCs w:val="0"/>
                <w:color w:val="000000"/>
                <w:sz w:val="18"/>
                <w:szCs w:val="18"/>
                <w:u w:val="none"/>
              </w:rPr>
            </w:pPr>
          </w:p>
        </w:tc>
      </w:tr>
      <w:tr w14:paraId="00B4D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DFCE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49C63E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3DD7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4CC0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23.83万元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516F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23.83万元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5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061B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8FF04">
            <w:pPr>
              <w:rPr>
                <w:rFonts w:hint="eastAsia" w:ascii="宋体" w:hAnsi="宋体" w:eastAsia="宋体" w:cs="宋体"/>
                <w:i w:val="0"/>
                <w:iCs w:val="0"/>
                <w:color w:val="000000"/>
                <w:sz w:val="18"/>
                <w:szCs w:val="18"/>
                <w:u w:val="none"/>
              </w:rPr>
            </w:pPr>
          </w:p>
        </w:tc>
      </w:tr>
      <w:tr w14:paraId="723C0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5C64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96F435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F529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避免因阻工导致的工期延误损失</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7C7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有效避免</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9BD5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施工顺利，无延误</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34D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77F7F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6660A">
            <w:pPr>
              <w:rPr>
                <w:rFonts w:hint="eastAsia" w:ascii="宋体" w:hAnsi="宋体" w:eastAsia="宋体" w:cs="宋体"/>
                <w:i w:val="0"/>
                <w:iCs w:val="0"/>
                <w:color w:val="000000"/>
                <w:sz w:val="18"/>
                <w:szCs w:val="18"/>
                <w:u w:val="none"/>
              </w:rPr>
            </w:pPr>
          </w:p>
        </w:tc>
      </w:tr>
      <w:tr w14:paraId="6118A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BC6B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44FDB8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2099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1BCEA">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E19B0">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B9643">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2E6E229">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1F613">
            <w:pPr>
              <w:rPr>
                <w:rFonts w:hint="eastAsia" w:ascii="宋体" w:hAnsi="宋体" w:eastAsia="宋体" w:cs="宋体"/>
                <w:i w:val="0"/>
                <w:iCs w:val="0"/>
                <w:color w:val="000000"/>
                <w:sz w:val="18"/>
                <w:szCs w:val="18"/>
                <w:u w:val="none"/>
              </w:rPr>
            </w:pPr>
          </w:p>
        </w:tc>
      </w:tr>
      <w:tr w14:paraId="108D6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676E4">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52C349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F1EAF">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F9A68">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18CEA">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5B5C">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D7DAED8">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9DC73">
            <w:pPr>
              <w:rPr>
                <w:rFonts w:hint="eastAsia" w:ascii="宋体" w:hAnsi="宋体" w:eastAsia="宋体" w:cs="宋体"/>
                <w:i w:val="0"/>
                <w:iCs w:val="0"/>
                <w:color w:val="000000"/>
                <w:sz w:val="18"/>
                <w:szCs w:val="18"/>
                <w:u w:val="none"/>
              </w:rPr>
            </w:pPr>
          </w:p>
        </w:tc>
      </w:tr>
      <w:tr w14:paraId="13A13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D0E2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79869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90F2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群众对政府工作配合度提升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122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良好</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007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后续项目协调顺利</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D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DF9C5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E3AE5">
            <w:pPr>
              <w:rPr>
                <w:rFonts w:hint="eastAsia" w:ascii="宋体" w:hAnsi="宋体" w:eastAsia="宋体" w:cs="宋体"/>
                <w:i w:val="0"/>
                <w:iCs w:val="0"/>
                <w:color w:val="000000"/>
                <w:sz w:val="18"/>
                <w:szCs w:val="18"/>
                <w:u w:val="none"/>
              </w:rPr>
            </w:pPr>
          </w:p>
        </w:tc>
      </w:tr>
      <w:tr w14:paraId="32E35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4D4F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0B558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54B70">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3B7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C22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373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1111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C944C">
            <w:pPr>
              <w:rPr>
                <w:rFonts w:hint="eastAsia" w:ascii="宋体" w:hAnsi="宋体" w:eastAsia="宋体" w:cs="宋体"/>
                <w:i w:val="0"/>
                <w:iCs w:val="0"/>
                <w:color w:val="000000"/>
                <w:sz w:val="18"/>
                <w:szCs w:val="18"/>
                <w:u w:val="none"/>
              </w:rPr>
            </w:pPr>
          </w:p>
        </w:tc>
      </w:tr>
      <w:tr w14:paraId="2053D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1D413F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71B4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0C5F776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1C42C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C4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FD9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重点项目杆线迁改相关费用-青苗赔偿（永乐光辉和凤凰桥项目杆线迁改）</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9F5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5C4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648BC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DE7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7A5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27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677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6ACC8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F8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55ACB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06239783">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AAD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EF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ED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0D530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E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1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4.82</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2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4.82</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40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A3B6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B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66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4.82</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B3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4.82</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C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75632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89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92946">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C7C2">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5B1C5">
            <w:pPr>
              <w:jc w:val="center"/>
              <w:rPr>
                <w:rFonts w:hint="eastAsia" w:ascii="宋体" w:hAnsi="宋体" w:eastAsia="宋体" w:cs="宋体"/>
                <w:i w:val="0"/>
                <w:iCs w:val="0"/>
                <w:color w:val="000000"/>
                <w:sz w:val="20"/>
                <w:szCs w:val="20"/>
                <w:u w:val="none"/>
              </w:rPr>
            </w:pPr>
          </w:p>
        </w:tc>
      </w:tr>
      <w:tr w14:paraId="7AF60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39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90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88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CAD5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0561C">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4ECF4E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对永乐光辉、凤凰桥项目杆线迁改过程中涉及的青苗、林木等地面附着物进行合理补偿，妥善解决施工占地补偿问题，确保重点工程无障碍施工。</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3E5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08E58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0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414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8A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3C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94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C1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5A0C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76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3A3E5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E4F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03B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E1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F2E6">
            <w:pPr>
              <w:jc w:val="center"/>
              <w:rPr>
                <w:rFonts w:hint="eastAsia" w:ascii="宋体" w:hAnsi="宋体" w:eastAsia="宋体" w:cs="宋体"/>
                <w:i w:val="0"/>
                <w:iCs w:val="0"/>
                <w:color w:val="000000"/>
                <w:sz w:val="18"/>
                <w:szCs w:val="18"/>
                <w:u w:val="none"/>
              </w:rPr>
            </w:pPr>
          </w:p>
        </w:tc>
      </w:tr>
      <w:tr w14:paraId="17557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ECF2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F2B2C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3566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CB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B4D5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98FCA">
            <w:pPr>
              <w:rPr>
                <w:rFonts w:hint="eastAsia" w:ascii="宋体" w:hAnsi="宋体" w:eastAsia="宋体" w:cs="宋体"/>
                <w:i w:val="0"/>
                <w:iCs w:val="0"/>
                <w:color w:val="000000"/>
                <w:sz w:val="18"/>
                <w:szCs w:val="18"/>
                <w:u w:val="none"/>
              </w:rPr>
            </w:pPr>
          </w:p>
        </w:tc>
      </w:tr>
      <w:tr w14:paraId="70713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BF2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65A1C1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E8E7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补偿农户户数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FF5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≥15户</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6566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≥15户</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730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3058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67042">
            <w:pPr>
              <w:rPr>
                <w:rFonts w:hint="eastAsia" w:ascii="宋体" w:hAnsi="宋体" w:eastAsia="宋体" w:cs="宋体"/>
                <w:i w:val="0"/>
                <w:iCs w:val="0"/>
                <w:color w:val="000000"/>
                <w:sz w:val="18"/>
                <w:szCs w:val="18"/>
                <w:u w:val="none"/>
              </w:rPr>
            </w:pPr>
          </w:p>
        </w:tc>
      </w:tr>
      <w:tr w14:paraId="642DF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7C96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91BB30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23B6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补偿标准执行合规率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7A06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79A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D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6F78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0CD0C">
            <w:pPr>
              <w:rPr>
                <w:rFonts w:hint="eastAsia" w:ascii="宋体" w:hAnsi="宋体" w:eastAsia="宋体" w:cs="宋体"/>
                <w:i w:val="0"/>
                <w:iCs w:val="0"/>
                <w:color w:val="000000"/>
                <w:sz w:val="18"/>
                <w:szCs w:val="18"/>
                <w:u w:val="none"/>
              </w:rPr>
            </w:pPr>
          </w:p>
        </w:tc>
      </w:tr>
      <w:tr w14:paraId="4723D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CCE1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52DF72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19CF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补偿资金发放及时率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AD2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2307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AF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FB782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24BF">
            <w:pPr>
              <w:rPr>
                <w:rFonts w:hint="eastAsia" w:ascii="宋体" w:hAnsi="宋体" w:eastAsia="宋体" w:cs="宋体"/>
                <w:i w:val="0"/>
                <w:iCs w:val="0"/>
                <w:color w:val="000000"/>
                <w:sz w:val="18"/>
                <w:szCs w:val="18"/>
                <w:u w:val="none"/>
              </w:rPr>
            </w:pPr>
          </w:p>
        </w:tc>
      </w:tr>
      <w:tr w14:paraId="5A84A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8E31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466BE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0C32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040E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4.82万元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E00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4.82万元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C4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68AF1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B811E">
            <w:pPr>
              <w:rPr>
                <w:rFonts w:hint="eastAsia" w:ascii="宋体" w:hAnsi="宋体" w:eastAsia="宋体" w:cs="宋体"/>
                <w:i w:val="0"/>
                <w:iCs w:val="0"/>
                <w:color w:val="000000"/>
                <w:sz w:val="18"/>
                <w:szCs w:val="18"/>
                <w:u w:val="none"/>
              </w:rPr>
            </w:pPr>
          </w:p>
        </w:tc>
      </w:tr>
      <w:tr w14:paraId="3E07E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BD5E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6A7E70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39EE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避免因补偿纠纷导致的误工损失</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B58E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有效控制</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314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有效控制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0B2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AD06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6AB90">
            <w:pPr>
              <w:rPr>
                <w:rFonts w:hint="eastAsia" w:ascii="宋体" w:hAnsi="宋体" w:eastAsia="宋体" w:cs="宋体"/>
                <w:i w:val="0"/>
                <w:iCs w:val="0"/>
                <w:color w:val="000000"/>
                <w:sz w:val="18"/>
                <w:szCs w:val="18"/>
                <w:u w:val="none"/>
              </w:rPr>
            </w:pPr>
          </w:p>
        </w:tc>
      </w:tr>
      <w:tr w14:paraId="04A68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3E6F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A10D35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DE777">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51542">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749E1">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E24D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6358A4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2F198">
            <w:pPr>
              <w:rPr>
                <w:rFonts w:hint="eastAsia" w:ascii="宋体" w:hAnsi="宋体" w:eastAsia="宋体" w:cs="宋体"/>
                <w:i w:val="0"/>
                <w:iCs w:val="0"/>
                <w:color w:val="000000"/>
                <w:sz w:val="18"/>
                <w:szCs w:val="18"/>
                <w:u w:val="none"/>
              </w:rPr>
            </w:pPr>
          </w:p>
        </w:tc>
      </w:tr>
      <w:tr w14:paraId="7EB88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C998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F4D962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38307">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AE6D1">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EA707">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3F3C">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975ABC1">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6E96C">
            <w:pPr>
              <w:rPr>
                <w:rFonts w:hint="eastAsia" w:ascii="宋体" w:hAnsi="宋体" w:eastAsia="宋体" w:cs="宋体"/>
                <w:i w:val="0"/>
                <w:iCs w:val="0"/>
                <w:color w:val="000000"/>
                <w:sz w:val="18"/>
                <w:szCs w:val="18"/>
                <w:u w:val="none"/>
              </w:rPr>
            </w:pPr>
          </w:p>
        </w:tc>
      </w:tr>
      <w:tr w14:paraId="7D229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B484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F64731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E217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群众补偿满意度及后续配合度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55694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良好</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7E50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后续项目协调顺利</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3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442E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633F7">
            <w:pPr>
              <w:rPr>
                <w:rFonts w:hint="eastAsia" w:ascii="宋体" w:hAnsi="宋体" w:eastAsia="宋体" w:cs="宋体"/>
                <w:i w:val="0"/>
                <w:iCs w:val="0"/>
                <w:color w:val="000000"/>
                <w:sz w:val="18"/>
                <w:szCs w:val="18"/>
                <w:u w:val="none"/>
              </w:rPr>
            </w:pPr>
          </w:p>
        </w:tc>
      </w:tr>
      <w:tr w14:paraId="68F98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0BAC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0CBC7D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A2B0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受偿农户满意度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4901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4052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D5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5827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18E90">
            <w:pPr>
              <w:rPr>
                <w:rFonts w:hint="eastAsia" w:ascii="宋体" w:hAnsi="宋体" w:eastAsia="宋体" w:cs="宋体"/>
                <w:i w:val="0"/>
                <w:iCs w:val="0"/>
                <w:color w:val="000000"/>
                <w:sz w:val="18"/>
                <w:szCs w:val="18"/>
                <w:u w:val="none"/>
              </w:rPr>
            </w:pPr>
          </w:p>
        </w:tc>
      </w:tr>
      <w:tr w14:paraId="6D6F4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6A78EA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21B6D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496CC915">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708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518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68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乐山市2025年加力扩围促消费12条措施第一批市级资金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DE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F9C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49DD8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C8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93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957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AE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227FE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5C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1F6F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C93919D">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6F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33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89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00EE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5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1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972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E9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483C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36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3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54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0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362F7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C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4221D">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8183">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D5EB">
            <w:pPr>
              <w:jc w:val="center"/>
              <w:rPr>
                <w:rFonts w:hint="eastAsia" w:ascii="宋体" w:hAnsi="宋体" w:eastAsia="宋体" w:cs="宋体"/>
                <w:i w:val="0"/>
                <w:iCs w:val="0"/>
                <w:color w:val="000000"/>
                <w:sz w:val="20"/>
                <w:szCs w:val="20"/>
                <w:u w:val="none"/>
              </w:rPr>
            </w:pPr>
          </w:p>
        </w:tc>
      </w:tr>
      <w:tr w14:paraId="5A50A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FA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AC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AA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3AF67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01AF">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01B6CE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落实乐山市加力扩围促消费12条措施，通过发放消费券、支持重点商贸企业开展促销活动，带动县域消费增长，提振市场信心。</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1BA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EB19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F03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4E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E7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E4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384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81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3F11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29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2DA95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4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E7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7A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4D884">
            <w:pPr>
              <w:jc w:val="center"/>
              <w:rPr>
                <w:rFonts w:hint="eastAsia" w:ascii="宋体" w:hAnsi="宋体" w:eastAsia="宋体" w:cs="宋体"/>
                <w:i w:val="0"/>
                <w:iCs w:val="0"/>
                <w:color w:val="000000"/>
                <w:sz w:val="18"/>
                <w:szCs w:val="18"/>
                <w:u w:val="none"/>
              </w:rPr>
            </w:pPr>
          </w:p>
        </w:tc>
      </w:tr>
      <w:tr w14:paraId="27983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9987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6440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448A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71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6FB1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023EF">
            <w:pPr>
              <w:rPr>
                <w:rFonts w:hint="eastAsia" w:ascii="宋体" w:hAnsi="宋体" w:eastAsia="宋体" w:cs="宋体"/>
                <w:i w:val="0"/>
                <w:iCs w:val="0"/>
                <w:color w:val="000000"/>
                <w:sz w:val="18"/>
                <w:szCs w:val="18"/>
                <w:u w:val="none"/>
              </w:rPr>
            </w:pPr>
          </w:p>
        </w:tc>
      </w:tr>
      <w:tr w14:paraId="31CE9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391E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726B8D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ABE4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发放消费券金额</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CD38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9A4C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6.25万元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72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9172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C980C">
            <w:pPr>
              <w:rPr>
                <w:rFonts w:hint="eastAsia" w:ascii="宋体" w:hAnsi="宋体" w:eastAsia="宋体" w:cs="宋体"/>
                <w:i w:val="0"/>
                <w:iCs w:val="0"/>
                <w:color w:val="000000"/>
                <w:sz w:val="18"/>
                <w:szCs w:val="18"/>
                <w:u w:val="none"/>
              </w:rPr>
            </w:pPr>
          </w:p>
        </w:tc>
      </w:tr>
      <w:tr w14:paraId="1CFC6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70ED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80343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EB0D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资金使用合规率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1562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AA0F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20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27C7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A8F4F">
            <w:pPr>
              <w:rPr>
                <w:rFonts w:hint="eastAsia" w:ascii="宋体" w:hAnsi="宋体" w:eastAsia="宋体" w:cs="宋体"/>
                <w:i w:val="0"/>
                <w:iCs w:val="0"/>
                <w:color w:val="000000"/>
                <w:sz w:val="18"/>
                <w:szCs w:val="18"/>
                <w:u w:val="none"/>
              </w:rPr>
            </w:pPr>
          </w:p>
        </w:tc>
      </w:tr>
      <w:tr w14:paraId="1F20F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0C88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A15A1B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1131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资金拨付/活动开展及时率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4042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E35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35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977F0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B247F">
            <w:pPr>
              <w:rPr>
                <w:rFonts w:hint="eastAsia" w:ascii="宋体" w:hAnsi="宋体" w:eastAsia="宋体" w:cs="宋体"/>
                <w:i w:val="0"/>
                <w:iCs w:val="0"/>
                <w:color w:val="000000"/>
                <w:sz w:val="18"/>
                <w:szCs w:val="18"/>
                <w:u w:val="none"/>
              </w:rPr>
            </w:pPr>
          </w:p>
        </w:tc>
      </w:tr>
      <w:tr w14:paraId="6567F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022F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F9B8D6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EC51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C14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6.25万元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6B3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6.25万元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BB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89F8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9D15E">
            <w:pPr>
              <w:rPr>
                <w:rFonts w:hint="eastAsia" w:ascii="宋体" w:hAnsi="宋体" w:eastAsia="宋体" w:cs="宋体"/>
                <w:i w:val="0"/>
                <w:iCs w:val="0"/>
                <w:color w:val="000000"/>
                <w:sz w:val="18"/>
                <w:szCs w:val="18"/>
                <w:u w:val="none"/>
              </w:rPr>
            </w:pPr>
          </w:p>
        </w:tc>
      </w:tr>
      <w:tr w14:paraId="48F56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E0C4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B4B351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D186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直接带动消费金额（杠杆率）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55D6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≥1:20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43B5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1:32（6.25万元带动约200万元）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B7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51A8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CCB5">
            <w:pPr>
              <w:rPr>
                <w:rFonts w:hint="eastAsia" w:ascii="宋体" w:hAnsi="宋体" w:eastAsia="宋体" w:cs="宋体"/>
                <w:i w:val="0"/>
                <w:iCs w:val="0"/>
                <w:color w:val="000000"/>
                <w:sz w:val="18"/>
                <w:szCs w:val="18"/>
                <w:u w:val="none"/>
              </w:rPr>
            </w:pPr>
          </w:p>
        </w:tc>
      </w:tr>
      <w:tr w14:paraId="3D69D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63C8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5537B1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3889D">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3CA5E">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DB3C6">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3A216">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7F50131">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A6035">
            <w:pPr>
              <w:rPr>
                <w:rFonts w:hint="eastAsia" w:ascii="宋体" w:hAnsi="宋体" w:eastAsia="宋体" w:cs="宋体"/>
                <w:i w:val="0"/>
                <w:iCs w:val="0"/>
                <w:color w:val="000000"/>
                <w:sz w:val="18"/>
                <w:szCs w:val="18"/>
                <w:u w:val="none"/>
              </w:rPr>
            </w:pPr>
          </w:p>
        </w:tc>
      </w:tr>
      <w:tr w14:paraId="2088B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5F0D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E83CEF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22621">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CAA91">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DDC96">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54CA2">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26A34FB">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67CD5">
            <w:pPr>
              <w:rPr>
                <w:rFonts w:hint="eastAsia" w:ascii="宋体" w:hAnsi="宋体" w:eastAsia="宋体" w:cs="宋体"/>
                <w:i w:val="0"/>
                <w:iCs w:val="0"/>
                <w:color w:val="000000"/>
                <w:sz w:val="18"/>
                <w:szCs w:val="18"/>
                <w:u w:val="none"/>
              </w:rPr>
            </w:pPr>
          </w:p>
        </w:tc>
      </w:tr>
      <w:tr w14:paraId="29E4E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4DB8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238D3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0DE1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促消费长效机制</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C3A14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初步建立</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1E3B8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初步建立</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2A3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78D3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2EF1E">
            <w:pPr>
              <w:rPr>
                <w:rFonts w:hint="eastAsia" w:ascii="宋体" w:hAnsi="宋体" w:eastAsia="宋体" w:cs="宋体"/>
                <w:i w:val="0"/>
                <w:iCs w:val="0"/>
                <w:color w:val="000000"/>
                <w:sz w:val="18"/>
                <w:szCs w:val="18"/>
                <w:u w:val="none"/>
              </w:rPr>
            </w:pPr>
          </w:p>
        </w:tc>
      </w:tr>
      <w:tr w14:paraId="39B7E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FF2B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5833FF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D98D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参与活动消费者满意度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6239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2507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98F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1F10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F333C">
            <w:pPr>
              <w:rPr>
                <w:rFonts w:hint="eastAsia" w:ascii="宋体" w:hAnsi="宋体" w:eastAsia="宋体" w:cs="宋体"/>
                <w:i w:val="0"/>
                <w:iCs w:val="0"/>
                <w:color w:val="000000"/>
                <w:sz w:val="18"/>
                <w:szCs w:val="18"/>
                <w:u w:val="none"/>
              </w:rPr>
            </w:pPr>
          </w:p>
        </w:tc>
      </w:tr>
      <w:tr w14:paraId="4A6F6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365515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07D5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14295DA7">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5A474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E80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6C3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马边百兴精神病医院项目外围场地平整工程资金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8A2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D9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6D0F9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78B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72B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4A9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3F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23259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57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2D18E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0346DD1">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B6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0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C5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1ECE6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AF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D2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93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01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2E319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67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7B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50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30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88BB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C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A5475">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41EBA">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96162">
            <w:pPr>
              <w:jc w:val="center"/>
              <w:rPr>
                <w:rFonts w:hint="eastAsia" w:ascii="宋体" w:hAnsi="宋体" w:eastAsia="宋体" w:cs="宋体"/>
                <w:i w:val="0"/>
                <w:iCs w:val="0"/>
                <w:color w:val="000000"/>
                <w:sz w:val="20"/>
                <w:szCs w:val="20"/>
                <w:u w:val="none"/>
              </w:rPr>
            </w:pPr>
          </w:p>
        </w:tc>
      </w:tr>
      <w:tr w14:paraId="148A5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401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B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4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456D0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BB3FF">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17BCC5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完成马边百兴精神病医院项目外围场地平整工程，包括土方开挖、回填、场地粗平及必要护坡等，保障医院主体工程顺利进场施工。</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469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27C2F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CC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D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54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3D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3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AF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96731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5E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1BC5C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00C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49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E5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87B70">
            <w:pPr>
              <w:jc w:val="center"/>
              <w:rPr>
                <w:rFonts w:hint="eastAsia" w:ascii="宋体" w:hAnsi="宋体" w:eastAsia="宋体" w:cs="宋体"/>
                <w:i w:val="0"/>
                <w:iCs w:val="0"/>
                <w:color w:val="000000"/>
                <w:sz w:val="18"/>
                <w:szCs w:val="18"/>
                <w:u w:val="none"/>
              </w:rPr>
            </w:pPr>
          </w:p>
        </w:tc>
      </w:tr>
      <w:tr w14:paraId="3D3F8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E098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021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317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78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40E87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C6F61">
            <w:pPr>
              <w:rPr>
                <w:rFonts w:hint="eastAsia" w:ascii="宋体" w:hAnsi="宋体" w:eastAsia="宋体" w:cs="宋体"/>
                <w:i w:val="0"/>
                <w:iCs w:val="0"/>
                <w:color w:val="000000"/>
                <w:sz w:val="18"/>
                <w:szCs w:val="18"/>
                <w:u w:val="none"/>
              </w:rPr>
            </w:pPr>
          </w:p>
        </w:tc>
      </w:tr>
      <w:tr w14:paraId="414D3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834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628D30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1CCE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场地平整面积</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B335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≥5000平方米</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7A5F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≥5000平方米</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8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9458E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DEC48">
            <w:pPr>
              <w:rPr>
                <w:rFonts w:hint="eastAsia" w:ascii="宋体" w:hAnsi="宋体" w:eastAsia="宋体" w:cs="宋体"/>
                <w:i w:val="0"/>
                <w:iCs w:val="0"/>
                <w:color w:val="000000"/>
                <w:sz w:val="18"/>
                <w:szCs w:val="18"/>
                <w:u w:val="none"/>
              </w:rPr>
            </w:pPr>
          </w:p>
        </w:tc>
      </w:tr>
      <w:tr w14:paraId="6CCF9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33CB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1572A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445A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场地平整验收合格率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6CB1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9C79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75E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2BC0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D97C5">
            <w:pPr>
              <w:rPr>
                <w:rFonts w:hint="eastAsia" w:ascii="宋体" w:hAnsi="宋体" w:eastAsia="宋体" w:cs="宋体"/>
                <w:i w:val="0"/>
                <w:iCs w:val="0"/>
                <w:color w:val="000000"/>
                <w:sz w:val="18"/>
                <w:szCs w:val="18"/>
                <w:u w:val="none"/>
              </w:rPr>
            </w:pPr>
          </w:p>
        </w:tc>
      </w:tr>
      <w:tr w14:paraId="7A4B8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FDF7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B5452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6109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工程按期完工率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3E0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053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70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5F4F4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E78B2">
            <w:pPr>
              <w:rPr>
                <w:rFonts w:hint="eastAsia" w:ascii="宋体" w:hAnsi="宋体" w:eastAsia="宋体" w:cs="宋体"/>
                <w:i w:val="0"/>
                <w:iCs w:val="0"/>
                <w:color w:val="000000"/>
                <w:sz w:val="18"/>
                <w:szCs w:val="18"/>
                <w:u w:val="none"/>
              </w:rPr>
            </w:pPr>
          </w:p>
        </w:tc>
      </w:tr>
      <w:tr w14:paraId="357BF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6122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972AE7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734E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E396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39.43万元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C86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39.43万元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C2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C0936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DA6EB">
            <w:pPr>
              <w:rPr>
                <w:rFonts w:hint="eastAsia" w:ascii="宋体" w:hAnsi="宋体" w:eastAsia="宋体" w:cs="宋体"/>
                <w:i w:val="0"/>
                <w:iCs w:val="0"/>
                <w:color w:val="000000"/>
                <w:sz w:val="18"/>
                <w:szCs w:val="18"/>
                <w:u w:val="none"/>
              </w:rPr>
            </w:pPr>
          </w:p>
        </w:tc>
      </w:tr>
      <w:tr w14:paraId="7570F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8AC1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E19ABF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9F1FD">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94D44">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A8262">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5D75">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8AD7963">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8B421">
            <w:pPr>
              <w:rPr>
                <w:rFonts w:hint="eastAsia" w:ascii="宋体" w:hAnsi="宋体" w:eastAsia="宋体" w:cs="宋体"/>
                <w:i w:val="0"/>
                <w:iCs w:val="0"/>
                <w:color w:val="000000"/>
                <w:sz w:val="18"/>
                <w:szCs w:val="18"/>
                <w:u w:val="none"/>
              </w:rPr>
            </w:pPr>
          </w:p>
        </w:tc>
      </w:tr>
      <w:tr w14:paraId="0BF38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84D5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4A1556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4D38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改善区域医疗服务基础设施</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181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有效改善</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635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有效改善</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52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F196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0BDEC">
            <w:pPr>
              <w:rPr>
                <w:rFonts w:hint="eastAsia" w:ascii="宋体" w:hAnsi="宋体" w:eastAsia="宋体" w:cs="宋体"/>
                <w:i w:val="0"/>
                <w:iCs w:val="0"/>
                <w:color w:val="000000"/>
                <w:sz w:val="18"/>
                <w:szCs w:val="18"/>
                <w:u w:val="none"/>
              </w:rPr>
            </w:pPr>
          </w:p>
        </w:tc>
      </w:tr>
      <w:tr w14:paraId="79F6D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62DC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2CC1C6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D31A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场地扬尘控制与水土保持</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275F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符合环保要求</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E450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符合环保要求</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9A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FACCC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2EA06">
            <w:pPr>
              <w:rPr>
                <w:rFonts w:hint="eastAsia" w:ascii="宋体" w:hAnsi="宋体" w:eastAsia="宋体" w:cs="宋体"/>
                <w:i w:val="0"/>
                <w:iCs w:val="0"/>
                <w:color w:val="000000"/>
                <w:sz w:val="18"/>
                <w:szCs w:val="18"/>
                <w:u w:val="none"/>
              </w:rPr>
            </w:pPr>
          </w:p>
        </w:tc>
      </w:tr>
      <w:tr w14:paraId="5DB20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E8F7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93A4A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D477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场地使用期限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8119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5F4B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≥10年</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2E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2BEB2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0012A">
            <w:pPr>
              <w:rPr>
                <w:rFonts w:hint="eastAsia" w:ascii="宋体" w:hAnsi="宋体" w:eastAsia="宋体" w:cs="宋体"/>
                <w:i w:val="0"/>
                <w:iCs w:val="0"/>
                <w:color w:val="000000"/>
                <w:sz w:val="18"/>
                <w:szCs w:val="18"/>
                <w:u w:val="none"/>
              </w:rPr>
            </w:pPr>
          </w:p>
        </w:tc>
      </w:tr>
      <w:tr w14:paraId="67750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1406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CFA53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6D8D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项目业主（医院建设方）满意度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7C8B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628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5A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F56F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F051">
            <w:pPr>
              <w:rPr>
                <w:rFonts w:hint="eastAsia" w:ascii="宋体" w:hAnsi="宋体" w:eastAsia="宋体" w:cs="宋体"/>
                <w:i w:val="0"/>
                <w:iCs w:val="0"/>
                <w:color w:val="000000"/>
                <w:sz w:val="18"/>
                <w:szCs w:val="18"/>
                <w:u w:val="none"/>
              </w:rPr>
            </w:pPr>
          </w:p>
        </w:tc>
      </w:tr>
      <w:tr w14:paraId="1922B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4E18DB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1AB9D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255A8536">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95BB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84C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590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马边福来美丽乡村产业扶贫项目奖补资金项目</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B86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B04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6B1BB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C5B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60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2B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6B0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40411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34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12E13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73D555AE">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C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33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3A1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14C5B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8B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AA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B3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BF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3DDF0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6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D91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C1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0A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4971F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B5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8FEE">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C502">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75E69">
            <w:pPr>
              <w:jc w:val="center"/>
              <w:rPr>
                <w:rFonts w:hint="eastAsia" w:ascii="宋体" w:hAnsi="宋体" w:eastAsia="宋体" w:cs="宋体"/>
                <w:i w:val="0"/>
                <w:iCs w:val="0"/>
                <w:color w:val="000000"/>
                <w:sz w:val="20"/>
                <w:szCs w:val="20"/>
                <w:u w:val="none"/>
              </w:rPr>
            </w:pPr>
          </w:p>
        </w:tc>
      </w:tr>
      <w:tr w14:paraId="47807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F8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5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6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5CBDB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CEC1D">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1CBC95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通过奖补资金支持福来美丽乡村产业扶贫项目建设，完善乡村旅游基础设施，发展特色产业，带动当地农户增收，巩固拓展脱贫攻坚成果同乡村振兴有效衔接。</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D33C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已按计划完成建设内容，奖补资金300万元全部拨付到位，用于支持民宿改造、景观提升、农产品展销中心等建设。项目带动周边农户就业50余人，村集体经济增收明显，游客接待量提升30%以上，群众满意度较高。</w:t>
            </w:r>
          </w:p>
        </w:tc>
      </w:tr>
      <w:tr w14:paraId="37C96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D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AA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C8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4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29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B3D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2141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3D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74466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EC0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3E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E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464F7">
            <w:pPr>
              <w:jc w:val="center"/>
              <w:rPr>
                <w:rFonts w:hint="eastAsia" w:ascii="宋体" w:hAnsi="宋体" w:eastAsia="宋体" w:cs="宋体"/>
                <w:i w:val="0"/>
                <w:iCs w:val="0"/>
                <w:color w:val="000000"/>
                <w:sz w:val="18"/>
                <w:szCs w:val="18"/>
                <w:u w:val="none"/>
              </w:rPr>
            </w:pPr>
          </w:p>
        </w:tc>
      </w:tr>
      <w:tr w14:paraId="20409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B99C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37E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590D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039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36A7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B2551">
            <w:pPr>
              <w:rPr>
                <w:rFonts w:hint="eastAsia" w:ascii="宋体" w:hAnsi="宋体" w:eastAsia="宋体" w:cs="宋体"/>
                <w:i w:val="0"/>
                <w:iCs w:val="0"/>
                <w:color w:val="000000"/>
                <w:sz w:val="18"/>
                <w:szCs w:val="18"/>
                <w:u w:val="none"/>
              </w:rPr>
            </w:pPr>
          </w:p>
        </w:tc>
      </w:tr>
      <w:tr w14:paraId="2612E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49A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0727E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F238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支持建设子项目数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A3BD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4B0F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6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05190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8BC91">
            <w:pPr>
              <w:rPr>
                <w:rFonts w:hint="eastAsia" w:ascii="宋体" w:hAnsi="宋体" w:eastAsia="宋体" w:cs="宋体"/>
                <w:i w:val="0"/>
                <w:iCs w:val="0"/>
                <w:color w:val="000000"/>
                <w:sz w:val="18"/>
                <w:szCs w:val="18"/>
                <w:u w:val="none"/>
              </w:rPr>
            </w:pPr>
          </w:p>
        </w:tc>
      </w:tr>
      <w:tr w14:paraId="101D8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E69C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AA7E9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CC69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F7AE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6206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E0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A542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E317B">
            <w:pPr>
              <w:rPr>
                <w:rFonts w:hint="eastAsia" w:ascii="宋体" w:hAnsi="宋体" w:eastAsia="宋体" w:cs="宋体"/>
                <w:i w:val="0"/>
                <w:iCs w:val="0"/>
                <w:color w:val="000000"/>
                <w:sz w:val="18"/>
                <w:szCs w:val="18"/>
                <w:u w:val="none"/>
              </w:rPr>
            </w:pPr>
          </w:p>
        </w:tc>
      </w:tr>
      <w:tr w14:paraId="40BE4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036B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122FEF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58BD8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106D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23D3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35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14B4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C12A2">
            <w:pPr>
              <w:rPr>
                <w:rFonts w:hint="eastAsia" w:ascii="宋体" w:hAnsi="宋体" w:eastAsia="宋体" w:cs="宋体"/>
                <w:i w:val="0"/>
                <w:iCs w:val="0"/>
                <w:color w:val="000000"/>
                <w:sz w:val="18"/>
                <w:szCs w:val="18"/>
                <w:u w:val="none"/>
              </w:rPr>
            </w:pPr>
          </w:p>
        </w:tc>
      </w:tr>
      <w:tr w14:paraId="5D3CE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D3D7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B2D18E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ECDF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成本控制率（实际/预算）</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5F72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F35F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6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E49F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6E641">
            <w:pPr>
              <w:rPr>
                <w:rFonts w:hint="eastAsia" w:ascii="宋体" w:hAnsi="宋体" w:eastAsia="宋体" w:cs="宋体"/>
                <w:i w:val="0"/>
                <w:iCs w:val="0"/>
                <w:color w:val="000000"/>
                <w:sz w:val="18"/>
                <w:szCs w:val="18"/>
                <w:u w:val="none"/>
              </w:rPr>
            </w:pPr>
          </w:p>
        </w:tc>
      </w:tr>
      <w:tr w14:paraId="7F3D6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7315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BF3F64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2F45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带动村集体经济年增收</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E8FF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038B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6.2万元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0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3D525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98EAD">
            <w:pPr>
              <w:rPr>
                <w:rFonts w:hint="eastAsia" w:ascii="宋体" w:hAnsi="宋体" w:eastAsia="宋体" w:cs="宋体"/>
                <w:i w:val="0"/>
                <w:iCs w:val="0"/>
                <w:color w:val="000000"/>
                <w:sz w:val="18"/>
                <w:szCs w:val="18"/>
                <w:u w:val="none"/>
              </w:rPr>
            </w:pPr>
          </w:p>
        </w:tc>
      </w:tr>
      <w:tr w14:paraId="1C5CD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3DEE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E2F5DD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39550">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96D2D">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887F2">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5B5C">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4FEC41A">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114AA">
            <w:pPr>
              <w:rPr>
                <w:rFonts w:hint="eastAsia" w:ascii="宋体" w:hAnsi="宋体" w:eastAsia="宋体" w:cs="宋体"/>
                <w:i w:val="0"/>
                <w:iCs w:val="0"/>
                <w:color w:val="000000"/>
                <w:sz w:val="18"/>
                <w:szCs w:val="18"/>
                <w:u w:val="none"/>
              </w:rPr>
            </w:pPr>
          </w:p>
        </w:tc>
      </w:tr>
      <w:tr w14:paraId="45FCF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CB79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090FBD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4F6F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乡村旅游环境提升达标率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306C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A830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D9C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ED42C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83747">
            <w:pPr>
              <w:rPr>
                <w:rFonts w:hint="eastAsia" w:ascii="宋体" w:hAnsi="宋体" w:eastAsia="宋体" w:cs="宋体"/>
                <w:i w:val="0"/>
                <w:iCs w:val="0"/>
                <w:color w:val="000000"/>
                <w:sz w:val="18"/>
                <w:szCs w:val="18"/>
                <w:u w:val="none"/>
              </w:rPr>
            </w:pPr>
          </w:p>
        </w:tc>
      </w:tr>
      <w:tr w14:paraId="42AE1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180C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6FA5C7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72E8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项目持续运营年限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A058E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936BC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项目已建立长效管护机制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A3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A99C6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6847C">
            <w:pPr>
              <w:rPr>
                <w:rFonts w:hint="eastAsia" w:ascii="宋体" w:hAnsi="宋体" w:eastAsia="宋体" w:cs="宋体"/>
                <w:i w:val="0"/>
                <w:iCs w:val="0"/>
                <w:color w:val="000000"/>
                <w:sz w:val="18"/>
                <w:szCs w:val="18"/>
                <w:u w:val="none"/>
              </w:rPr>
            </w:pPr>
          </w:p>
        </w:tc>
      </w:tr>
      <w:tr w14:paraId="6F18D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772B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F96384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F442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受益群众满意度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7ACA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4A8C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92%</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10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CD4A3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37642">
            <w:pPr>
              <w:rPr>
                <w:rFonts w:hint="eastAsia" w:ascii="宋体" w:hAnsi="宋体" w:eastAsia="宋体" w:cs="宋体"/>
                <w:i w:val="0"/>
                <w:iCs w:val="0"/>
                <w:color w:val="000000"/>
                <w:sz w:val="18"/>
                <w:szCs w:val="18"/>
                <w:u w:val="none"/>
              </w:rPr>
            </w:pPr>
          </w:p>
        </w:tc>
      </w:tr>
      <w:tr w14:paraId="78308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62CF64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43350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415E3DC4">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003C5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50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222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马边彝族自治县劳动园区及基础设施配套项目</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29D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497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38390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F85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888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867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F54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4BFD1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19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5E548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7A3BCD8A">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44D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52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D4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6FEA2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D2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40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322.36</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63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322.36</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7A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10FC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E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1E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322.36</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6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322.36</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4A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0282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F2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49F8D">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C4F67">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102B5">
            <w:pPr>
              <w:jc w:val="center"/>
              <w:rPr>
                <w:rFonts w:hint="eastAsia" w:ascii="宋体" w:hAnsi="宋体" w:eastAsia="宋体" w:cs="宋体"/>
                <w:i w:val="0"/>
                <w:iCs w:val="0"/>
                <w:color w:val="000000"/>
                <w:sz w:val="20"/>
                <w:szCs w:val="20"/>
                <w:u w:val="none"/>
              </w:rPr>
            </w:pPr>
          </w:p>
        </w:tc>
      </w:tr>
      <w:tr w14:paraId="64E38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5F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71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700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8E30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89C3B">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761B3B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完善劳动园区基础设施配套，包括新建园区道路、排水管网、场地平整等，提升园区承载能力，满足入驻企业需求。</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7A56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08502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7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66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E8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8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F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DB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2D009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D22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46C35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AB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A5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7E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9F3B2">
            <w:pPr>
              <w:jc w:val="center"/>
              <w:rPr>
                <w:rFonts w:hint="eastAsia" w:ascii="宋体" w:hAnsi="宋体" w:eastAsia="宋体" w:cs="宋体"/>
                <w:i w:val="0"/>
                <w:iCs w:val="0"/>
                <w:color w:val="000000"/>
                <w:sz w:val="18"/>
                <w:szCs w:val="18"/>
                <w:u w:val="none"/>
              </w:rPr>
            </w:pPr>
          </w:p>
        </w:tc>
      </w:tr>
      <w:tr w14:paraId="0ECF0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586D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D17C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B7F7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3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2165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441C2">
            <w:pPr>
              <w:rPr>
                <w:rFonts w:hint="eastAsia" w:ascii="宋体" w:hAnsi="宋体" w:eastAsia="宋体" w:cs="宋体"/>
                <w:i w:val="0"/>
                <w:iCs w:val="0"/>
                <w:color w:val="000000"/>
                <w:sz w:val="18"/>
                <w:szCs w:val="18"/>
                <w:u w:val="none"/>
              </w:rPr>
            </w:pPr>
          </w:p>
        </w:tc>
      </w:tr>
      <w:tr w14:paraId="6258F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0B62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B1E98D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CEC4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新建园区道路长度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1B35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≥0.5公里</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0E41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≥0.5公里</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D4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29C2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4D76C">
            <w:pPr>
              <w:rPr>
                <w:rFonts w:hint="eastAsia" w:ascii="宋体" w:hAnsi="宋体" w:eastAsia="宋体" w:cs="宋体"/>
                <w:i w:val="0"/>
                <w:iCs w:val="0"/>
                <w:color w:val="000000"/>
                <w:sz w:val="18"/>
                <w:szCs w:val="18"/>
                <w:u w:val="none"/>
              </w:rPr>
            </w:pPr>
          </w:p>
        </w:tc>
      </w:tr>
      <w:tr w14:paraId="65638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7C23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20C492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A02D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工程竣工验收合格率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40EB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3AB3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8A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CE79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B86AB">
            <w:pPr>
              <w:rPr>
                <w:rFonts w:hint="eastAsia" w:ascii="宋体" w:hAnsi="宋体" w:eastAsia="宋体" w:cs="宋体"/>
                <w:i w:val="0"/>
                <w:iCs w:val="0"/>
                <w:color w:val="000000"/>
                <w:sz w:val="18"/>
                <w:szCs w:val="18"/>
                <w:u w:val="none"/>
              </w:rPr>
            </w:pPr>
          </w:p>
        </w:tc>
      </w:tr>
      <w:tr w14:paraId="5EEA4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F5F9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B082C4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7C8C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工程按期完工率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11F6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2635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10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2496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C07DF">
            <w:pPr>
              <w:rPr>
                <w:rFonts w:hint="eastAsia" w:ascii="宋体" w:hAnsi="宋体" w:eastAsia="宋体" w:cs="宋体"/>
                <w:i w:val="0"/>
                <w:iCs w:val="0"/>
                <w:color w:val="000000"/>
                <w:sz w:val="18"/>
                <w:szCs w:val="18"/>
                <w:u w:val="none"/>
              </w:rPr>
            </w:pPr>
          </w:p>
        </w:tc>
      </w:tr>
      <w:tr w14:paraId="0C708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1E72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4DF523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F86D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FE1B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322.36万元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C3D0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322.36万元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50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D674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522EB">
            <w:pPr>
              <w:rPr>
                <w:rFonts w:hint="eastAsia" w:ascii="宋体" w:hAnsi="宋体" w:eastAsia="宋体" w:cs="宋体"/>
                <w:i w:val="0"/>
                <w:iCs w:val="0"/>
                <w:color w:val="000000"/>
                <w:sz w:val="18"/>
                <w:szCs w:val="18"/>
                <w:u w:val="none"/>
              </w:rPr>
            </w:pPr>
          </w:p>
        </w:tc>
      </w:tr>
      <w:tr w14:paraId="6CA2A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103A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59326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4AAFD">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20ABB">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7ABC2">
            <w:pPr>
              <w:jc w:val="left"/>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F3630">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B83005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21F8E">
            <w:pPr>
              <w:rPr>
                <w:rFonts w:hint="eastAsia" w:ascii="宋体" w:hAnsi="宋体" w:eastAsia="宋体" w:cs="宋体"/>
                <w:i w:val="0"/>
                <w:iCs w:val="0"/>
                <w:color w:val="000000"/>
                <w:sz w:val="18"/>
                <w:szCs w:val="18"/>
                <w:u w:val="none"/>
              </w:rPr>
            </w:pPr>
          </w:p>
        </w:tc>
      </w:tr>
      <w:tr w14:paraId="2FCD7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96354">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DA3D42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A8314">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50D88">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BAAF3">
            <w:pPr>
              <w:jc w:val="left"/>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976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918D596">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87889">
            <w:pPr>
              <w:rPr>
                <w:rFonts w:hint="eastAsia" w:ascii="宋体" w:hAnsi="宋体" w:eastAsia="宋体" w:cs="宋体"/>
                <w:i w:val="0"/>
                <w:iCs w:val="0"/>
                <w:color w:val="000000"/>
                <w:sz w:val="18"/>
                <w:szCs w:val="18"/>
                <w:u w:val="none"/>
              </w:rPr>
            </w:pPr>
          </w:p>
        </w:tc>
      </w:tr>
      <w:tr w14:paraId="42BA6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C87B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8BD2D7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734C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工地扬尘控制及环保措施</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FAC3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符合要求</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799C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湿法作业、裸土覆盖，无环保投诉</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4C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4030F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CCEEC">
            <w:pPr>
              <w:rPr>
                <w:rFonts w:hint="eastAsia" w:ascii="宋体" w:hAnsi="宋体" w:eastAsia="宋体" w:cs="宋体"/>
                <w:i w:val="0"/>
                <w:iCs w:val="0"/>
                <w:color w:val="000000"/>
                <w:sz w:val="18"/>
                <w:szCs w:val="18"/>
                <w:u w:val="none"/>
              </w:rPr>
            </w:pPr>
          </w:p>
        </w:tc>
      </w:tr>
      <w:tr w14:paraId="42184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15F1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13158B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1E9D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基础设施使用年限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AD5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2293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满足设计规范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B7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8E2A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7EA47">
            <w:pPr>
              <w:rPr>
                <w:rFonts w:hint="eastAsia" w:ascii="宋体" w:hAnsi="宋体" w:eastAsia="宋体" w:cs="宋体"/>
                <w:i w:val="0"/>
                <w:iCs w:val="0"/>
                <w:color w:val="000000"/>
                <w:sz w:val="18"/>
                <w:szCs w:val="18"/>
                <w:u w:val="none"/>
              </w:rPr>
            </w:pPr>
          </w:p>
        </w:tc>
      </w:tr>
      <w:tr w14:paraId="658CB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C90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4BBAEB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1E12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入驻企业满意度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6C91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8813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05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1510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6D328">
            <w:pPr>
              <w:rPr>
                <w:rFonts w:hint="eastAsia" w:ascii="宋体" w:hAnsi="宋体" w:eastAsia="宋体" w:cs="宋体"/>
                <w:i w:val="0"/>
                <w:iCs w:val="0"/>
                <w:color w:val="000000"/>
                <w:sz w:val="18"/>
                <w:szCs w:val="18"/>
                <w:u w:val="none"/>
              </w:rPr>
            </w:pPr>
          </w:p>
        </w:tc>
      </w:tr>
      <w:tr w14:paraId="25F33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0333F5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1A0C3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7804EF9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B327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7AB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5F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马边彝族自治县劳动园区及基础设施配套项目-污水处理厂</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F41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9F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3B0AE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D62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CB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90B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07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22536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5B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13A6C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10331502">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D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8E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1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01A51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D9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17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612.07</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C7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612.07</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7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2A766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AE9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A0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612.07</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D1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612.07</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2C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374B7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E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9D268">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8D5D5">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8358">
            <w:pPr>
              <w:jc w:val="center"/>
              <w:rPr>
                <w:rFonts w:hint="eastAsia" w:ascii="宋体" w:hAnsi="宋体" w:eastAsia="宋体" w:cs="宋体"/>
                <w:i w:val="0"/>
                <w:iCs w:val="0"/>
                <w:color w:val="000000"/>
                <w:sz w:val="20"/>
                <w:szCs w:val="20"/>
                <w:u w:val="none"/>
              </w:rPr>
            </w:pPr>
          </w:p>
        </w:tc>
      </w:tr>
      <w:tr w14:paraId="11947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90E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25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F7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03EAC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42E0">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2C2C9A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完成劳动园区污水处理厂建设，日处理能力达到500吨/日（假设），出水水质达到《城镇污水处理厂污染物排放标准》一级A标准，完善配套管网，提升园区环境承载能力。</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26D4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29B4D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10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78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2F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06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7A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6D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256C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39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25693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26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B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45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F02F9">
            <w:pPr>
              <w:jc w:val="center"/>
              <w:rPr>
                <w:rFonts w:hint="eastAsia" w:ascii="宋体" w:hAnsi="宋体" w:eastAsia="宋体" w:cs="宋体"/>
                <w:i w:val="0"/>
                <w:iCs w:val="0"/>
                <w:color w:val="000000"/>
                <w:sz w:val="18"/>
                <w:szCs w:val="18"/>
                <w:u w:val="none"/>
              </w:rPr>
            </w:pPr>
          </w:p>
        </w:tc>
      </w:tr>
      <w:tr w14:paraId="2C3B2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7997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AC6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1018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B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22532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75F7D">
            <w:pPr>
              <w:rPr>
                <w:rFonts w:hint="eastAsia" w:ascii="宋体" w:hAnsi="宋体" w:eastAsia="宋体" w:cs="宋体"/>
                <w:i w:val="0"/>
                <w:iCs w:val="0"/>
                <w:color w:val="000000"/>
                <w:sz w:val="18"/>
                <w:szCs w:val="18"/>
                <w:u w:val="none"/>
              </w:rPr>
            </w:pPr>
          </w:p>
        </w:tc>
      </w:tr>
      <w:tr w14:paraId="18B2E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D705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8C32C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E355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污水处理厂日处理能力</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D2D7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≥500吨/日</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3E89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≥500吨/日</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F5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3E62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D2831">
            <w:pPr>
              <w:rPr>
                <w:rFonts w:hint="eastAsia" w:ascii="宋体" w:hAnsi="宋体" w:eastAsia="宋体" w:cs="宋体"/>
                <w:i w:val="0"/>
                <w:iCs w:val="0"/>
                <w:color w:val="000000"/>
                <w:sz w:val="18"/>
                <w:szCs w:val="18"/>
                <w:u w:val="none"/>
              </w:rPr>
            </w:pPr>
          </w:p>
        </w:tc>
      </w:tr>
      <w:tr w14:paraId="61004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B455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B1247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6A2C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出水水质达标率（一级A）</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8AF7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2AE4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A6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9E74B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0C46D">
            <w:pPr>
              <w:rPr>
                <w:rFonts w:hint="eastAsia" w:ascii="宋体" w:hAnsi="宋体" w:eastAsia="宋体" w:cs="宋体"/>
                <w:i w:val="0"/>
                <w:iCs w:val="0"/>
                <w:color w:val="000000"/>
                <w:sz w:val="18"/>
                <w:szCs w:val="18"/>
                <w:u w:val="none"/>
              </w:rPr>
            </w:pPr>
          </w:p>
        </w:tc>
      </w:tr>
      <w:tr w14:paraId="45B59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FFAF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0989C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3121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工程按期完工率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873C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690E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B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8653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4CD18">
            <w:pPr>
              <w:rPr>
                <w:rFonts w:hint="eastAsia" w:ascii="宋体" w:hAnsi="宋体" w:eastAsia="宋体" w:cs="宋体"/>
                <w:i w:val="0"/>
                <w:iCs w:val="0"/>
                <w:color w:val="000000"/>
                <w:sz w:val="18"/>
                <w:szCs w:val="18"/>
                <w:u w:val="none"/>
              </w:rPr>
            </w:pPr>
          </w:p>
        </w:tc>
      </w:tr>
      <w:tr w14:paraId="16CA3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BD6C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44967F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1300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成本控制率（实际/预算）</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0BD7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94C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B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3474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06AD5">
            <w:pPr>
              <w:rPr>
                <w:rFonts w:hint="eastAsia" w:ascii="宋体" w:hAnsi="宋体" w:eastAsia="宋体" w:cs="宋体"/>
                <w:i w:val="0"/>
                <w:iCs w:val="0"/>
                <w:color w:val="000000"/>
                <w:sz w:val="18"/>
                <w:szCs w:val="18"/>
                <w:u w:val="none"/>
              </w:rPr>
            </w:pPr>
          </w:p>
        </w:tc>
      </w:tr>
      <w:tr w14:paraId="58185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F7C8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5CBBF3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EC3B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减少企业污水处理成本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98DC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有效降低</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EFF5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有效降低</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CF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DCAA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CB8B2">
            <w:pPr>
              <w:rPr>
                <w:rFonts w:hint="eastAsia" w:ascii="宋体" w:hAnsi="宋体" w:eastAsia="宋体" w:cs="宋体"/>
                <w:i w:val="0"/>
                <w:iCs w:val="0"/>
                <w:color w:val="000000"/>
                <w:sz w:val="18"/>
                <w:szCs w:val="18"/>
                <w:u w:val="none"/>
              </w:rPr>
            </w:pPr>
          </w:p>
        </w:tc>
      </w:tr>
      <w:tr w14:paraId="3AB21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1309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D8DC5E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3ADC1">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7A3E3">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68AED">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250F">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CC220E0">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CD860">
            <w:pPr>
              <w:rPr>
                <w:rFonts w:hint="eastAsia" w:ascii="宋体" w:hAnsi="宋体" w:eastAsia="宋体" w:cs="宋体"/>
                <w:i w:val="0"/>
                <w:iCs w:val="0"/>
                <w:color w:val="000000"/>
                <w:sz w:val="18"/>
                <w:szCs w:val="18"/>
                <w:u w:val="none"/>
              </w:rPr>
            </w:pPr>
          </w:p>
        </w:tc>
      </w:tr>
      <w:tr w14:paraId="2E761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C29F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B98BD1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2D8E9">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4BCA6">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033DB">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EB93">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BA15C41">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7CC34">
            <w:pPr>
              <w:rPr>
                <w:rFonts w:hint="eastAsia" w:ascii="宋体" w:hAnsi="宋体" w:eastAsia="宋体" w:cs="宋体"/>
                <w:i w:val="0"/>
                <w:iCs w:val="0"/>
                <w:color w:val="000000"/>
                <w:sz w:val="18"/>
                <w:szCs w:val="18"/>
                <w:u w:val="none"/>
              </w:rPr>
            </w:pPr>
          </w:p>
        </w:tc>
      </w:tr>
      <w:tr w14:paraId="4D573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F3DA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B44F1F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6B98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设施稳定运行年限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F70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DF2E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设计标准满足长期运行</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D14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F5453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4D9C3">
            <w:pPr>
              <w:rPr>
                <w:rFonts w:hint="eastAsia" w:ascii="宋体" w:hAnsi="宋体" w:eastAsia="宋体" w:cs="宋体"/>
                <w:i w:val="0"/>
                <w:iCs w:val="0"/>
                <w:color w:val="000000"/>
                <w:sz w:val="18"/>
                <w:szCs w:val="18"/>
                <w:u w:val="none"/>
              </w:rPr>
            </w:pPr>
          </w:p>
        </w:tc>
      </w:tr>
      <w:tr w14:paraId="30591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70B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AC61B8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B5C59">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0F89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3B52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29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0556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0BA3D">
            <w:pPr>
              <w:rPr>
                <w:rFonts w:hint="eastAsia" w:ascii="宋体" w:hAnsi="宋体" w:eastAsia="宋体" w:cs="宋体"/>
                <w:i w:val="0"/>
                <w:iCs w:val="0"/>
                <w:color w:val="000000"/>
                <w:sz w:val="18"/>
                <w:szCs w:val="18"/>
                <w:u w:val="none"/>
              </w:rPr>
            </w:pPr>
          </w:p>
        </w:tc>
      </w:tr>
      <w:tr w14:paraId="7D41B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596F73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3B6C0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63CE0B61">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4EC23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05E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79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马边长和35KV黄稀线迁改工程设计费</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33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60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546EA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A34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527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79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69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18EDA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21A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71D0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7FA4F5BA">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8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A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85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3CB7A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AE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90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9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A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D851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65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3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DB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11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70C34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070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D5F5A">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19681">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931F7">
            <w:pPr>
              <w:jc w:val="center"/>
              <w:rPr>
                <w:rFonts w:hint="eastAsia" w:ascii="宋体" w:hAnsi="宋体" w:eastAsia="宋体" w:cs="宋体"/>
                <w:i w:val="0"/>
                <w:iCs w:val="0"/>
                <w:color w:val="000000"/>
                <w:sz w:val="20"/>
                <w:szCs w:val="20"/>
                <w:u w:val="none"/>
              </w:rPr>
            </w:pPr>
          </w:p>
        </w:tc>
      </w:tr>
      <w:tr w14:paraId="3E890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61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2E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DC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754C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0671">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24F9E2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委托有资质的设计单位完成35KV黄稀线迁改工程的勘察、施工图设计及预算编制，确保设计方案符合规范，满足施工需求。</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416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91EE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86E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B8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CBC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C5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9C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4DF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03A14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2F4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38D2E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58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37E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0B9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95010">
            <w:pPr>
              <w:jc w:val="center"/>
              <w:rPr>
                <w:rFonts w:hint="eastAsia" w:ascii="宋体" w:hAnsi="宋体" w:eastAsia="宋体" w:cs="宋体"/>
                <w:i w:val="0"/>
                <w:iCs w:val="0"/>
                <w:color w:val="000000"/>
                <w:sz w:val="18"/>
                <w:szCs w:val="18"/>
                <w:u w:val="none"/>
              </w:rPr>
            </w:pPr>
          </w:p>
        </w:tc>
      </w:tr>
      <w:tr w14:paraId="4AE84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9705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9BE6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D1C9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3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EB6E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E6E75">
            <w:pPr>
              <w:rPr>
                <w:rFonts w:hint="eastAsia" w:ascii="宋体" w:hAnsi="宋体" w:eastAsia="宋体" w:cs="宋体"/>
                <w:i w:val="0"/>
                <w:iCs w:val="0"/>
                <w:color w:val="000000"/>
                <w:sz w:val="18"/>
                <w:szCs w:val="18"/>
                <w:u w:val="none"/>
              </w:rPr>
            </w:pPr>
          </w:p>
        </w:tc>
      </w:tr>
      <w:tr w14:paraId="57C5E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C9F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14796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B13F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完成施工图设计套数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1B4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≥1套</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A9BD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≥1套</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AA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3B11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F7B87">
            <w:pPr>
              <w:rPr>
                <w:rFonts w:hint="eastAsia" w:ascii="宋体" w:hAnsi="宋体" w:eastAsia="宋体" w:cs="宋体"/>
                <w:i w:val="0"/>
                <w:iCs w:val="0"/>
                <w:color w:val="000000"/>
                <w:sz w:val="18"/>
                <w:szCs w:val="18"/>
                <w:u w:val="none"/>
              </w:rPr>
            </w:pPr>
          </w:p>
        </w:tc>
      </w:tr>
      <w:tr w14:paraId="7E4F0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B58C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488B84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75AB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设计文件审查通过率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3295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56BA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15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275B8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7F82D">
            <w:pPr>
              <w:rPr>
                <w:rFonts w:hint="eastAsia" w:ascii="宋体" w:hAnsi="宋体" w:eastAsia="宋体" w:cs="宋体"/>
                <w:i w:val="0"/>
                <w:iCs w:val="0"/>
                <w:color w:val="000000"/>
                <w:sz w:val="18"/>
                <w:szCs w:val="18"/>
                <w:u w:val="none"/>
              </w:rPr>
            </w:pPr>
          </w:p>
        </w:tc>
      </w:tr>
      <w:tr w14:paraId="43EB3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2329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48D461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F5CB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设计交付及时率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5C0F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10F2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84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4A75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62879">
            <w:pPr>
              <w:rPr>
                <w:rFonts w:hint="eastAsia" w:ascii="宋体" w:hAnsi="宋体" w:eastAsia="宋体" w:cs="宋体"/>
                <w:i w:val="0"/>
                <w:iCs w:val="0"/>
                <w:color w:val="000000"/>
                <w:sz w:val="18"/>
                <w:szCs w:val="18"/>
                <w:u w:val="none"/>
              </w:rPr>
            </w:pPr>
          </w:p>
        </w:tc>
      </w:tr>
      <w:tr w14:paraId="66505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27FB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3C7E01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2412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73A3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1297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6A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59F7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67E7A">
            <w:pPr>
              <w:rPr>
                <w:rFonts w:hint="eastAsia" w:ascii="宋体" w:hAnsi="宋体" w:eastAsia="宋体" w:cs="宋体"/>
                <w:i w:val="0"/>
                <w:iCs w:val="0"/>
                <w:color w:val="000000"/>
                <w:sz w:val="18"/>
                <w:szCs w:val="18"/>
                <w:u w:val="none"/>
              </w:rPr>
            </w:pPr>
          </w:p>
        </w:tc>
      </w:tr>
      <w:tr w14:paraId="4BC86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5EB7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CE8518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0A208">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避免因设计缺陷导致的返工损失</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8421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有效控制</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5218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有效控制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DE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B01D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A1772">
            <w:pPr>
              <w:rPr>
                <w:rFonts w:hint="eastAsia" w:ascii="宋体" w:hAnsi="宋体" w:eastAsia="宋体" w:cs="宋体"/>
                <w:i w:val="0"/>
                <w:iCs w:val="0"/>
                <w:color w:val="000000"/>
                <w:sz w:val="18"/>
                <w:szCs w:val="18"/>
                <w:u w:val="none"/>
              </w:rPr>
            </w:pPr>
          </w:p>
        </w:tc>
      </w:tr>
      <w:tr w14:paraId="3AE4A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B5BA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A1535B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5986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保障迁改工程按期开工</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C9B6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有效保障</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E6BF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有效保障</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E4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AE6A7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B52DB">
            <w:pPr>
              <w:rPr>
                <w:rFonts w:hint="eastAsia" w:ascii="宋体" w:hAnsi="宋体" w:eastAsia="宋体" w:cs="宋体"/>
                <w:i w:val="0"/>
                <w:iCs w:val="0"/>
                <w:color w:val="000000"/>
                <w:sz w:val="18"/>
                <w:szCs w:val="18"/>
                <w:u w:val="none"/>
              </w:rPr>
            </w:pPr>
          </w:p>
        </w:tc>
      </w:tr>
      <w:tr w14:paraId="132C9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9694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31AFAE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0F9D6">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F879E">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E9A93">
            <w:pPr>
              <w:jc w:val="left"/>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A0CDB">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0294DBE">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C1A81">
            <w:pPr>
              <w:rPr>
                <w:rFonts w:hint="eastAsia" w:ascii="宋体" w:hAnsi="宋体" w:eastAsia="宋体" w:cs="宋体"/>
                <w:i w:val="0"/>
                <w:iCs w:val="0"/>
                <w:color w:val="000000"/>
                <w:sz w:val="18"/>
                <w:szCs w:val="18"/>
                <w:u w:val="none"/>
              </w:rPr>
            </w:pPr>
          </w:p>
        </w:tc>
      </w:tr>
      <w:tr w14:paraId="09F10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D64C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9C673F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4ECE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设计成果使用年限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338E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1675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满足规范要求，长期有效</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873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FE79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AFB0">
            <w:pPr>
              <w:rPr>
                <w:rFonts w:hint="eastAsia" w:ascii="宋体" w:hAnsi="宋体" w:eastAsia="宋体" w:cs="宋体"/>
                <w:i w:val="0"/>
                <w:iCs w:val="0"/>
                <w:color w:val="000000"/>
                <w:sz w:val="18"/>
                <w:szCs w:val="18"/>
                <w:u w:val="none"/>
              </w:rPr>
            </w:pPr>
          </w:p>
        </w:tc>
      </w:tr>
      <w:tr w14:paraId="55F2A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B47B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03C538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F76E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项目业主（施工单位/供电部门）满意度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B94C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D306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BC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22CA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6160A">
            <w:pPr>
              <w:rPr>
                <w:rFonts w:hint="eastAsia" w:ascii="宋体" w:hAnsi="宋体" w:eastAsia="宋体" w:cs="宋体"/>
                <w:i w:val="0"/>
                <w:iCs w:val="0"/>
                <w:color w:val="000000"/>
                <w:sz w:val="18"/>
                <w:szCs w:val="18"/>
                <w:u w:val="none"/>
              </w:rPr>
            </w:pPr>
          </w:p>
        </w:tc>
      </w:tr>
      <w:tr w14:paraId="76938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0DCB63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69266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5502B27E">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5A922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EC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9B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马边长和35KV黄稀线迁改工程项目资金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21D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C3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64848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A71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D5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D8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81D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490DF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3C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7D86D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2676ED00">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2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28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73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723E2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625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FC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5D5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2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D59B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599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F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7D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0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4EAA7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48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610A0">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35EB">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3FE9D">
            <w:pPr>
              <w:jc w:val="center"/>
              <w:rPr>
                <w:rFonts w:hint="eastAsia" w:ascii="宋体" w:hAnsi="宋体" w:eastAsia="宋体" w:cs="宋体"/>
                <w:i w:val="0"/>
                <w:iCs w:val="0"/>
                <w:color w:val="000000"/>
                <w:sz w:val="20"/>
                <w:szCs w:val="20"/>
                <w:u w:val="none"/>
              </w:rPr>
            </w:pPr>
          </w:p>
        </w:tc>
      </w:tr>
      <w:tr w14:paraId="54710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77B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C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8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77F1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52C27">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52011C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完成35KV黄稀线部分线路迁改，拆除旧塔/电杆，新建铁塔/电杆及相应导线、金具，确保新线路安全送电，满足长和公司项目建设或土地开发利用需求。</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131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016C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5A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F0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EC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2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D0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CBE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00A3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31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55078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7E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8A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79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2B472">
            <w:pPr>
              <w:jc w:val="center"/>
              <w:rPr>
                <w:rFonts w:hint="eastAsia" w:ascii="宋体" w:hAnsi="宋体" w:eastAsia="宋体" w:cs="宋体"/>
                <w:i w:val="0"/>
                <w:iCs w:val="0"/>
                <w:color w:val="000000"/>
                <w:sz w:val="18"/>
                <w:szCs w:val="18"/>
                <w:u w:val="none"/>
              </w:rPr>
            </w:pPr>
          </w:p>
        </w:tc>
      </w:tr>
      <w:tr w14:paraId="264C7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F9CC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2C3B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BE2C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60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539EC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CDFF8">
            <w:pPr>
              <w:rPr>
                <w:rFonts w:hint="eastAsia" w:ascii="宋体" w:hAnsi="宋体" w:eastAsia="宋体" w:cs="宋体"/>
                <w:i w:val="0"/>
                <w:iCs w:val="0"/>
                <w:color w:val="000000"/>
                <w:sz w:val="18"/>
                <w:szCs w:val="18"/>
                <w:u w:val="none"/>
              </w:rPr>
            </w:pPr>
          </w:p>
        </w:tc>
      </w:tr>
      <w:tr w14:paraId="3CD7F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2136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BC228B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0C86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新建铁塔/电杆数量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A418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≥1基</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D754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≥1基</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10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E06C8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53C3C">
            <w:pPr>
              <w:rPr>
                <w:rFonts w:hint="eastAsia" w:ascii="宋体" w:hAnsi="宋体" w:eastAsia="宋体" w:cs="宋体"/>
                <w:i w:val="0"/>
                <w:iCs w:val="0"/>
                <w:color w:val="000000"/>
                <w:sz w:val="18"/>
                <w:szCs w:val="18"/>
                <w:u w:val="none"/>
              </w:rPr>
            </w:pPr>
          </w:p>
        </w:tc>
      </w:tr>
      <w:tr w14:paraId="7DA8F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BFA0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41BBE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1E09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迁改工程验收合格率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950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D5C3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69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9F85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FFE65">
            <w:pPr>
              <w:rPr>
                <w:rFonts w:hint="eastAsia" w:ascii="宋体" w:hAnsi="宋体" w:eastAsia="宋体" w:cs="宋体"/>
                <w:i w:val="0"/>
                <w:iCs w:val="0"/>
                <w:color w:val="000000"/>
                <w:sz w:val="18"/>
                <w:szCs w:val="18"/>
                <w:u w:val="none"/>
              </w:rPr>
            </w:pPr>
          </w:p>
        </w:tc>
      </w:tr>
      <w:tr w14:paraId="6F18E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60E4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00B059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C229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工程按期完工率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ED9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AAE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F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4F27E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AEDFE">
            <w:pPr>
              <w:rPr>
                <w:rFonts w:hint="eastAsia" w:ascii="宋体" w:hAnsi="宋体" w:eastAsia="宋体" w:cs="宋体"/>
                <w:i w:val="0"/>
                <w:iCs w:val="0"/>
                <w:color w:val="000000"/>
                <w:sz w:val="18"/>
                <w:szCs w:val="18"/>
                <w:u w:val="none"/>
              </w:rPr>
            </w:pPr>
          </w:p>
        </w:tc>
      </w:tr>
      <w:tr w14:paraId="7C5D8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5F2D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8B900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DD50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AD07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17.3万元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F548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17.3万元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78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DBE1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0F4BD">
            <w:pPr>
              <w:rPr>
                <w:rFonts w:hint="eastAsia" w:ascii="宋体" w:hAnsi="宋体" w:eastAsia="宋体" w:cs="宋体"/>
                <w:i w:val="0"/>
                <w:iCs w:val="0"/>
                <w:color w:val="000000"/>
                <w:sz w:val="18"/>
                <w:szCs w:val="18"/>
                <w:u w:val="none"/>
              </w:rPr>
            </w:pPr>
          </w:p>
        </w:tc>
      </w:tr>
      <w:tr w14:paraId="0B50B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2C7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4A6FC7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32DC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F168A">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7311A">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B3CE">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E89065A">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A8CF7">
            <w:pPr>
              <w:rPr>
                <w:rFonts w:hint="eastAsia" w:ascii="宋体" w:hAnsi="宋体" w:eastAsia="宋体" w:cs="宋体"/>
                <w:i w:val="0"/>
                <w:iCs w:val="0"/>
                <w:color w:val="000000"/>
                <w:sz w:val="18"/>
                <w:szCs w:val="18"/>
                <w:u w:val="none"/>
              </w:rPr>
            </w:pPr>
          </w:p>
        </w:tc>
      </w:tr>
      <w:tr w14:paraId="7A71B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B4055">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1420E4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10B4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消除电力安全隐患</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FA98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完全消除</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EBE0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完全消除</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34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06EA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0564A">
            <w:pPr>
              <w:rPr>
                <w:rFonts w:hint="eastAsia" w:ascii="宋体" w:hAnsi="宋体" w:eastAsia="宋体" w:cs="宋体"/>
                <w:i w:val="0"/>
                <w:iCs w:val="0"/>
                <w:color w:val="000000"/>
                <w:sz w:val="18"/>
                <w:szCs w:val="18"/>
                <w:u w:val="none"/>
              </w:rPr>
            </w:pPr>
          </w:p>
        </w:tc>
      </w:tr>
      <w:tr w14:paraId="3C377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38A1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C18587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E2E8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施工扬尘及植被恢复</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1D1D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符合环保要求</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B9BD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符合环保要求</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78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10CC8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1F070">
            <w:pPr>
              <w:rPr>
                <w:rFonts w:hint="eastAsia" w:ascii="宋体" w:hAnsi="宋体" w:eastAsia="宋体" w:cs="宋体"/>
                <w:i w:val="0"/>
                <w:iCs w:val="0"/>
                <w:color w:val="000000"/>
                <w:sz w:val="18"/>
                <w:szCs w:val="18"/>
                <w:u w:val="none"/>
              </w:rPr>
            </w:pPr>
          </w:p>
        </w:tc>
      </w:tr>
      <w:tr w14:paraId="00D85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C340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F9C199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0B83B">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17AAD">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135C2B">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A6D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646116E">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F22DB">
            <w:pPr>
              <w:rPr>
                <w:rFonts w:hint="eastAsia" w:ascii="宋体" w:hAnsi="宋体" w:eastAsia="宋体" w:cs="宋体"/>
                <w:i w:val="0"/>
                <w:iCs w:val="0"/>
                <w:color w:val="000000"/>
                <w:sz w:val="18"/>
                <w:szCs w:val="18"/>
                <w:u w:val="none"/>
              </w:rPr>
            </w:pPr>
          </w:p>
        </w:tc>
      </w:tr>
      <w:tr w14:paraId="11B02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A0D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5B52CC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C918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项目受益单位（长和公司）满意度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1AA3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4B8E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4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283B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D2A2F">
            <w:pPr>
              <w:rPr>
                <w:rFonts w:hint="eastAsia" w:ascii="宋体" w:hAnsi="宋体" w:eastAsia="宋体" w:cs="宋体"/>
                <w:i w:val="0"/>
                <w:iCs w:val="0"/>
                <w:color w:val="000000"/>
                <w:sz w:val="18"/>
                <w:szCs w:val="18"/>
                <w:u w:val="none"/>
              </w:rPr>
            </w:pPr>
          </w:p>
        </w:tc>
      </w:tr>
      <w:tr w14:paraId="649A4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533A3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18909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3026252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6CF9E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F0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7E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十四五工业高质量发展规划资金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958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DC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3AF10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C26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8B2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A17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529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7F82E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5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05B80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273F4C43">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E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C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C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0C06E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D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04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C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D51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FB64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3E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C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FE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3F5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EA3C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0D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18CC">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3199B">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1A8F">
            <w:pPr>
              <w:jc w:val="center"/>
              <w:rPr>
                <w:rFonts w:hint="eastAsia" w:ascii="宋体" w:hAnsi="宋体" w:eastAsia="宋体" w:cs="宋体"/>
                <w:i w:val="0"/>
                <w:iCs w:val="0"/>
                <w:color w:val="000000"/>
                <w:sz w:val="20"/>
                <w:szCs w:val="20"/>
                <w:u w:val="none"/>
              </w:rPr>
            </w:pPr>
          </w:p>
        </w:tc>
      </w:tr>
      <w:tr w14:paraId="429FA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88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B7D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AB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5E72F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EED38">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638523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编制完成《马边彝族自治县“十四五”工业高质量发展规划》，明确工业发展目标、重点产业、空间布局及保障措施，为“十四五”期间工业转型升级提供科学指引。</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5F46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5EB2D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0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F31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D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80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56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95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80AF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5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6DC35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06B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87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6A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5AAC8">
            <w:pPr>
              <w:jc w:val="center"/>
              <w:rPr>
                <w:rFonts w:hint="eastAsia" w:ascii="宋体" w:hAnsi="宋体" w:eastAsia="宋体" w:cs="宋体"/>
                <w:i w:val="0"/>
                <w:iCs w:val="0"/>
                <w:color w:val="000000"/>
                <w:sz w:val="18"/>
                <w:szCs w:val="18"/>
                <w:u w:val="none"/>
              </w:rPr>
            </w:pPr>
          </w:p>
        </w:tc>
      </w:tr>
      <w:tr w14:paraId="06361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A284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997F6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6A20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CC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B0A9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ECF18">
            <w:pPr>
              <w:rPr>
                <w:rFonts w:hint="eastAsia" w:ascii="宋体" w:hAnsi="宋体" w:eastAsia="宋体" w:cs="宋体"/>
                <w:i w:val="0"/>
                <w:iCs w:val="0"/>
                <w:color w:val="000000"/>
                <w:sz w:val="18"/>
                <w:szCs w:val="18"/>
                <w:u w:val="none"/>
              </w:rPr>
            </w:pPr>
          </w:p>
        </w:tc>
      </w:tr>
      <w:tr w14:paraId="3434F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0B93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458312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6924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开展调研座谈次数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896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≥10次</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C62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≥10次</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F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4A35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22BA3">
            <w:pPr>
              <w:rPr>
                <w:rFonts w:hint="eastAsia" w:ascii="宋体" w:hAnsi="宋体" w:eastAsia="宋体" w:cs="宋体"/>
                <w:i w:val="0"/>
                <w:iCs w:val="0"/>
                <w:color w:val="000000"/>
                <w:sz w:val="18"/>
                <w:szCs w:val="18"/>
                <w:u w:val="none"/>
              </w:rPr>
            </w:pPr>
          </w:p>
        </w:tc>
      </w:tr>
      <w:tr w14:paraId="341D8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420B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7BD61C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9005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规划专家评审通过率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D037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C21E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F2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864B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3867B">
            <w:pPr>
              <w:rPr>
                <w:rFonts w:hint="eastAsia" w:ascii="宋体" w:hAnsi="宋体" w:eastAsia="宋体" w:cs="宋体"/>
                <w:i w:val="0"/>
                <w:iCs w:val="0"/>
                <w:color w:val="000000"/>
                <w:sz w:val="18"/>
                <w:szCs w:val="18"/>
                <w:u w:val="none"/>
              </w:rPr>
            </w:pPr>
          </w:p>
        </w:tc>
      </w:tr>
      <w:tr w14:paraId="31905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1C9F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35AFF9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0478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规划按时编制完成率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BEB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5ED4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96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153D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D5003">
            <w:pPr>
              <w:rPr>
                <w:rFonts w:hint="eastAsia" w:ascii="宋体" w:hAnsi="宋体" w:eastAsia="宋体" w:cs="宋体"/>
                <w:i w:val="0"/>
                <w:iCs w:val="0"/>
                <w:color w:val="000000"/>
                <w:sz w:val="18"/>
                <w:szCs w:val="18"/>
                <w:u w:val="none"/>
              </w:rPr>
            </w:pPr>
          </w:p>
        </w:tc>
      </w:tr>
      <w:tr w14:paraId="579A5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BD51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9E81AC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0890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FB9D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25万元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4C07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25万元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D55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5D56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E79F3">
            <w:pPr>
              <w:rPr>
                <w:rFonts w:hint="eastAsia" w:ascii="宋体" w:hAnsi="宋体" w:eastAsia="宋体" w:cs="宋体"/>
                <w:i w:val="0"/>
                <w:iCs w:val="0"/>
                <w:color w:val="000000"/>
                <w:sz w:val="18"/>
                <w:szCs w:val="18"/>
                <w:u w:val="none"/>
              </w:rPr>
            </w:pPr>
          </w:p>
        </w:tc>
      </w:tr>
      <w:tr w14:paraId="57127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0292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C908DB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D0C6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指导“十四五”工业发展成效</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98F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显著</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32E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显著</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27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3B34C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32F41">
            <w:pPr>
              <w:rPr>
                <w:rFonts w:hint="eastAsia" w:ascii="宋体" w:hAnsi="宋体" w:eastAsia="宋体" w:cs="宋体"/>
                <w:i w:val="0"/>
                <w:iCs w:val="0"/>
                <w:color w:val="000000"/>
                <w:sz w:val="18"/>
                <w:szCs w:val="18"/>
                <w:u w:val="none"/>
              </w:rPr>
            </w:pPr>
          </w:p>
        </w:tc>
      </w:tr>
      <w:tr w14:paraId="08B7E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CDD45">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66A1C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57A4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提升工业决策科学化水平</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08FF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C931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2A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D4B00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24FED">
            <w:pPr>
              <w:rPr>
                <w:rFonts w:hint="eastAsia" w:ascii="宋体" w:hAnsi="宋体" w:eastAsia="宋体" w:cs="宋体"/>
                <w:i w:val="0"/>
                <w:iCs w:val="0"/>
                <w:color w:val="000000"/>
                <w:sz w:val="18"/>
                <w:szCs w:val="18"/>
                <w:u w:val="none"/>
              </w:rPr>
            </w:pPr>
          </w:p>
        </w:tc>
      </w:tr>
      <w:tr w14:paraId="24B82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2EE7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C9097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BB47E">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2B92D">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28E73">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98B3">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C30E7F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39CE7">
            <w:pPr>
              <w:rPr>
                <w:rFonts w:hint="eastAsia" w:ascii="宋体" w:hAnsi="宋体" w:eastAsia="宋体" w:cs="宋体"/>
                <w:i w:val="0"/>
                <w:iCs w:val="0"/>
                <w:color w:val="000000"/>
                <w:sz w:val="18"/>
                <w:szCs w:val="18"/>
                <w:u w:val="none"/>
              </w:rPr>
            </w:pPr>
          </w:p>
        </w:tc>
      </w:tr>
      <w:tr w14:paraId="1AF88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C2934">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7A6C1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CA5544">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D695D">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4C550">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F68AD">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78F6635">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76A7">
            <w:pPr>
              <w:rPr>
                <w:rFonts w:hint="eastAsia" w:ascii="宋体" w:hAnsi="宋体" w:eastAsia="宋体" w:cs="宋体"/>
                <w:i w:val="0"/>
                <w:iCs w:val="0"/>
                <w:color w:val="000000"/>
                <w:sz w:val="18"/>
                <w:szCs w:val="18"/>
                <w:u w:val="none"/>
              </w:rPr>
            </w:pPr>
          </w:p>
        </w:tc>
      </w:tr>
      <w:tr w14:paraId="18BA6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F176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218A9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16BD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县委县政府及相关部门满意度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4ED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70E0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DA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878E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B6C44">
            <w:pPr>
              <w:rPr>
                <w:rFonts w:hint="eastAsia" w:ascii="宋体" w:hAnsi="宋体" w:eastAsia="宋体" w:cs="宋体"/>
                <w:i w:val="0"/>
                <w:iCs w:val="0"/>
                <w:color w:val="000000"/>
                <w:sz w:val="18"/>
                <w:szCs w:val="18"/>
                <w:u w:val="none"/>
              </w:rPr>
            </w:pPr>
          </w:p>
        </w:tc>
      </w:tr>
      <w:tr w14:paraId="2022E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B74BF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1AED5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6921C981">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C8AE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5FF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8F7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四川蜀能矿产有限责任公司2023年度项目人才智力支持奖励资金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0A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7E9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36A18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DB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F8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D13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C3D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52412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D05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550D4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F3B2D7F">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ED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C5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FE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3EC00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7D5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C3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36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63B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B14A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8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1C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3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E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4F579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F8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A5A8">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7E07">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BFA7B">
            <w:pPr>
              <w:jc w:val="center"/>
              <w:rPr>
                <w:rFonts w:hint="eastAsia" w:ascii="宋体" w:hAnsi="宋体" w:eastAsia="宋体" w:cs="宋体"/>
                <w:i w:val="0"/>
                <w:iCs w:val="0"/>
                <w:color w:val="000000"/>
                <w:sz w:val="20"/>
                <w:szCs w:val="20"/>
                <w:u w:val="none"/>
              </w:rPr>
            </w:pPr>
          </w:p>
        </w:tc>
      </w:tr>
      <w:tr w14:paraId="09DE9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665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A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FD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3C753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FACF2">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406F4C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对四川蜀能矿产有限责任公司2023年度在项目技术攻关、成果转化中作出突出贡献的人才或团队给予奖励，激发企业创新活力，促进磷矿资源高效利用。</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7B5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EE26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5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11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2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63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1A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19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6769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E0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61A87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39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CD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D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AE56">
            <w:pPr>
              <w:jc w:val="center"/>
              <w:rPr>
                <w:rFonts w:hint="eastAsia" w:ascii="宋体" w:hAnsi="宋体" w:eastAsia="宋体" w:cs="宋体"/>
                <w:i w:val="0"/>
                <w:iCs w:val="0"/>
                <w:color w:val="000000"/>
                <w:sz w:val="18"/>
                <w:szCs w:val="18"/>
                <w:u w:val="none"/>
              </w:rPr>
            </w:pPr>
          </w:p>
        </w:tc>
      </w:tr>
      <w:tr w14:paraId="574CE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C93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F5A5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503A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6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AD14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C5C54">
            <w:pPr>
              <w:rPr>
                <w:rFonts w:hint="eastAsia" w:ascii="宋体" w:hAnsi="宋体" w:eastAsia="宋体" w:cs="宋体"/>
                <w:i w:val="0"/>
                <w:iCs w:val="0"/>
                <w:color w:val="000000"/>
                <w:sz w:val="18"/>
                <w:szCs w:val="18"/>
                <w:u w:val="none"/>
              </w:rPr>
            </w:pPr>
          </w:p>
        </w:tc>
      </w:tr>
      <w:tr w14:paraId="2533F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6B08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5070DB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C8D9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奖励人才/团队数量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4251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≥5人</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23D5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≥5人</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7A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1D2C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D82D2">
            <w:pPr>
              <w:rPr>
                <w:rFonts w:hint="eastAsia" w:ascii="宋体" w:hAnsi="宋体" w:eastAsia="宋体" w:cs="宋体"/>
                <w:i w:val="0"/>
                <w:iCs w:val="0"/>
                <w:color w:val="000000"/>
                <w:sz w:val="18"/>
                <w:szCs w:val="18"/>
                <w:u w:val="none"/>
              </w:rPr>
            </w:pPr>
          </w:p>
        </w:tc>
      </w:tr>
      <w:tr w14:paraId="61D6C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B8F8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D3B614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05D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奖励评选合规率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3724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7494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1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7895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435DD">
            <w:pPr>
              <w:rPr>
                <w:rFonts w:hint="eastAsia" w:ascii="宋体" w:hAnsi="宋体" w:eastAsia="宋体" w:cs="宋体"/>
                <w:i w:val="0"/>
                <w:iCs w:val="0"/>
                <w:color w:val="000000"/>
                <w:sz w:val="18"/>
                <w:szCs w:val="18"/>
                <w:u w:val="none"/>
              </w:rPr>
            </w:pPr>
          </w:p>
        </w:tc>
      </w:tr>
      <w:tr w14:paraId="7037F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873C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931A03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BC08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奖励资金发放及时率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B35F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4E5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DA0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1376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1B97">
            <w:pPr>
              <w:rPr>
                <w:rFonts w:hint="eastAsia" w:ascii="宋体" w:hAnsi="宋体" w:eastAsia="宋体" w:cs="宋体"/>
                <w:i w:val="0"/>
                <w:iCs w:val="0"/>
                <w:color w:val="000000"/>
                <w:sz w:val="18"/>
                <w:szCs w:val="18"/>
                <w:u w:val="none"/>
              </w:rPr>
            </w:pPr>
          </w:p>
        </w:tc>
      </w:tr>
      <w:tr w14:paraId="53EF8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61D2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34F8C9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33A8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成本控制率（实际/预算）</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0B6A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5CF5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D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53AE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34181">
            <w:pPr>
              <w:rPr>
                <w:rFonts w:hint="eastAsia" w:ascii="宋体" w:hAnsi="宋体" w:eastAsia="宋体" w:cs="宋体"/>
                <w:i w:val="0"/>
                <w:iCs w:val="0"/>
                <w:color w:val="000000"/>
                <w:sz w:val="18"/>
                <w:szCs w:val="18"/>
                <w:u w:val="none"/>
              </w:rPr>
            </w:pPr>
          </w:p>
        </w:tc>
      </w:tr>
      <w:tr w14:paraId="3278D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A97E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442BC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C46AD">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C9F8A">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BFAA1">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84CF4">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52D76D9">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E4456">
            <w:pPr>
              <w:rPr>
                <w:rFonts w:hint="eastAsia" w:ascii="宋体" w:hAnsi="宋体" w:eastAsia="宋体" w:cs="宋体"/>
                <w:i w:val="0"/>
                <w:iCs w:val="0"/>
                <w:color w:val="000000"/>
                <w:sz w:val="18"/>
                <w:szCs w:val="18"/>
                <w:u w:val="none"/>
              </w:rPr>
            </w:pPr>
          </w:p>
        </w:tc>
      </w:tr>
      <w:tr w14:paraId="7BB56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9043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41A7EC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780A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企业核心人才留存率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43A5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≥95%</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1FC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87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8D0F5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96D7D">
            <w:pPr>
              <w:rPr>
                <w:rFonts w:hint="eastAsia" w:ascii="宋体" w:hAnsi="宋体" w:eastAsia="宋体" w:cs="宋体"/>
                <w:i w:val="0"/>
                <w:iCs w:val="0"/>
                <w:color w:val="000000"/>
                <w:sz w:val="18"/>
                <w:szCs w:val="18"/>
                <w:u w:val="none"/>
              </w:rPr>
            </w:pPr>
          </w:p>
        </w:tc>
      </w:tr>
      <w:tr w14:paraId="5B691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9D75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E9BEF1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939F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8B011">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74483">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C7F35">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724069D">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89A25">
            <w:pPr>
              <w:rPr>
                <w:rFonts w:hint="eastAsia" w:ascii="宋体" w:hAnsi="宋体" w:eastAsia="宋体" w:cs="宋体"/>
                <w:i w:val="0"/>
                <w:iCs w:val="0"/>
                <w:color w:val="000000"/>
                <w:sz w:val="18"/>
                <w:szCs w:val="18"/>
                <w:u w:val="none"/>
              </w:rPr>
            </w:pPr>
          </w:p>
        </w:tc>
      </w:tr>
      <w:tr w14:paraId="52D54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DE85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55C50D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15D4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企业技术创新能力提升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0EBE1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C14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17C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49DB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A8890">
            <w:pPr>
              <w:rPr>
                <w:rFonts w:hint="eastAsia" w:ascii="宋体" w:hAnsi="宋体" w:eastAsia="宋体" w:cs="宋体"/>
                <w:i w:val="0"/>
                <w:iCs w:val="0"/>
                <w:color w:val="000000"/>
                <w:sz w:val="18"/>
                <w:szCs w:val="18"/>
                <w:u w:val="none"/>
              </w:rPr>
            </w:pPr>
          </w:p>
        </w:tc>
      </w:tr>
      <w:tr w14:paraId="0D588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2F5F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3FA0C5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E7B0A">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706D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192E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D7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7F18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E58D3">
            <w:pPr>
              <w:rPr>
                <w:rFonts w:hint="eastAsia" w:ascii="宋体" w:hAnsi="宋体" w:eastAsia="宋体" w:cs="宋体"/>
                <w:i w:val="0"/>
                <w:iCs w:val="0"/>
                <w:color w:val="000000"/>
                <w:sz w:val="18"/>
                <w:szCs w:val="18"/>
                <w:u w:val="none"/>
              </w:rPr>
            </w:pPr>
          </w:p>
        </w:tc>
      </w:tr>
      <w:tr w14:paraId="5CD2B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6CAD2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34668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70EBCE4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4300A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BAD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91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西南区域“医药健康研发中心基地“项目预付医疗建筑奖补资金””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377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D9D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438DE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E5D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51C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1F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3D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78411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CA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2E973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6AC63C16">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5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6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65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6FF9E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9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EA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F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AC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F6F9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BC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E5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D3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99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20475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1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E8DC">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13EFE">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DF9C">
            <w:pPr>
              <w:jc w:val="center"/>
              <w:rPr>
                <w:rFonts w:hint="eastAsia" w:ascii="宋体" w:hAnsi="宋体" w:eastAsia="宋体" w:cs="宋体"/>
                <w:i w:val="0"/>
                <w:iCs w:val="0"/>
                <w:color w:val="000000"/>
                <w:sz w:val="20"/>
                <w:szCs w:val="20"/>
                <w:u w:val="none"/>
              </w:rPr>
            </w:pPr>
          </w:p>
        </w:tc>
      </w:tr>
      <w:tr w14:paraId="3D09D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E8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A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81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5B627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E9B8">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5E98E6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用于支持西南区域医药健康研发中心基地项目医疗建筑部分建设，加快施工进度，确保项目按期竣工，提升区域医药研发能力，带动产业集聚。</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A36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D4B6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E6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5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C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A9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E4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A1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3842C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4A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1E5CD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B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807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D26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38264">
            <w:pPr>
              <w:jc w:val="center"/>
              <w:rPr>
                <w:rFonts w:hint="eastAsia" w:ascii="宋体" w:hAnsi="宋体" w:eastAsia="宋体" w:cs="宋体"/>
                <w:i w:val="0"/>
                <w:iCs w:val="0"/>
                <w:color w:val="000000"/>
                <w:sz w:val="18"/>
                <w:szCs w:val="18"/>
                <w:u w:val="none"/>
              </w:rPr>
            </w:pPr>
          </w:p>
        </w:tc>
      </w:tr>
      <w:tr w14:paraId="0A134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10BA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7187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60B7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C4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9CBCC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613DC">
            <w:pPr>
              <w:rPr>
                <w:rFonts w:hint="eastAsia" w:ascii="宋体" w:hAnsi="宋体" w:eastAsia="宋体" w:cs="宋体"/>
                <w:i w:val="0"/>
                <w:iCs w:val="0"/>
                <w:color w:val="000000"/>
                <w:sz w:val="18"/>
                <w:szCs w:val="18"/>
                <w:u w:val="none"/>
              </w:rPr>
            </w:pPr>
          </w:p>
        </w:tc>
      </w:tr>
      <w:tr w14:paraId="098D4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827C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C89060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F445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研发中心主体工程完工率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8121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0D5D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100%（主体封顶）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02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3FA4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DDDC1">
            <w:pPr>
              <w:rPr>
                <w:rFonts w:hint="eastAsia" w:ascii="宋体" w:hAnsi="宋体" w:eastAsia="宋体" w:cs="宋体"/>
                <w:i w:val="0"/>
                <w:iCs w:val="0"/>
                <w:color w:val="000000"/>
                <w:sz w:val="18"/>
                <w:szCs w:val="18"/>
                <w:u w:val="none"/>
              </w:rPr>
            </w:pPr>
          </w:p>
        </w:tc>
      </w:tr>
      <w:tr w14:paraId="25E3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1B8D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D81B96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4FCA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工程验收合格率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8AAC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1A6C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主体结构验收合格</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4F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5FF5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3718B">
            <w:pPr>
              <w:rPr>
                <w:rFonts w:hint="eastAsia" w:ascii="宋体" w:hAnsi="宋体" w:eastAsia="宋体" w:cs="宋体"/>
                <w:i w:val="0"/>
                <w:iCs w:val="0"/>
                <w:color w:val="000000"/>
                <w:sz w:val="18"/>
                <w:szCs w:val="18"/>
                <w:u w:val="none"/>
              </w:rPr>
            </w:pPr>
          </w:p>
        </w:tc>
      </w:tr>
      <w:tr w14:paraId="6DF5E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373A4">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2BB167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2B52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按奖补协议约定节点完成</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31D6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按期</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F62B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已完成年度建设目标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84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F388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46752">
            <w:pPr>
              <w:rPr>
                <w:rFonts w:hint="eastAsia" w:ascii="宋体" w:hAnsi="宋体" w:eastAsia="宋体" w:cs="宋体"/>
                <w:i w:val="0"/>
                <w:iCs w:val="0"/>
                <w:color w:val="000000"/>
                <w:sz w:val="18"/>
                <w:szCs w:val="18"/>
                <w:u w:val="none"/>
              </w:rPr>
            </w:pPr>
          </w:p>
        </w:tc>
      </w:tr>
      <w:tr w14:paraId="27452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C0EE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6E368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E02D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3726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1500万元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7A50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1500万元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DA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43FC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FAFFC">
            <w:pPr>
              <w:rPr>
                <w:rFonts w:hint="eastAsia" w:ascii="宋体" w:hAnsi="宋体" w:eastAsia="宋体" w:cs="宋体"/>
                <w:i w:val="0"/>
                <w:iCs w:val="0"/>
                <w:color w:val="000000"/>
                <w:sz w:val="18"/>
                <w:szCs w:val="18"/>
                <w:u w:val="none"/>
              </w:rPr>
            </w:pPr>
          </w:p>
        </w:tc>
      </w:tr>
      <w:tr w14:paraId="1A87A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FE1F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1452B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1A0B8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0DCFC">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C62F7">
            <w:pPr>
              <w:jc w:val="left"/>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A831">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051881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843A4">
            <w:pPr>
              <w:rPr>
                <w:rFonts w:hint="eastAsia" w:ascii="宋体" w:hAnsi="宋体" w:eastAsia="宋体" w:cs="宋体"/>
                <w:i w:val="0"/>
                <w:iCs w:val="0"/>
                <w:color w:val="000000"/>
                <w:sz w:val="18"/>
                <w:szCs w:val="18"/>
                <w:u w:val="none"/>
              </w:rPr>
            </w:pPr>
          </w:p>
        </w:tc>
      </w:tr>
      <w:tr w14:paraId="51E8A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CAC7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BB0D0C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57355">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09F6E">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11043">
            <w:pPr>
              <w:jc w:val="left"/>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6ADE">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33534F0">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05E0D">
            <w:pPr>
              <w:rPr>
                <w:rFonts w:hint="eastAsia" w:ascii="宋体" w:hAnsi="宋体" w:eastAsia="宋体" w:cs="宋体"/>
                <w:i w:val="0"/>
                <w:iCs w:val="0"/>
                <w:color w:val="000000"/>
                <w:sz w:val="18"/>
                <w:szCs w:val="18"/>
                <w:u w:val="none"/>
              </w:rPr>
            </w:pPr>
          </w:p>
        </w:tc>
      </w:tr>
      <w:tr w14:paraId="71B50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4AAB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39F253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68B9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绿色建筑标准达标率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2EBD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5AC2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按绿色建筑一星设计</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9E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651EA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537ED">
            <w:pPr>
              <w:rPr>
                <w:rFonts w:hint="eastAsia" w:ascii="宋体" w:hAnsi="宋体" w:eastAsia="宋体" w:cs="宋体"/>
                <w:i w:val="0"/>
                <w:iCs w:val="0"/>
                <w:color w:val="000000"/>
                <w:sz w:val="18"/>
                <w:szCs w:val="18"/>
                <w:u w:val="none"/>
              </w:rPr>
            </w:pPr>
          </w:p>
        </w:tc>
      </w:tr>
      <w:tr w14:paraId="2AC61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131F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010EB8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687F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研发中心运营年限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066C8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AAA7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长期运营</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4CF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56C9F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0AD0">
            <w:pPr>
              <w:rPr>
                <w:rFonts w:hint="eastAsia" w:ascii="宋体" w:hAnsi="宋体" w:eastAsia="宋体" w:cs="宋体"/>
                <w:i w:val="0"/>
                <w:iCs w:val="0"/>
                <w:color w:val="000000"/>
                <w:sz w:val="18"/>
                <w:szCs w:val="18"/>
                <w:u w:val="none"/>
              </w:rPr>
            </w:pPr>
          </w:p>
        </w:tc>
      </w:tr>
      <w:tr w14:paraId="41FBD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D566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0961FF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94C8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项目实施主体满意度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793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7CBF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4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FFE4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03612">
            <w:pPr>
              <w:rPr>
                <w:rFonts w:hint="eastAsia" w:ascii="宋体" w:hAnsi="宋体" w:eastAsia="宋体" w:cs="宋体"/>
                <w:i w:val="0"/>
                <w:iCs w:val="0"/>
                <w:color w:val="000000"/>
                <w:sz w:val="18"/>
                <w:szCs w:val="18"/>
                <w:u w:val="none"/>
              </w:rPr>
            </w:pPr>
          </w:p>
        </w:tc>
      </w:tr>
      <w:tr w14:paraId="0A4AA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3E1D5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081F2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49D9071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23C95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BDB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B39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西南区域“医药健康研发中心基地”项目预付医疗建筑支持（主体工程竣工验收）奖补资金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0C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4A1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79D9E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229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FAA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7A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15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4921A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27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04327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A4F1423">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B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A6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B6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05A85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F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C3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8C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D2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35631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A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A5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7C3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1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22F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1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62879">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8DF5">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AF5A">
            <w:pPr>
              <w:jc w:val="center"/>
              <w:rPr>
                <w:rFonts w:hint="eastAsia" w:ascii="宋体" w:hAnsi="宋体" w:eastAsia="宋体" w:cs="宋体"/>
                <w:i w:val="0"/>
                <w:iCs w:val="0"/>
                <w:color w:val="000000"/>
                <w:sz w:val="20"/>
                <w:szCs w:val="20"/>
                <w:u w:val="none"/>
              </w:rPr>
            </w:pPr>
          </w:p>
        </w:tc>
      </w:tr>
      <w:tr w14:paraId="00BF9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E9A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F2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69C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0BD8C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2409B">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5C9E4E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根据项目主体工程竣工验收合格情况，拨付医疗建筑奖补资金，确保项目按期交付，促进医药健康产业集聚，提升区域研发能力。</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05BA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6973A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1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D23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8A2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F0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BE7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66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686C6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B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41BA5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8C2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53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3A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F851A">
            <w:pPr>
              <w:jc w:val="center"/>
              <w:rPr>
                <w:rFonts w:hint="eastAsia" w:ascii="宋体" w:hAnsi="宋体" w:eastAsia="宋体" w:cs="宋体"/>
                <w:i w:val="0"/>
                <w:iCs w:val="0"/>
                <w:color w:val="000000"/>
                <w:sz w:val="18"/>
                <w:szCs w:val="18"/>
                <w:u w:val="none"/>
              </w:rPr>
            </w:pPr>
          </w:p>
        </w:tc>
      </w:tr>
      <w:tr w14:paraId="528C0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C95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827B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2386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9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AD17D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805F2">
            <w:pPr>
              <w:rPr>
                <w:rFonts w:hint="eastAsia" w:ascii="宋体" w:hAnsi="宋体" w:eastAsia="宋体" w:cs="宋体"/>
                <w:i w:val="0"/>
                <w:iCs w:val="0"/>
                <w:color w:val="000000"/>
                <w:sz w:val="18"/>
                <w:szCs w:val="18"/>
                <w:u w:val="none"/>
              </w:rPr>
            </w:pPr>
          </w:p>
        </w:tc>
      </w:tr>
      <w:tr w14:paraId="3B4BA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B054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602D74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AB89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主体工程竣工验收面积</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5C24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≥10000平方米</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6601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≥10000平方米</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4E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54A5F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46E61">
            <w:pPr>
              <w:rPr>
                <w:rFonts w:hint="eastAsia" w:ascii="宋体" w:hAnsi="宋体" w:eastAsia="宋体" w:cs="宋体"/>
                <w:i w:val="0"/>
                <w:iCs w:val="0"/>
                <w:color w:val="000000"/>
                <w:sz w:val="18"/>
                <w:szCs w:val="18"/>
                <w:u w:val="none"/>
              </w:rPr>
            </w:pPr>
          </w:p>
        </w:tc>
      </w:tr>
      <w:tr w14:paraId="6E352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2B99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677AB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1987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主体结构验收合格率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FA6D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720E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46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9E31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EB893">
            <w:pPr>
              <w:rPr>
                <w:rFonts w:hint="eastAsia" w:ascii="宋体" w:hAnsi="宋体" w:eastAsia="宋体" w:cs="宋体"/>
                <w:i w:val="0"/>
                <w:iCs w:val="0"/>
                <w:color w:val="000000"/>
                <w:sz w:val="18"/>
                <w:szCs w:val="18"/>
                <w:u w:val="none"/>
              </w:rPr>
            </w:pPr>
          </w:p>
        </w:tc>
      </w:tr>
      <w:tr w14:paraId="70126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5A74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135D1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1945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按期竣工率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CF3C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45E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E6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5DEB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65A4E">
            <w:pPr>
              <w:rPr>
                <w:rFonts w:hint="eastAsia" w:ascii="宋体" w:hAnsi="宋体" w:eastAsia="宋体" w:cs="宋体"/>
                <w:i w:val="0"/>
                <w:iCs w:val="0"/>
                <w:color w:val="000000"/>
                <w:sz w:val="18"/>
                <w:szCs w:val="18"/>
                <w:u w:val="none"/>
              </w:rPr>
            </w:pPr>
          </w:p>
        </w:tc>
      </w:tr>
      <w:tr w14:paraId="47447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42CA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8BFE73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12F3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成本控制率（实际/预算）</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E4FC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6196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54F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FDF8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4CCEF">
            <w:pPr>
              <w:rPr>
                <w:rFonts w:hint="eastAsia" w:ascii="宋体" w:hAnsi="宋体" w:eastAsia="宋体" w:cs="宋体"/>
                <w:i w:val="0"/>
                <w:iCs w:val="0"/>
                <w:color w:val="000000"/>
                <w:sz w:val="18"/>
                <w:szCs w:val="18"/>
                <w:u w:val="none"/>
              </w:rPr>
            </w:pPr>
          </w:p>
        </w:tc>
      </w:tr>
      <w:tr w14:paraId="1CB73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C85F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1F7F6C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D612C">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CB0FD">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8EBEF">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9989C">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B39B8E4">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9BDF2">
            <w:pPr>
              <w:rPr>
                <w:rFonts w:hint="eastAsia" w:ascii="宋体" w:hAnsi="宋体" w:eastAsia="宋体" w:cs="宋体"/>
                <w:i w:val="0"/>
                <w:iCs w:val="0"/>
                <w:color w:val="000000"/>
                <w:sz w:val="18"/>
                <w:szCs w:val="18"/>
                <w:u w:val="none"/>
              </w:rPr>
            </w:pPr>
          </w:p>
        </w:tc>
      </w:tr>
      <w:tr w14:paraId="1CE53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BB4C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4834B1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D52BA">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D3A09">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D4103">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DCE8E">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AB805F5">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2D19F">
            <w:pPr>
              <w:rPr>
                <w:rFonts w:hint="eastAsia" w:ascii="宋体" w:hAnsi="宋体" w:eastAsia="宋体" w:cs="宋体"/>
                <w:i w:val="0"/>
                <w:iCs w:val="0"/>
                <w:color w:val="000000"/>
                <w:sz w:val="18"/>
                <w:szCs w:val="18"/>
                <w:u w:val="none"/>
              </w:rPr>
            </w:pPr>
          </w:p>
        </w:tc>
      </w:tr>
      <w:tr w14:paraId="2B823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FB69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12C70F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EAE5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绿色建筑标准达标率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2956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8252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按绿色建筑一星设计</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0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39B0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043C7">
            <w:pPr>
              <w:rPr>
                <w:rFonts w:hint="eastAsia" w:ascii="宋体" w:hAnsi="宋体" w:eastAsia="宋体" w:cs="宋体"/>
                <w:i w:val="0"/>
                <w:iCs w:val="0"/>
                <w:color w:val="000000"/>
                <w:sz w:val="18"/>
                <w:szCs w:val="18"/>
                <w:u w:val="none"/>
              </w:rPr>
            </w:pPr>
          </w:p>
        </w:tc>
      </w:tr>
      <w:tr w14:paraId="6CF41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A6A1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D7B4C8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A49C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研发中心运营年限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4D61A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AE2F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长期运营</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199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7AB4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3E091">
            <w:pPr>
              <w:rPr>
                <w:rFonts w:hint="eastAsia" w:ascii="宋体" w:hAnsi="宋体" w:eastAsia="宋体" w:cs="宋体"/>
                <w:i w:val="0"/>
                <w:iCs w:val="0"/>
                <w:color w:val="000000"/>
                <w:sz w:val="18"/>
                <w:szCs w:val="18"/>
                <w:u w:val="none"/>
              </w:rPr>
            </w:pPr>
          </w:p>
        </w:tc>
      </w:tr>
      <w:tr w14:paraId="5F99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A353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74A5D8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21DE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26A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808B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6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048A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7980B">
            <w:pPr>
              <w:rPr>
                <w:rFonts w:hint="eastAsia" w:ascii="宋体" w:hAnsi="宋体" w:eastAsia="宋体" w:cs="宋体"/>
                <w:i w:val="0"/>
                <w:iCs w:val="0"/>
                <w:color w:val="000000"/>
                <w:sz w:val="18"/>
                <w:szCs w:val="18"/>
                <w:u w:val="none"/>
              </w:rPr>
            </w:pPr>
          </w:p>
        </w:tc>
      </w:tr>
      <w:tr w14:paraId="6239F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5506DA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1767A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4642E12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C40B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ABD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BC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向上争取资金工作奖励金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F15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B84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09EA0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CF5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86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B0E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613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7ACF8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A0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57960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337FCDCF">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41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59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E22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6A180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6A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BD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15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C5C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257D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8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494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D9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C1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7BB3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17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A6A1">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646C1">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A780D">
            <w:pPr>
              <w:jc w:val="center"/>
              <w:rPr>
                <w:rFonts w:hint="eastAsia" w:ascii="宋体" w:hAnsi="宋体" w:eastAsia="宋体" w:cs="宋体"/>
                <w:i w:val="0"/>
                <w:iCs w:val="0"/>
                <w:color w:val="000000"/>
                <w:sz w:val="20"/>
                <w:szCs w:val="20"/>
                <w:u w:val="none"/>
              </w:rPr>
            </w:pPr>
          </w:p>
        </w:tc>
      </w:tr>
      <w:tr w14:paraId="0390F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6FC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11F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1A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181B2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1CE4D">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0D37E5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通过奖励机制，激励相关部门和个人积极向上争取项目资金，提升争取资金规模，保障县域经济发展资金需求。</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D424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通过奖励机制，激励了相关部门和个人积极向上争取项目资金，提升争取资金规模，保障了县域经济发展资金需求。</w:t>
            </w:r>
          </w:p>
        </w:tc>
      </w:tr>
      <w:tr w14:paraId="249BE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8A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63F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DD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D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7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AB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79C5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1A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6148B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1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DB5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F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D033">
            <w:pPr>
              <w:jc w:val="center"/>
              <w:rPr>
                <w:rFonts w:hint="eastAsia" w:ascii="宋体" w:hAnsi="宋体" w:eastAsia="宋体" w:cs="宋体"/>
                <w:i w:val="0"/>
                <w:iCs w:val="0"/>
                <w:color w:val="000000"/>
                <w:sz w:val="18"/>
                <w:szCs w:val="18"/>
                <w:u w:val="none"/>
              </w:rPr>
            </w:pPr>
          </w:p>
        </w:tc>
      </w:tr>
      <w:tr w14:paraId="0C6E3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4C33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773A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13.80 </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1C26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13.80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52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A741F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69F23">
            <w:pPr>
              <w:rPr>
                <w:rFonts w:hint="eastAsia" w:ascii="宋体" w:hAnsi="宋体" w:eastAsia="宋体" w:cs="宋体"/>
                <w:i w:val="0"/>
                <w:iCs w:val="0"/>
                <w:color w:val="000000"/>
                <w:sz w:val="18"/>
                <w:szCs w:val="18"/>
                <w:u w:val="none"/>
              </w:rPr>
            </w:pPr>
          </w:p>
        </w:tc>
      </w:tr>
      <w:tr w14:paraId="195B1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C819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4FCBB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2F4E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奖励先进股室数量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D8A3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5AD2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10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90226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6BA72">
            <w:pPr>
              <w:rPr>
                <w:rFonts w:hint="eastAsia" w:ascii="宋体" w:hAnsi="宋体" w:eastAsia="宋体" w:cs="宋体"/>
                <w:i w:val="0"/>
                <w:iCs w:val="0"/>
                <w:color w:val="000000"/>
                <w:sz w:val="18"/>
                <w:szCs w:val="18"/>
                <w:u w:val="none"/>
              </w:rPr>
            </w:pPr>
          </w:p>
        </w:tc>
      </w:tr>
      <w:tr w14:paraId="768B0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8AF6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57F897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8713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奖励资金发放合规率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7E62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9DE3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CA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F307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D4071">
            <w:pPr>
              <w:rPr>
                <w:rFonts w:hint="eastAsia" w:ascii="宋体" w:hAnsi="宋体" w:eastAsia="宋体" w:cs="宋体"/>
                <w:i w:val="0"/>
                <w:iCs w:val="0"/>
                <w:color w:val="000000"/>
                <w:sz w:val="18"/>
                <w:szCs w:val="18"/>
                <w:u w:val="none"/>
              </w:rPr>
            </w:pPr>
          </w:p>
        </w:tc>
      </w:tr>
      <w:tr w14:paraId="4C434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2BCD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2857A8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CC90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奖励资金发放及时率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67DD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3C8A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F6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8B06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79303">
            <w:pPr>
              <w:rPr>
                <w:rFonts w:hint="eastAsia" w:ascii="宋体" w:hAnsi="宋体" w:eastAsia="宋体" w:cs="宋体"/>
                <w:i w:val="0"/>
                <w:iCs w:val="0"/>
                <w:color w:val="000000"/>
                <w:sz w:val="18"/>
                <w:szCs w:val="18"/>
                <w:u w:val="none"/>
              </w:rPr>
            </w:pPr>
          </w:p>
        </w:tc>
      </w:tr>
      <w:tr w14:paraId="5E408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FA24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CA0C49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E50F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52F9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13.8万元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74F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13.8万元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7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0726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59605">
            <w:pPr>
              <w:rPr>
                <w:rFonts w:hint="eastAsia" w:ascii="宋体" w:hAnsi="宋体" w:eastAsia="宋体" w:cs="宋体"/>
                <w:i w:val="0"/>
                <w:iCs w:val="0"/>
                <w:color w:val="000000"/>
                <w:sz w:val="18"/>
                <w:szCs w:val="18"/>
                <w:u w:val="none"/>
              </w:rPr>
            </w:pPr>
          </w:p>
        </w:tc>
      </w:tr>
      <w:tr w14:paraId="75DC4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B443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496661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B345F">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96359">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FA53C">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A358">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BE15159">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11566">
            <w:pPr>
              <w:rPr>
                <w:rFonts w:hint="eastAsia" w:ascii="宋体" w:hAnsi="宋体" w:eastAsia="宋体" w:cs="宋体"/>
                <w:i w:val="0"/>
                <w:iCs w:val="0"/>
                <w:color w:val="000000"/>
                <w:sz w:val="18"/>
                <w:szCs w:val="18"/>
                <w:u w:val="none"/>
              </w:rPr>
            </w:pPr>
          </w:p>
        </w:tc>
      </w:tr>
      <w:tr w14:paraId="227CF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3822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D9BCD0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945D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部门争取资金积极性提升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9DD0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BEE5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9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C856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C8AA9">
            <w:pPr>
              <w:rPr>
                <w:rFonts w:hint="eastAsia" w:ascii="宋体" w:hAnsi="宋体" w:eastAsia="宋体" w:cs="宋体"/>
                <w:i w:val="0"/>
                <w:iCs w:val="0"/>
                <w:color w:val="000000"/>
                <w:sz w:val="18"/>
                <w:szCs w:val="18"/>
                <w:u w:val="none"/>
              </w:rPr>
            </w:pPr>
          </w:p>
        </w:tc>
      </w:tr>
      <w:tr w14:paraId="34DE6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FCA3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97CF68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990C5">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F2F64">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071E4">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8C15">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4042B01">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EAE77">
            <w:pPr>
              <w:rPr>
                <w:rFonts w:hint="eastAsia" w:ascii="宋体" w:hAnsi="宋体" w:eastAsia="宋体" w:cs="宋体"/>
                <w:i w:val="0"/>
                <w:iCs w:val="0"/>
                <w:color w:val="000000"/>
                <w:sz w:val="18"/>
                <w:szCs w:val="18"/>
                <w:u w:val="none"/>
              </w:rPr>
            </w:pPr>
          </w:p>
        </w:tc>
      </w:tr>
      <w:tr w14:paraId="57F64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02A5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560F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nil"/>
              <w:left w:val="nil"/>
              <w:bottom w:val="nil"/>
              <w:right w:val="nil"/>
            </w:tcBorders>
            <w:shd w:val="clear" w:color="auto" w:fill="auto"/>
            <w:vAlign w:val="center"/>
          </w:tcPr>
          <w:p w14:paraId="6DE65961">
            <w:pPr>
              <w:keepNext w:val="0"/>
              <w:keepLines w:val="0"/>
              <w:widowControl/>
              <w:suppressLineNumbers w:val="0"/>
              <w:jc w:val="left"/>
              <w:textAlignment w:val="center"/>
              <w:rPr>
                <w:rFonts w:hint="default" w:ascii="quote-cjk-patch" w:hAnsi="quote-cjk-patch" w:eastAsia="quote-cjk-patch" w:cs="quote-cjk-patch"/>
                <w:i w:val="0"/>
                <w:iCs w:val="0"/>
                <w:color w:val="0F1115"/>
                <w:sz w:val="22"/>
                <w:szCs w:val="22"/>
                <w:u w:val="none"/>
              </w:rPr>
            </w:pPr>
            <w:r>
              <w:rPr>
                <w:rFonts w:hint="default" w:ascii="quote-cjk-patch" w:hAnsi="quote-cjk-patch" w:eastAsia="quote-cjk-patch" w:cs="quote-cjk-patch"/>
                <w:i w:val="0"/>
                <w:iCs w:val="0"/>
                <w:color w:val="0F1115"/>
                <w:kern w:val="0"/>
                <w:sz w:val="22"/>
                <w:szCs w:val="22"/>
                <w:u w:val="none"/>
                <w:lang w:val="en-US" w:eastAsia="zh-CN" w:bidi="ar"/>
              </w:rPr>
              <w:t>争取资金长效机制建设</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52CA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建立完善</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EA79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建立完善</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98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D014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767D4">
            <w:pPr>
              <w:rPr>
                <w:rFonts w:hint="eastAsia" w:ascii="宋体" w:hAnsi="宋体" w:eastAsia="宋体" w:cs="宋体"/>
                <w:i w:val="0"/>
                <w:iCs w:val="0"/>
                <w:color w:val="000000"/>
                <w:sz w:val="18"/>
                <w:szCs w:val="18"/>
                <w:u w:val="none"/>
              </w:rPr>
            </w:pPr>
          </w:p>
        </w:tc>
      </w:tr>
      <w:tr w14:paraId="36041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3C61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BE91F4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23B1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获奖人员满意度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9A67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900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98%</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8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ADFA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D2915">
            <w:pPr>
              <w:rPr>
                <w:rFonts w:hint="eastAsia" w:ascii="宋体" w:hAnsi="宋体" w:eastAsia="宋体" w:cs="宋体"/>
                <w:i w:val="0"/>
                <w:iCs w:val="0"/>
                <w:color w:val="000000"/>
                <w:sz w:val="18"/>
                <w:szCs w:val="18"/>
                <w:u w:val="none"/>
              </w:rPr>
            </w:pPr>
          </w:p>
        </w:tc>
      </w:tr>
      <w:tr w14:paraId="3139E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5F337B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3ACA6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1D064CD1">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24E39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6C4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06E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招商引资专项经费</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C14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98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09629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871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E46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59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39A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154A9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CD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12153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ED3210A">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1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A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E21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E25F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1C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A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1248837.43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45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1248837.43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0A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1F94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ED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0DD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1248837.43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76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1248837.43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07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0B1E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F6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0B96">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F70A2">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8DAA">
            <w:pPr>
              <w:jc w:val="center"/>
              <w:rPr>
                <w:rFonts w:hint="eastAsia" w:ascii="宋体" w:hAnsi="宋体" w:eastAsia="宋体" w:cs="宋体"/>
                <w:i w:val="0"/>
                <w:iCs w:val="0"/>
                <w:color w:val="000000"/>
                <w:sz w:val="20"/>
                <w:szCs w:val="20"/>
                <w:u w:val="none"/>
              </w:rPr>
            </w:pPr>
          </w:p>
        </w:tc>
      </w:tr>
      <w:tr w14:paraId="2A800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ADF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0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1D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1A393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239C4">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5BB362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围绕全县产业升级，通过招商引资专项经费，开展系列招商活动，全年对接企业不少于200家，签约项目金额不低于38亿元（市下达目标），省外引进产业项目新增实际投资不少于19亿元，提升项目履约率、开工率、投产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2CC6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累计对接企业近250家，吸引实地考察150余家；成功签约项目7个，签约金额56.2亿元（完成市定目标147.89%）；省外引进产业项目新增实际投资上报数25.42亿元（完成年度目标133.79%）。近两年签约11个项目，履约率100%、开工率90.91%、投产率54.54%，形成“投产一批、建设一批、储备一批”良性循环。举办专场招商活动3场以上，组织企业参与重大展会10余场，解决企业问题50余个，兑现招商奖补资金4507.91万元。</w:t>
            </w:r>
          </w:p>
        </w:tc>
      </w:tr>
      <w:tr w14:paraId="4571A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9B9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B8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B5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A0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9A8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60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3543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B89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39F56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B4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8C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1E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D37DF">
            <w:pPr>
              <w:jc w:val="center"/>
              <w:rPr>
                <w:rFonts w:hint="eastAsia" w:ascii="宋体" w:hAnsi="宋体" w:eastAsia="宋体" w:cs="宋体"/>
                <w:i w:val="0"/>
                <w:iCs w:val="0"/>
                <w:color w:val="000000"/>
                <w:sz w:val="18"/>
                <w:szCs w:val="18"/>
                <w:u w:val="none"/>
              </w:rPr>
            </w:pPr>
          </w:p>
        </w:tc>
      </w:tr>
      <w:tr w14:paraId="11C62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2BDF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8B76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9B04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759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0CCEC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23E75">
            <w:pPr>
              <w:rPr>
                <w:rFonts w:hint="eastAsia" w:ascii="宋体" w:hAnsi="宋体" w:eastAsia="宋体" w:cs="宋体"/>
                <w:i w:val="0"/>
                <w:iCs w:val="0"/>
                <w:color w:val="000000"/>
                <w:sz w:val="18"/>
                <w:szCs w:val="18"/>
                <w:u w:val="none"/>
              </w:rPr>
            </w:pPr>
          </w:p>
        </w:tc>
      </w:tr>
      <w:tr w14:paraId="6E019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F50E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8198B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153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对接企业数量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ECE0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≥200家</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455B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近250家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6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561D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C3AD1">
            <w:pPr>
              <w:rPr>
                <w:rFonts w:hint="eastAsia" w:ascii="宋体" w:hAnsi="宋体" w:eastAsia="宋体" w:cs="宋体"/>
                <w:i w:val="0"/>
                <w:iCs w:val="0"/>
                <w:color w:val="000000"/>
                <w:sz w:val="18"/>
                <w:szCs w:val="18"/>
                <w:u w:val="none"/>
              </w:rPr>
            </w:pPr>
          </w:p>
        </w:tc>
      </w:tr>
      <w:tr w14:paraId="30216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4F68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15BD0F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2242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签约项目履约率（近两年）</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6A6C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869C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D04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63E6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B710B">
            <w:pPr>
              <w:rPr>
                <w:rFonts w:hint="eastAsia" w:ascii="宋体" w:hAnsi="宋体" w:eastAsia="宋体" w:cs="宋体"/>
                <w:i w:val="0"/>
                <w:iCs w:val="0"/>
                <w:color w:val="000000"/>
                <w:sz w:val="18"/>
                <w:szCs w:val="18"/>
                <w:u w:val="none"/>
              </w:rPr>
            </w:pPr>
          </w:p>
        </w:tc>
      </w:tr>
      <w:tr w14:paraId="73028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9752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A3A7EA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C8C0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招商活动按时完成率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0907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6086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3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153B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773BF">
            <w:pPr>
              <w:rPr>
                <w:rFonts w:hint="eastAsia" w:ascii="宋体" w:hAnsi="宋体" w:eastAsia="宋体" w:cs="宋体"/>
                <w:i w:val="0"/>
                <w:iCs w:val="0"/>
                <w:color w:val="000000"/>
                <w:sz w:val="18"/>
                <w:szCs w:val="18"/>
                <w:u w:val="none"/>
              </w:rPr>
            </w:pPr>
          </w:p>
        </w:tc>
      </w:tr>
      <w:tr w14:paraId="03641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D6D4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662379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2C4E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经费使用合规率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9A20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E556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50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9D64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F2024">
            <w:pPr>
              <w:rPr>
                <w:rFonts w:hint="eastAsia" w:ascii="宋体" w:hAnsi="宋体" w:eastAsia="宋体" w:cs="宋体"/>
                <w:i w:val="0"/>
                <w:iCs w:val="0"/>
                <w:color w:val="000000"/>
                <w:sz w:val="18"/>
                <w:szCs w:val="18"/>
                <w:u w:val="none"/>
              </w:rPr>
            </w:pPr>
          </w:p>
        </w:tc>
      </w:tr>
      <w:tr w14:paraId="2C657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0600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CB53D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37F7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签约项目总投资额</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4E63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≥38亿元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7F85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56.2亿元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724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480B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A799B">
            <w:pPr>
              <w:rPr>
                <w:rFonts w:hint="eastAsia" w:ascii="宋体" w:hAnsi="宋体" w:eastAsia="宋体" w:cs="宋体"/>
                <w:i w:val="0"/>
                <w:iCs w:val="0"/>
                <w:color w:val="000000"/>
                <w:sz w:val="18"/>
                <w:szCs w:val="18"/>
                <w:u w:val="none"/>
              </w:rPr>
            </w:pPr>
          </w:p>
        </w:tc>
      </w:tr>
      <w:tr w14:paraId="4E0D2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5EE5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7B74CE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184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解决企业落地/建设问题数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A16C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≥30个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7929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8AE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D8D02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94875">
            <w:pPr>
              <w:rPr>
                <w:rFonts w:hint="eastAsia" w:ascii="宋体" w:hAnsi="宋体" w:eastAsia="宋体" w:cs="宋体"/>
                <w:i w:val="0"/>
                <w:iCs w:val="0"/>
                <w:color w:val="000000"/>
                <w:sz w:val="18"/>
                <w:szCs w:val="18"/>
                <w:u w:val="none"/>
              </w:rPr>
            </w:pPr>
          </w:p>
        </w:tc>
      </w:tr>
      <w:tr w14:paraId="1C2F4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F6E55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BF8901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6B57F">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BD584">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A6ECE">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54478">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A5DF277">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C4A7D">
            <w:pPr>
              <w:rPr>
                <w:rFonts w:hint="eastAsia" w:ascii="宋体" w:hAnsi="宋体" w:eastAsia="宋体" w:cs="宋体"/>
                <w:i w:val="0"/>
                <w:iCs w:val="0"/>
                <w:color w:val="000000"/>
                <w:sz w:val="18"/>
                <w:szCs w:val="18"/>
                <w:u w:val="none"/>
              </w:rPr>
            </w:pPr>
          </w:p>
        </w:tc>
      </w:tr>
      <w:tr w14:paraId="71A80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D2D6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1AA10D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7BA4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产业储备及示范带动</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BBB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形成“签约-建设-投产”梯次</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8997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已形成“投产一批、建设一批、储备一批”良性循环</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A1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BAD1F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84185">
            <w:pPr>
              <w:rPr>
                <w:rFonts w:hint="eastAsia" w:ascii="宋体" w:hAnsi="宋体" w:eastAsia="宋体" w:cs="宋体"/>
                <w:i w:val="0"/>
                <w:iCs w:val="0"/>
                <w:color w:val="000000"/>
                <w:sz w:val="18"/>
                <w:szCs w:val="18"/>
                <w:u w:val="none"/>
              </w:rPr>
            </w:pPr>
          </w:p>
        </w:tc>
      </w:tr>
      <w:tr w14:paraId="72C27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F2AB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33FE8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6CC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招商引资企业满意度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8C17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494E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ED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D5564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C5210">
            <w:pPr>
              <w:rPr>
                <w:rFonts w:hint="eastAsia" w:ascii="宋体" w:hAnsi="宋体" w:eastAsia="宋体" w:cs="宋体"/>
                <w:i w:val="0"/>
                <w:iCs w:val="0"/>
                <w:color w:val="000000"/>
                <w:sz w:val="18"/>
                <w:szCs w:val="18"/>
                <w:u w:val="none"/>
              </w:rPr>
            </w:pPr>
          </w:p>
        </w:tc>
      </w:tr>
      <w:tr w14:paraId="165E8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766C18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bl>
    <w:p w14:paraId="21024897">
      <w:pPr>
        <w:spacing w:after="0" w:line="560" w:lineRule="exact"/>
      </w:pPr>
    </w:p>
    <w:p w14:paraId="68B40BE2">
      <w:r>
        <w:br w:type="page"/>
      </w:r>
    </w:p>
    <w:p w14:paraId="62BF5549">
      <w:pPr>
        <w:pStyle w:val="3"/>
        <w:spacing w:before="260" w:after="160" w:line="560" w:lineRule="exact"/>
        <w:outlineLvl w:val="0"/>
      </w:pPr>
      <w:bookmarkStart w:id="16" w:name="_Toc19288"/>
      <w:r>
        <w:rPr>
          <w:rFonts w:ascii="Times New Roman" w:hAnsi="Times New Roman" w:eastAsia="黑体" w:cs="Times New Roman"/>
          <w:color w:val="000000"/>
          <w:sz w:val="32"/>
          <w:szCs w:val="32"/>
        </w:rPr>
        <w:t>第五部分  附表</w:t>
      </w:r>
      <w:bookmarkEnd w:id="16"/>
    </w:p>
    <w:p w14:paraId="4E068130">
      <w:pPr>
        <w:pStyle w:val="4"/>
        <w:spacing w:after="0" w:line="560" w:lineRule="exact"/>
        <w:outlineLvl w:val="1"/>
      </w:pPr>
      <w:bookmarkStart w:id="17" w:name="_Toc1462"/>
      <w:r>
        <w:rPr>
          <w:rFonts w:ascii="Times New Roman" w:hAnsi="Times New Roman" w:eastAsia="FangSong_GB2312" w:cs="Times New Roman"/>
          <w:b w:val="0"/>
          <w:bCs w:val="0"/>
          <w:color w:val="000000"/>
          <w:sz w:val="32"/>
          <w:szCs w:val="32"/>
        </w:rPr>
        <w:t>一、收入支出决算总表</w:t>
      </w:r>
      <w:bookmarkEnd w:id="17"/>
    </w:p>
    <w:p w14:paraId="50FA2D6C">
      <w:pPr>
        <w:pStyle w:val="4"/>
        <w:spacing w:after="0" w:line="560" w:lineRule="exact"/>
        <w:outlineLvl w:val="1"/>
      </w:pPr>
      <w:bookmarkStart w:id="18" w:name="_Toc12698"/>
      <w:r>
        <w:rPr>
          <w:rFonts w:ascii="Times New Roman" w:hAnsi="Times New Roman" w:eastAsia="FangSong_GB2312" w:cs="Times New Roman"/>
          <w:b w:val="0"/>
          <w:bCs w:val="0"/>
          <w:color w:val="000000"/>
          <w:sz w:val="32"/>
          <w:szCs w:val="32"/>
        </w:rPr>
        <w:t>二、收入决算表</w:t>
      </w:r>
      <w:bookmarkEnd w:id="18"/>
    </w:p>
    <w:p w14:paraId="1BB49566">
      <w:pPr>
        <w:pStyle w:val="4"/>
        <w:spacing w:after="0" w:line="560" w:lineRule="exact"/>
        <w:outlineLvl w:val="1"/>
      </w:pPr>
      <w:bookmarkStart w:id="19" w:name="_Toc23399"/>
      <w:r>
        <w:rPr>
          <w:rFonts w:ascii="Times New Roman" w:hAnsi="Times New Roman" w:eastAsia="FangSong_GB2312" w:cs="Times New Roman"/>
          <w:b w:val="0"/>
          <w:bCs w:val="0"/>
          <w:color w:val="000000"/>
          <w:sz w:val="32"/>
          <w:szCs w:val="32"/>
        </w:rPr>
        <w:t>三、支出决算表</w:t>
      </w:r>
      <w:bookmarkEnd w:id="19"/>
    </w:p>
    <w:p w14:paraId="2DB80307">
      <w:pPr>
        <w:pStyle w:val="4"/>
        <w:spacing w:after="0" w:line="560" w:lineRule="exact"/>
        <w:outlineLvl w:val="1"/>
      </w:pPr>
      <w:bookmarkStart w:id="20" w:name="_Toc23109"/>
      <w:r>
        <w:rPr>
          <w:rFonts w:ascii="Times New Roman" w:hAnsi="Times New Roman" w:eastAsia="FangSong_GB2312" w:cs="Times New Roman"/>
          <w:b w:val="0"/>
          <w:bCs w:val="0"/>
          <w:color w:val="000000"/>
          <w:sz w:val="32"/>
          <w:szCs w:val="32"/>
        </w:rPr>
        <w:t>四、财政拨款收入支出决算总表</w:t>
      </w:r>
      <w:bookmarkEnd w:id="20"/>
    </w:p>
    <w:p w14:paraId="4A729961">
      <w:pPr>
        <w:pStyle w:val="4"/>
        <w:spacing w:after="0" w:line="560" w:lineRule="exact"/>
        <w:outlineLvl w:val="1"/>
      </w:pPr>
      <w:bookmarkStart w:id="21" w:name="_Toc6862"/>
      <w:r>
        <w:rPr>
          <w:rFonts w:ascii="Times New Roman" w:hAnsi="Times New Roman" w:eastAsia="FangSong_GB2312" w:cs="Times New Roman"/>
          <w:b w:val="0"/>
          <w:bCs w:val="0"/>
          <w:color w:val="000000"/>
          <w:sz w:val="32"/>
          <w:szCs w:val="32"/>
        </w:rPr>
        <w:t>五、财政拨款支出决算明细表</w:t>
      </w:r>
      <w:bookmarkEnd w:id="21"/>
    </w:p>
    <w:p w14:paraId="6FFAA758">
      <w:pPr>
        <w:pStyle w:val="4"/>
        <w:spacing w:after="0" w:line="560" w:lineRule="exact"/>
        <w:outlineLvl w:val="1"/>
      </w:pPr>
      <w:bookmarkStart w:id="22" w:name="_Toc19444"/>
      <w:r>
        <w:rPr>
          <w:rFonts w:ascii="Times New Roman" w:hAnsi="Times New Roman" w:eastAsia="FangSong_GB2312" w:cs="Times New Roman"/>
          <w:b w:val="0"/>
          <w:bCs w:val="0"/>
          <w:color w:val="000000"/>
          <w:sz w:val="32"/>
          <w:szCs w:val="32"/>
        </w:rPr>
        <w:t>六、一般公共预算财政拨款支出决算表</w:t>
      </w:r>
      <w:bookmarkEnd w:id="22"/>
    </w:p>
    <w:p w14:paraId="6957E174">
      <w:pPr>
        <w:pStyle w:val="4"/>
        <w:spacing w:after="0" w:line="560" w:lineRule="exact"/>
        <w:outlineLvl w:val="1"/>
      </w:pPr>
      <w:bookmarkStart w:id="23" w:name="_Toc8621"/>
      <w:r>
        <w:rPr>
          <w:rFonts w:ascii="Times New Roman" w:hAnsi="Times New Roman" w:eastAsia="FangSong_GB2312" w:cs="Times New Roman"/>
          <w:b w:val="0"/>
          <w:bCs w:val="0"/>
          <w:color w:val="000000"/>
          <w:sz w:val="32"/>
          <w:szCs w:val="32"/>
        </w:rPr>
        <w:t>七、一般公共预算财政拨款支出决算明细表</w:t>
      </w:r>
      <w:bookmarkEnd w:id="23"/>
    </w:p>
    <w:p w14:paraId="39929A7E">
      <w:pPr>
        <w:pStyle w:val="4"/>
        <w:spacing w:after="0" w:line="560" w:lineRule="exact"/>
        <w:outlineLvl w:val="1"/>
      </w:pPr>
      <w:bookmarkStart w:id="24" w:name="_Toc24753"/>
      <w:r>
        <w:rPr>
          <w:rFonts w:ascii="Times New Roman" w:hAnsi="Times New Roman" w:eastAsia="FangSong_GB2312" w:cs="Times New Roman"/>
          <w:b w:val="0"/>
          <w:bCs w:val="0"/>
          <w:color w:val="000000"/>
          <w:sz w:val="32"/>
          <w:szCs w:val="32"/>
        </w:rPr>
        <w:t>八、一般公共预算财政拨款基本支出决算明细表</w:t>
      </w:r>
      <w:bookmarkEnd w:id="24"/>
    </w:p>
    <w:p w14:paraId="411A1F3F">
      <w:pPr>
        <w:pStyle w:val="4"/>
        <w:spacing w:after="0" w:line="560" w:lineRule="exact"/>
        <w:outlineLvl w:val="1"/>
      </w:pPr>
      <w:bookmarkStart w:id="25" w:name="_Toc12298"/>
      <w:r>
        <w:rPr>
          <w:rFonts w:ascii="Times New Roman" w:hAnsi="Times New Roman" w:eastAsia="FangSong_GB2312" w:cs="Times New Roman"/>
          <w:b w:val="0"/>
          <w:bCs w:val="0"/>
          <w:color w:val="000000"/>
          <w:sz w:val="32"/>
          <w:szCs w:val="32"/>
        </w:rPr>
        <w:t>九、一般公共预算财政拨款项目支出决算表</w:t>
      </w:r>
      <w:bookmarkEnd w:id="25"/>
    </w:p>
    <w:p w14:paraId="5E1B7C0C">
      <w:pPr>
        <w:pStyle w:val="4"/>
        <w:spacing w:after="0" w:line="560" w:lineRule="exact"/>
        <w:outlineLvl w:val="1"/>
      </w:pPr>
      <w:bookmarkStart w:id="26" w:name="_Toc30209"/>
      <w:r>
        <w:rPr>
          <w:rFonts w:ascii="Times New Roman" w:hAnsi="Times New Roman" w:eastAsia="FangSong_GB2312" w:cs="Times New Roman"/>
          <w:b w:val="0"/>
          <w:bCs w:val="0"/>
          <w:color w:val="000000"/>
          <w:sz w:val="32"/>
          <w:szCs w:val="32"/>
        </w:rPr>
        <w:t>十、政府性基金预算财政拨款收入支出决算表</w:t>
      </w:r>
      <w:bookmarkEnd w:id="26"/>
    </w:p>
    <w:p w14:paraId="742F148F">
      <w:pPr>
        <w:pStyle w:val="4"/>
        <w:spacing w:after="0" w:line="560" w:lineRule="exact"/>
        <w:outlineLvl w:val="1"/>
      </w:pPr>
      <w:bookmarkStart w:id="27" w:name="_Toc15492"/>
      <w:r>
        <w:rPr>
          <w:rFonts w:ascii="Times New Roman" w:hAnsi="Times New Roman" w:eastAsia="FangSong_GB2312" w:cs="Times New Roman"/>
          <w:b w:val="0"/>
          <w:bCs w:val="0"/>
          <w:color w:val="000000"/>
          <w:sz w:val="32"/>
          <w:szCs w:val="32"/>
        </w:rPr>
        <w:t>十一、国有资本经营预算财政拨款收入支出决算表</w:t>
      </w:r>
      <w:bookmarkEnd w:id="27"/>
    </w:p>
    <w:p w14:paraId="25083C60">
      <w:pPr>
        <w:pStyle w:val="4"/>
        <w:spacing w:after="0" w:line="560" w:lineRule="exact"/>
        <w:outlineLvl w:val="1"/>
      </w:pPr>
      <w:bookmarkStart w:id="28" w:name="_Toc17009"/>
      <w:r>
        <w:rPr>
          <w:rFonts w:ascii="Times New Roman" w:hAnsi="Times New Roman" w:eastAsia="FangSong_GB2312" w:cs="Times New Roman"/>
          <w:b w:val="0"/>
          <w:bCs w:val="0"/>
          <w:color w:val="000000"/>
          <w:sz w:val="32"/>
          <w:szCs w:val="32"/>
        </w:rPr>
        <w:t>十二、国有资本经营预算财政拨款支出决算表</w:t>
      </w:r>
      <w:bookmarkEnd w:id="28"/>
    </w:p>
    <w:p w14:paraId="5CF64927">
      <w:pPr>
        <w:pStyle w:val="4"/>
        <w:spacing w:after="0" w:line="560" w:lineRule="exact"/>
        <w:outlineLvl w:val="1"/>
      </w:pPr>
      <w:bookmarkStart w:id="29" w:name="_Toc31804"/>
      <w:r>
        <w:rPr>
          <w:rFonts w:ascii="Times New Roman" w:hAnsi="Times New Roman" w:eastAsia="FangSong_GB2312" w:cs="Times New Roman"/>
          <w:b w:val="0"/>
          <w:bCs w:val="0"/>
          <w:color w:val="000000"/>
          <w:sz w:val="32"/>
          <w:szCs w:val="32"/>
        </w:rPr>
        <w:t>十三、财政拨款“三公”经费支出决算表</w:t>
      </w:r>
      <w:bookmarkEnd w:id="29"/>
    </w:p>
    <w:sectPr>
      <w:footerReference r:id="rId3"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03" w:usb1="2BDF3C10" w:usb2="00000016" w:usb3="00000000" w:csb0="602E0107" w:csb1="00000000"/>
  </w:font>
  <w:font w:name="方正黑体_GBK">
    <w:panose1 w:val="02000000000000000000"/>
    <w:charset w:val="86"/>
    <w:family w:val="auto"/>
    <w:pitch w:val="default"/>
    <w:sig w:usb0="00000001" w:usb1="08000000" w:usb2="00000000" w:usb3="00000000" w:csb0="00040000" w:csb1="00000000"/>
  </w:font>
  <w:font w:name="FangSong_GB2312">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KaiTi_GB2312">
    <w:altName w:val="国标仿宋"/>
    <w:panose1 w:val="00000000000000000000"/>
    <w:charset w:val="00"/>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quote-cjk-patch">
    <w:altName w:val="国标仿宋"/>
    <w:panose1 w:val="00000000000000000000"/>
    <w:charset w:val="00"/>
    <w:family w:val="auto"/>
    <w:pitch w:val="default"/>
    <w:sig w:usb0="00000000" w:usb1="00000000" w:usb2="00000000" w:usb3="00000000" w:csb0="00000000" w:csb1="00000000"/>
  </w:font>
  <w:font w:name="GWZT-EN">
    <w:panose1 w:val="02020400000000000000"/>
    <w:charset w:val="86"/>
    <w:family w:val="auto"/>
    <w:pitch w:val="default"/>
    <w:sig w:usb0="A00002BF" w:usb1="38CF7CFA" w:usb2="00082016" w:usb3="00000000" w:csb0="00040001" w:csb1="00000000"/>
  </w:font>
  <w:font w:name="等线">
    <w:altName w:val="Noto Sans CJK SC"/>
    <w:panose1 w:val="00000000000000000000"/>
    <w:charset w:val="00"/>
    <w:family w:val="auto"/>
    <w:pitch w:val="default"/>
    <w:sig w:usb0="00000000" w:usb1="00000000" w:usb2="00000000" w:usb3="00000000" w:csb0="0000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E6003">
    <w:pPr>
      <w:jc w:val="center"/>
    </w:pPr>
    <w:r>
      <w:rPr>
        <w:rFonts w:ascii="Times New Roman" w:hAnsi="Times New Roman" w:eastAsia="FangSong_GB2312" w:cs="Times New Roman"/>
        <w:color w:val="000000"/>
        <w:sz w:val="18"/>
        <w:szCs w:val="18"/>
      </w:rPr>
      <w:fldChar w:fldCharType="begin"/>
    </w:r>
    <w:r>
      <w:rPr>
        <w:rFonts w:ascii="Times New Roman" w:hAnsi="Times New Roman" w:eastAsia="FangSong_GB2312" w:cs="Times New Roman"/>
        <w:color w:val="000000"/>
        <w:sz w:val="18"/>
        <w:szCs w:val="18"/>
      </w:rPr>
      <w:instrText xml:space="preserve">PAGE</w:instrText>
    </w:r>
    <w:r>
      <w:rPr>
        <w:rFonts w:ascii="Times New Roman" w:hAnsi="Times New Roman" w:eastAsia="FangSong_GB2312" w:cs="Times New Roman"/>
        <w:color w:val="000000"/>
        <w:sz w:val="18"/>
        <w:szCs w:val="18"/>
      </w:rPr>
      <w:fldChar w:fldCharType="separate"/>
    </w:r>
    <w:r>
      <w:rPr>
        <w:rFonts w:ascii="Times New Roman" w:hAnsi="Times New Roman" w:eastAsia="FangSong_GB2312" w:cs="Times New Roman"/>
        <w:color w:val="000000"/>
        <w:sz w:val="18"/>
        <w:szCs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FDFDE6"/>
    <w:multiLevelType w:val="singleLevel"/>
    <w:tmpl w:val="B3FDFDE6"/>
    <w:lvl w:ilvl="0" w:tentative="0">
      <w:start w:val="2"/>
      <w:numFmt w:val="chineseCounting"/>
      <w:suff w:val="nothing"/>
      <w:lvlText w:val="（%1）"/>
      <w:lvlJc w:val="left"/>
      <w:rPr>
        <w:rFonts w:hint="eastAsia"/>
      </w:rPr>
    </w:lvl>
  </w:abstractNum>
  <w:abstractNum w:abstractNumId="1">
    <w:nsid w:val="CD1B98ED"/>
    <w:multiLevelType w:val="singleLevel"/>
    <w:tmpl w:val="CD1B98ED"/>
    <w:lvl w:ilvl="0" w:tentative="0">
      <w:start w:val="2"/>
      <w:numFmt w:val="chineseCounting"/>
      <w:suff w:val="nothing"/>
      <w:lvlText w:val="（%1）"/>
      <w:lvlJc w:val="left"/>
      <w:rPr>
        <w:rFonts w:hint="eastAsia"/>
      </w:rPr>
    </w:lvl>
  </w:abstractNum>
  <w:abstractNum w:abstractNumId="2">
    <w:nsid w:val="DFD95470"/>
    <w:multiLevelType w:val="singleLevel"/>
    <w:tmpl w:val="DFD95470"/>
    <w:lvl w:ilvl="0" w:tentative="0">
      <w:start w:val="2"/>
      <w:numFmt w:val="chineseCounting"/>
      <w:suff w:val="nothing"/>
      <w:lvlText w:val="（%1）"/>
      <w:lvlJc w:val="left"/>
      <w:rPr>
        <w:rFonts w:hint="eastAsia"/>
      </w:rPr>
    </w:lvl>
  </w:abstractNum>
  <w:abstractNum w:abstractNumId="3">
    <w:nsid w:val="EBFF5ABC"/>
    <w:multiLevelType w:val="singleLevel"/>
    <w:tmpl w:val="EBFF5ABC"/>
    <w:lvl w:ilvl="0" w:tentative="0">
      <w:start w:val="2"/>
      <w:numFmt w:val="chineseCounting"/>
      <w:suff w:val="nothing"/>
      <w:lvlText w:val="（%1）"/>
      <w:lvlJc w:val="left"/>
      <w:rPr>
        <w:rFonts w:hint="eastAsia"/>
      </w:rPr>
    </w:lvl>
  </w:abstractNum>
  <w:abstractNum w:abstractNumId="4">
    <w:nsid w:val="EDFE7D0E"/>
    <w:multiLevelType w:val="singleLevel"/>
    <w:tmpl w:val="EDFE7D0E"/>
    <w:lvl w:ilvl="0" w:tentative="0">
      <w:start w:val="2"/>
      <w:numFmt w:val="chineseCounting"/>
      <w:suff w:val="nothing"/>
      <w:lvlText w:val="（%1）"/>
      <w:lvlJc w:val="left"/>
      <w:rPr>
        <w:rFonts w:hint="eastAsia"/>
      </w:rPr>
    </w:lvl>
  </w:abstractNum>
  <w:abstractNum w:abstractNumId="5">
    <w:nsid w:val="FFF7AF64"/>
    <w:multiLevelType w:val="singleLevel"/>
    <w:tmpl w:val="FFF7AF64"/>
    <w:lvl w:ilvl="0" w:tentative="0">
      <w:start w:val="2"/>
      <w:numFmt w:val="chineseCounting"/>
      <w:suff w:val="nothing"/>
      <w:lvlText w:val="（%1）"/>
      <w:lvlJc w:val="left"/>
      <w:rPr>
        <w:rFonts w:hint="eastAsia"/>
      </w:rPr>
    </w:lvl>
  </w:abstractNum>
  <w:abstractNum w:abstractNumId="6">
    <w:nsid w:val="FFFECB38"/>
    <w:multiLevelType w:val="singleLevel"/>
    <w:tmpl w:val="FFFECB38"/>
    <w:lvl w:ilvl="0" w:tentative="0">
      <w:start w:val="2"/>
      <w:numFmt w:val="chineseCounting"/>
      <w:suff w:val="nothing"/>
      <w:lvlText w:val="（%1）"/>
      <w:lvlJc w:val="left"/>
      <w:rPr>
        <w:rFonts w:hint="eastAsia"/>
      </w:rPr>
    </w:lvl>
  </w:abstractNum>
  <w:abstractNum w:abstractNumId="7">
    <w:nsid w:val="2FD4D2AC"/>
    <w:multiLevelType w:val="singleLevel"/>
    <w:tmpl w:val="2FD4D2AC"/>
    <w:lvl w:ilvl="0" w:tentative="0">
      <w:start w:val="2"/>
      <w:numFmt w:val="chineseCounting"/>
      <w:suff w:val="nothing"/>
      <w:lvlText w:val="（%1）"/>
      <w:lvlJc w:val="left"/>
      <w:rPr>
        <w:rFonts w:hint="eastAsia"/>
      </w:rPr>
    </w:lvl>
  </w:abstractNum>
  <w:abstractNum w:abstractNumId="8">
    <w:nsid w:val="5DD638D9"/>
    <w:multiLevelType w:val="singleLevel"/>
    <w:tmpl w:val="5DD638D9"/>
    <w:lvl w:ilvl="0" w:tentative="0">
      <w:start w:val="2"/>
      <w:numFmt w:val="chineseCounting"/>
      <w:suff w:val="nothing"/>
      <w:lvlText w:val="（%1）"/>
      <w:lvlJc w:val="left"/>
      <w:rPr>
        <w:rFonts w:hint="eastAsia"/>
      </w:rPr>
    </w:lvl>
  </w:abstractNum>
  <w:abstractNum w:abstractNumId="9">
    <w:nsid w:val="7D33A25A"/>
    <w:multiLevelType w:val="singleLevel"/>
    <w:tmpl w:val="7D33A25A"/>
    <w:lvl w:ilvl="0" w:tentative="0">
      <w:start w:val="2"/>
      <w:numFmt w:val="chineseCounting"/>
      <w:suff w:val="nothing"/>
      <w:lvlText w:val="（%1）"/>
      <w:lvlJc w:val="left"/>
      <w:rPr>
        <w:rFonts w:hint="eastAsia"/>
      </w:rPr>
    </w:lvl>
  </w:abstractNum>
  <w:abstractNum w:abstractNumId="10">
    <w:nsid w:val="7F7F2B34"/>
    <w:multiLevelType w:val="singleLevel"/>
    <w:tmpl w:val="7F7F2B34"/>
    <w:lvl w:ilvl="0" w:tentative="0">
      <w:start w:val="2"/>
      <w:numFmt w:val="chineseCounting"/>
      <w:suff w:val="nothing"/>
      <w:lvlText w:val="（%1）"/>
      <w:lvlJc w:val="left"/>
      <w:rPr>
        <w:rFonts w:hint="eastAsia"/>
      </w:rPr>
    </w:lvl>
  </w:abstractNum>
  <w:num w:numId="1">
    <w:abstractNumId w:val="0"/>
  </w:num>
  <w:num w:numId="2">
    <w:abstractNumId w:val="9"/>
  </w:num>
  <w:num w:numId="3">
    <w:abstractNumId w:val="2"/>
  </w:num>
  <w:num w:numId="4">
    <w:abstractNumId w:val="3"/>
  </w:num>
  <w:num w:numId="5">
    <w:abstractNumId w:val="1"/>
  </w:num>
  <w:num w:numId="6">
    <w:abstractNumId w:val="5"/>
  </w:num>
  <w:num w:numId="7">
    <w:abstractNumId w:val="6"/>
  </w:num>
  <w:num w:numId="8">
    <w:abstractNumId w:val="4"/>
  </w:num>
  <w:num w:numId="9">
    <w:abstractNumId w:val="10"/>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72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27CF1626"/>
    <w:rsid w:val="3D0C074C"/>
    <w:rsid w:val="504962F7"/>
    <w:rsid w:val="5ED67EF6"/>
    <w:rsid w:val="68E612E2"/>
    <w:rsid w:val="7A522C6C"/>
    <w:rsid w:val="EF7D1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nhideWhenUsed="0" w:uiPriority="0" w:semiHidden="0" w:name="Normal Indent"/>
    <w:lsdException w:qFormat="1" w:uiPriority="99"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qFormat="1" w:uiPriority="99"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heme="minorHAnsi" w:hAnsiTheme="minorHAnsi" w:eastAsiaTheme="minorEastAsia" w:cstheme="minorBidi"/>
      <w:sz w:val="21"/>
      <w:szCs w:val="22"/>
    </w:rPr>
  </w:style>
  <w:style w:type="paragraph" w:styleId="3">
    <w:name w:val="heading 1"/>
    <w:basedOn w:val="1"/>
    <w:next w:val="1"/>
    <w:qFormat/>
    <w:uiPriority w:val="0"/>
    <w:rPr>
      <w:color w:val="2E74B5"/>
      <w:sz w:val="32"/>
      <w:szCs w:val="32"/>
    </w:rPr>
  </w:style>
  <w:style w:type="paragraph" w:styleId="4">
    <w:name w:val="heading 2"/>
    <w:basedOn w:val="1"/>
    <w:next w:val="1"/>
    <w:qFormat/>
    <w:uiPriority w:val="0"/>
    <w:rPr>
      <w:color w:val="2E74B5"/>
      <w:sz w:val="26"/>
      <w:szCs w:val="26"/>
    </w:rPr>
  </w:style>
  <w:style w:type="paragraph" w:styleId="5">
    <w:name w:val="heading 3"/>
    <w:basedOn w:val="1"/>
    <w:next w:val="1"/>
    <w:qFormat/>
    <w:uiPriority w:val="0"/>
    <w:rPr>
      <w:color w:val="1F4D78"/>
      <w:sz w:val="24"/>
      <w:szCs w:val="24"/>
    </w:rPr>
  </w:style>
  <w:style w:type="paragraph" w:styleId="6">
    <w:name w:val="heading 4"/>
    <w:basedOn w:val="1"/>
    <w:next w:val="1"/>
    <w:qFormat/>
    <w:uiPriority w:val="0"/>
    <w:rPr>
      <w:i/>
      <w:iCs/>
      <w:color w:val="2E74B5"/>
    </w:rPr>
  </w:style>
  <w:style w:type="paragraph" w:styleId="7">
    <w:name w:val="heading 5"/>
    <w:basedOn w:val="1"/>
    <w:next w:val="1"/>
    <w:qFormat/>
    <w:uiPriority w:val="0"/>
    <w:rPr>
      <w:color w:val="2E74B5"/>
    </w:rPr>
  </w:style>
  <w:style w:type="paragraph" w:styleId="8">
    <w:name w:val="heading 6"/>
    <w:basedOn w:val="1"/>
    <w:next w:val="1"/>
    <w:qFormat/>
    <w:uiPriority w:val="0"/>
    <w:rPr>
      <w:color w:val="1F4D78"/>
    </w:rPr>
  </w:style>
  <w:style w:type="character" w:default="1" w:styleId="25">
    <w:name w:val="Default Paragraph Font"/>
    <w:semiHidden/>
    <w:qFormat/>
    <w:uiPriority w:val="0"/>
  </w:style>
  <w:style w:type="table" w:default="1" w:styleId="24">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9">
    <w:name w:val="toc 7"/>
    <w:basedOn w:val="1"/>
    <w:next w:val="1"/>
    <w:semiHidden/>
    <w:unhideWhenUsed/>
    <w:qFormat/>
    <w:uiPriority w:val="39"/>
    <w:pPr>
      <w:spacing w:after="100"/>
      <w:ind w:left="1200"/>
    </w:pPr>
  </w:style>
  <w:style w:type="paragraph" w:styleId="10">
    <w:name w:val="caption"/>
    <w:basedOn w:val="1"/>
    <w:next w:val="1"/>
    <w:semiHidden/>
    <w:unhideWhenUsed/>
    <w:qFormat/>
    <w:uiPriority w:val="35"/>
    <w:pPr>
      <w:spacing w:after="200"/>
    </w:pPr>
    <w:rPr>
      <w:i/>
      <w:iCs/>
      <w:color w:val="44546A" w:themeColor="dark2"/>
      <w:sz w:val="18"/>
      <w:szCs w:val="18"/>
      <w14:textFill>
        <w14:solidFill>
          <w14:schemeClr w14:val="dk2"/>
        </w14:solidFill>
      </w14:textFill>
    </w:rPr>
  </w:style>
  <w:style w:type="paragraph" w:styleId="11">
    <w:name w:val="toc 5"/>
    <w:basedOn w:val="1"/>
    <w:next w:val="1"/>
    <w:semiHidden/>
    <w:unhideWhenUsed/>
    <w:qFormat/>
    <w:uiPriority w:val="39"/>
    <w:pPr>
      <w:spacing w:after="100"/>
      <w:ind w:left="800"/>
    </w:pPr>
  </w:style>
  <w:style w:type="paragraph" w:styleId="12">
    <w:name w:val="toc 3"/>
    <w:basedOn w:val="1"/>
    <w:next w:val="1"/>
    <w:semiHidden/>
    <w:unhideWhenUsed/>
    <w:qFormat/>
    <w:uiPriority w:val="39"/>
    <w:pPr>
      <w:spacing w:after="100"/>
      <w:ind w:left="400"/>
    </w:pPr>
  </w:style>
  <w:style w:type="paragraph" w:styleId="13">
    <w:name w:val="toc 8"/>
    <w:basedOn w:val="1"/>
    <w:next w:val="1"/>
    <w:semiHidden/>
    <w:unhideWhenUsed/>
    <w:qFormat/>
    <w:uiPriority w:val="39"/>
    <w:pPr>
      <w:spacing w:after="100"/>
      <w:ind w:left="1400"/>
    </w:pPr>
  </w:style>
  <w:style w:type="paragraph" w:styleId="14">
    <w:name w:val="endnote text"/>
    <w:basedOn w:val="1"/>
    <w:link w:val="33"/>
    <w:semiHidden/>
    <w:unhideWhenUsed/>
    <w:qFormat/>
    <w:uiPriority w:val="99"/>
    <w:pPr>
      <w:spacing w:after="0" w:line="240" w:lineRule="auto"/>
    </w:pPr>
    <w:rPr>
      <w:sz w:val="20"/>
      <w:szCs w:val="20"/>
    </w:rPr>
  </w:style>
  <w:style w:type="paragraph" w:styleId="15">
    <w:name w:val="footer"/>
    <w:basedOn w:val="1"/>
    <w:qFormat/>
    <w:uiPriority w:val="99"/>
    <w:pPr>
      <w:tabs>
        <w:tab w:val="center" w:pos="4153"/>
        <w:tab w:val="right" w:pos="8306"/>
      </w:tabs>
      <w:snapToGrid w:val="0"/>
      <w:jc w:val="left"/>
    </w:pPr>
    <w:rPr>
      <w:sz w:val="18"/>
      <w:szCs w:val="18"/>
    </w:rPr>
  </w:style>
  <w:style w:type="paragraph" w:styleId="1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0"/>
    <w:pPr>
      <w:spacing w:line="360" w:lineRule="auto"/>
    </w:pPr>
    <w:rPr>
      <w:rFonts w:ascii="Times New Roman" w:hAnsi="Times New Roman" w:eastAsia="FangSong_GB2312" w:cs="Times New Roman"/>
      <w:color w:val="000000"/>
      <w:sz w:val="28"/>
      <w:szCs w:val="28"/>
    </w:rPr>
  </w:style>
  <w:style w:type="paragraph" w:styleId="18">
    <w:name w:val="toc 4"/>
    <w:basedOn w:val="1"/>
    <w:next w:val="1"/>
    <w:semiHidden/>
    <w:unhideWhenUsed/>
    <w:qFormat/>
    <w:uiPriority w:val="39"/>
    <w:pPr>
      <w:spacing w:after="100"/>
      <w:ind w:left="600"/>
    </w:pPr>
  </w:style>
  <w:style w:type="paragraph" w:styleId="19">
    <w:name w:val="footnote text"/>
    <w:basedOn w:val="1"/>
    <w:link w:val="32"/>
    <w:semiHidden/>
    <w:unhideWhenUsed/>
    <w:qFormat/>
    <w:uiPriority w:val="99"/>
    <w:pPr>
      <w:spacing w:after="0" w:line="240" w:lineRule="auto"/>
    </w:pPr>
    <w:rPr>
      <w:sz w:val="20"/>
      <w:szCs w:val="20"/>
    </w:rPr>
  </w:style>
  <w:style w:type="paragraph" w:styleId="20">
    <w:name w:val="toc 6"/>
    <w:basedOn w:val="1"/>
    <w:next w:val="1"/>
    <w:semiHidden/>
    <w:unhideWhenUsed/>
    <w:qFormat/>
    <w:uiPriority w:val="39"/>
    <w:pPr>
      <w:spacing w:after="100"/>
      <w:ind w:left="1000"/>
    </w:pPr>
  </w:style>
  <w:style w:type="paragraph" w:styleId="21">
    <w:name w:val="toc 2"/>
    <w:basedOn w:val="1"/>
    <w:next w:val="1"/>
    <w:qFormat/>
    <w:uiPriority w:val="0"/>
    <w:pPr>
      <w:spacing w:line="360" w:lineRule="auto"/>
      <w:ind w:left="360"/>
    </w:pPr>
    <w:rPr>
      <w:rFonts w:ascii="Times New Roman" w:hAnsi="Times New Roman" w:eastAsia="FangSong_GB2312" w:cs="Times New Roman"/>
      <w:color w:val="000000"/>
      <w:sz w:val="28"/>
      <w:szCs w:val="28"/>
    </w:rPr>
  </w:style>
  <w:style w:type="paragraph" w:styleId="22">
    <w:name w:val="toc 9"/>
    <w:basedOn w:val="1"/>
    <w:next w:val="1"/>
    <w:semiHidden/>
    <w:unhideWhenUsed/>
    <w:qFormat/>
    <w:uiPriority w:val="39"/>
    <w:pPr>
      <w:spacing w:after="100"/>
      <w:ind w:left="1600"/>
    </w:pPr>
  </w:style>
  <w:style w:type="paragraph" w:styleId="23">
    <w:name w:val="Title"/>
    <w:basedOn w:val="1"/>
    <w:next w:val="1"/>
    <w:qFormat/>
    <w:uiPriority w:val="0"/>
    <w:rPr>
      <w:sz w:val="56"/>
      <w:szCs w:val="56"/>
    </w:rPr>
  </w:style>
  <w:style w:type="character" w:styleId="26">
    <w:name w:val="endnote reference"/>
    <w:semiHidden/>
    <w:unhideWhenUsed/>
    <w:qFormat/>
    <w:uiPriority w:val="99"/>
    <w:rPr>
      <w:vertAlign w:val="superscript"/>
    </w:rPr>
  </w:style>
  <w:style w:type="character" w:styleId="27">
    <w:name w:val="line number"/>
    <w:semiHidden/>
    <w:unhideWhenUsed/>
    <w:qFormat/>
    <w:uiPriority w:val="99"/>
  </w:style>
  <w:style w:type="character" w:styleId="28">
    <w:name w:val="Hyperlink"/>
    <w:unhideWhenUsed/>
    <w:qFormat/>
    <w:uiPriority w:val="99"/>
    <w:rPr>
      <w:color w:val="0563C1"/>
      <w:u w:val="single"/>
    </w:rPr>
  </w:style>
  <w:style w:type="character" w:styleId="29">
    <w:name w:val="footnote reference"/>
    <w:semiHidden/>
    <w:unhideWhenUsed/>
    <w:qFormat/>
    <w:uiPriority w:val="99"/>
    <w:rPr>
      <w:vertAlign w:val="superscript"/>
    </w:rPr>
  </w:style>
  <w:style w:type="paragraph" w:styleId="30">
    <w:name w:val="List Paragraph"/>
    <w:basedOn w:val="1"/>
    <w:qFormat/>
    <w:uiPriority w:val="0"/>
  </w:style>
  <w:style w:type="paragraph" w:customStyle="1" w:styleId="31">
    <w:name w:val="Bibliography"/>
    <w:basedOn w:val="1"/>
    <w:next w:val="1"/>
    <w:unhideWhenUsed/>
    <w:qFormat/>
    <w:uiPriority w:val="37"/>
  </w:style>
  <w:style w:type="character" w:customStyle="1" w:styleId="32">
    <w:name w:val="Footnote Text Char"/>
    <w:link w:val="19"/>
    <w:semiHidden/>
    <w:unhideWhenUsed/>
    <w:qFormat/>
    <w:uiPriority w:val="99"/>
    <w:rPr>
      <w:sz w:val="20"/>
      <w:szCs w:val="20"/>
    </w:rPr>
  </w:style>
  <w:style w:type="character" w:customStyle="1" w:styleId="33">
    <w:name w:val="Endnote Text Char"/>
    <w:link w:val="14"/>
    <w:semiHidden/>
    <w:unhideWhenUsed/>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96</Pages>
  <Words>23</Words>
  <Characters>26</Characters>
  <TotalTime>3</TotalTime>
  <ScaleCrop>false</ScaleCrop>
  <LinksUpToDate>false</LinksUpToDate>
  <CharactersWithSpaces>28</CharactersWithSpaces>
  <Application>WPS Office_12.1.2.23582_F1E327BC-269C-435d-A152-05C5408002CA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2026-10-29T19:29:00Z</dcterms:created>
  <dc:creator>Un-named</dc:creator>
  <cp:lastModifiedBy>HUAWE</cp:lastModifiedBy>
  <dcterms:modified xsi:type="dcterms:W3CDTF">2026-11-03T11:17:38Z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eyJoZGlkIjoiMGM4N2M2NTFhOWVkZjQ0OGU1NGIyNzBmMGYwY2QzYTIiLCJ1c2VySWQiOiI5MjU5MDIwNjMifQ==</vt:lpwstr>
  </property>
  <property fmtid="{D5CDD505-2E9C-101B-9397-08002B2CF9AE}" pid="3" name="KSOProductBuildVer">
    <vt:lpwstr>2052-12.1.2.23582</vt:lpwstr>
  </property>
  <property fmtid="{D5CDD505-2E9C-101B-9397-08002B2CF9AE}" pid="4" name="ICV">
    <vt:lpwstr>7BED1ED20F784C5197E7B31A37D925CB_12</vt:lpwstr>
  </property>
</Properties>
</file>