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bookmarkStart w:id="0" w:name="_Toc15396597"/>
      <w:bookmarkStart w:id="1" w:name="_Toc15378441"/>
      <w:bookmarkStart w:id="2" w:name="_Toc15396475"/>
      <w:bookmarkStart w:id="3" w:name="_Toc15377425"/>
      <w:bookmarkStart w:id="4" w:name="_Toc15377193"/>
      <w:bookmarkStart w:id="5" w:name="_Toc15306267"/>
      <w:r>
        <w:rPr>
          <w:rFonts w:hint="eastAsia" w:ascii="Times New Roman" w:eastAsia="方正小标宋简体" w:cs="Times New Roman"/>
          <w:color w:val="auto"/>
          <w:kern w:val="2"/>
          <w:sz w:val="44"/>
          <w:szCs w:val="44"/>
          <w:highlight w:val="none"/>
          <w:lang w:val="en-US" w:eastAsia="zh-CN" w:bidi="ar-SA"/>
        </w:rPr>
        <w:t>2025年度大竹堡乡人民政府</w:t>
      </w:r>
      <w:r>
        <w:rPr>
          <w:rFonts w:hint="eastAsia" w:ascii="Times New Roman" w:hAnsi="Times New Roman" w:eastAsia="方正小标宋简体" w:cs="Times New Roman"/>
          <w:color w:val="auto"/>
          <w:kern w:val="2"/>
          <w:sz w:val="44"/>
          <w:szCs w:val="44"/>
          <w:highlight w:val="none"/>
          <w:lang w:val="en-US" w:eastAsia="zh-CN" w:bidi="ar-SA"/>
        </w:rPr>
        <w:t>决算</w:t>
      </w:r>
    </w:p>
    <w:p>
      <w:pPr>
        <w:pStyle w:val="2"/>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公开文字说明范本</w:t>
      </w:r>
      <w:r>
        <w:rPr>
          <w:rFonts w:hint="eastAsia" w:ascii="Times New Roman" w:eastAsia="方正小标宋简体" w:cs="Times New Roman"/>
          <w:color w:val="auto"/>
          <w:kern w:val="2"/>
          <w:sz w:val="44"/>
          <w:szCs w:val="44"/>
          <w:highlight w:val="none"/>
          <w:lang w:val="en-US" w:eastAsia="zh-CN" w:bidi="ar-SA"/>
        </w:rPr>
        <w:t>及样表</w:t>
      </w:r>
    </w:p>
    <w:p>
      <w:pPr>
        <w:spacing w:line="600" w:lineRule="exact"/>
        <w:jc w:val="center"/>
        <w:outlineLvl w:val="0"/>
        <w:rPr>
          <w:rFonts w:ascii="Times New Roman" w:hAnsi="Times New Roman" w:eastAsia="方正小标宋简体"/>
          <w:color w:val="auto"/>
          <w:sz w:val="72"/>
          <w:szCs w:val="72"/>
          <w:highlight w:val="none"/>
        </w:rPr>
      </w:pPr>
    </w:p>
    <w:p>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8442"/>
      <w:bookmarkStart w:id="7" w:name="_Toc15377194"/>
      <w:bookmarkStart w:id="8" w:name="_Toc15396598"/>
      <w:bookmarkStart w:id="9" w:name="_Toc15396476"/>
      <w:bookmarkStart w:id="10" w:name="_Toc1537742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大竹堡乡人民政府</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pPr>
        <w:widowControl/>
        <w:jc w:val="center"/>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19</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pPr>
        <w:widowControl/>
        <w:jc w:val="left"/>
        <w:rPr>
          <w:rFonts w:ascii="Times New Roman" w:hAnsi="Times New Roman" w:eastAsia="黑体"/>
          <w:color w:val="auto"/>
          <w:sz w:val="32"/>
          <w:szCs w:val="32"/>
          <w:highlight w:val="none"/>
        </w:rPr>
      </w:pPr>
    </w:p>
    <w:p>
      <w:pPr>
        <w:pStyle w:val="4"/>
        <w:rPr>
          <w:rStyle w:val="29"/>
          <w:rFonts w:hint="eastAsia" w:ascii="Times New Roman" w:hAnsi="Times New Roman" w:eastAsia="黑体"/>
          <w:b w:val="0"/>
          <w:bCs w:val="0"/>
          <w:color w:val="auto"/>
          <w:highlight w:val="none"/>
          <w:lang w:eastAsia="zh-CN"/>
        </w:rPr>
      </w:pPr>
      <w:bookmarkStart w:id="14" w:name="_Toc15377197"/>
      <w:bookmarkStart w:id="15" w:name="_Toc15396600"/>
      <w:r>
        <w:rPr>
          <w:rFonts w:hint="eastAsia" w:ascii="Times New Roman" w:hAnsi="Times New Roman" w:eastAsia="黑体"/>
          <w:b w:val="0"/>
          <w:color w:val="auto"/>
          <w:highlight w:val="none"/>
        </w:rPr>
        <w:t>一、</w:t>
      </w:r>
      <w:bookmarkEnd w:id="14"/>
      <w:bookmarkEnd w:id="15"/>
      <w:r>
        <w:rPr>
          <w:rFonts w:hint="eastAsia" w:ascii="Times New Roman" w:hAnsi="Times New Roman" w:eastAsia="黑体"/>
          <w:b w:val="0"/>
          <w:color w:val="auto"/>
          <w:highlight w:val="none"/>
          <w:lang w:eastAsia="zh-CN"/>
        </w:rPr>
        <w:t>部门职责</w:t>
      </w:r>
    </w:p>
    <w:p>
      <w:pPr>
        <w:pStyle w:val="4"/>
        <w:rPr>
          <w:rStyle w:val="29"/>
          <w:rFonts w:ascii="Times New Roman" w:hAnsi="Times New Roman"/>
          <w:b w:val="0"/>
          <w:bCs w:val="0"/>
          <w:color w:val="auto"/>
          <w:highlight w:val="none"/>
        </w:rPr>
      </w:pPr>
      <w:bookmarkStart w:id="16" w:name="_Toc15377200"/>
      <w:bookmarkStart w:id="17"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6"/>
      <w:bookmarkEnd w:id="17"/>
    </w:p>
    <w:p>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马边彝族自治县大竹堡乡人民政府</w:t>
      </w:r>
      <w:r>
        <w:rPr>
          <w:rFonts w:hint="eastAsia" w:ascii="Times New Roman" w:hAnsi="Times New Roman" w:eastAsia="仿宋_GB2312" w:cs="仿宋_GB2312"/>
          <w:color w:val="auto"/>
          <w:sz w:val="32"/>
          <w:szCs w:val="32"/>
          <w:highlight w:val="none"/>
        </w:rPr>
        <w:t>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3</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2</w:t>
      </w:r>
      <w:r>
        <w:rPr>
          <w:rFonts w:hint="eastAsia" w:ascii="Times New Roman" w:hAnsi="Times New Roman" w:eastAsia="仿宋_GB2312" w:cs="仿宋_GB2312"/>
          <w:color w:val="auto"/>
          <w:sz w:val="32"/>
          <w:szCs w:val="32"/>
          <w:highlight w:val="none"/>
        </w:rPr>
        <w:t>个。</w:t>
      </w:r>
    </w:p>
    <w:p>
      <w:pPr>
        <w:pStyle w:val="2"/>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w:t>
      </w:r>
      <w:r>
        <w:rPr>
          <w:rFonts w:hint="eastAsia" w:ascii="仿宋_GB2312" w:hAnsi="仿宋_GB2312" w:eastAsia="仿宋_GB2312" w:cs="仿宋_GB2312"/>
          <w:color w:val="auto"/>
          <w:sz w:val="32"/>
          <w:szCs w:val="32"/>
          <w:highlight w:val="none"/>
        </w:rPr>
        <w:t>马边彝族自治县大竹堡乡人民政府</w:t>
      </w:r>
      <w:r>
        <w:rPr>
          <w:rFonts w:hint="eastAsia" w:ascii="Times New Roman"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rPr>
        <w:t>部门决算编制范围的二级预算单位包括：</w:t>
      </w:r>
    </w:p>
    <w:p>
      <w:pPr>
        <w:pStyle w:val="2"/>
        <w:numPr>
          <w:ilvl w:val="0"/>
          <w:numId w:val="0"/>
        </w:numPr>
        <w:adjustRightInd w:val="0"/>
        <w:snapToGrid w:val="0"/>
        <w:spacing w:before="93" w:line="600" w:lineRule="exact"/>
        <w:ind w:left="1152" w:leftChars="0" w:hanging="480" w:firstLineChars="0"/>
        <w:outlineLvl w:val="2"/>
        <w:rPr>
          <w:rFonts w:hint="eastAsia" w:ascii="Times New Roman" w:hAnsi="Times New Roman" w:eastAsia="仿宋_GB2312" w:cs="仿宋_GB2312"/>
          <w:color w:val="auto"/>
          <w:sz w:val="32"/>
          <w:szCs w:val="32"/>
          <w:highlight w:val="none"/>
        </w:rPr>
      </w:pPr>
      <w:bookmarkStart w:id="18" w:name="_Toc15306276"/>
      <w:bookmarkStart w:id="19" w:name="_Toc15377433"/>
      <w:bookmarkStart w:id="20" w:name="_Toc15377202"/>
      <w:bookmarkStart w:id="21" w:name="_Toc15378449"/>
      <w:r>
        <w:rPr>
          <w:rFonts w:hint="eastAsia" w:ascii="Times New Roman" w:cs="仿宋_GB2312"/>
          <w:color w:val="auto"/>
          <w:sz w:val="32"/>
          <w:szCs w:val="32"/>
          <w:highlight w:val="none"/>
          <w:lang w:val="en-US" w:eastAsia="zh-CN"/>
        </w:rPr>
        <w:t>1.</w:t>
      </w:r>
      <w:r>
        <w:rPr>
          <w:rFonts w:hint="eastAsia" w:ascii="Times New Roman" w:cs="仿宋_GB2312"/>
          <w:color w:val="auto"/>
          <w:sz w:val="32"/>
          <w:szCs w:val="32"/>
          <w:highlight w:val="none"/>
          <w:lang w:eastAsia="zh-CN"/>
        </w:rPr>
        <w:t>大竹堡乡人民政府</w:t>
      </w:r>
    </w:p>
    <w:bookmarkEnd w:id="18"/>
    <w:bookmarkEnd w:id="19"/>
    <w:bookmarkEnd w:id="20"/>
    <w:bookmarkEnd w:id="21"/>
    <w:p>
      <w:pPr>
        <w:pStyle w:val="2"/>
        <w:numPr>
          <w:ilvl w:val="0"/>
          <w:numId w:val="0"/>
        </w:numPr>
        <w:adjustRightInd w:val="0"/>
        <w:snapToGrid w:val="0"/>
        <w:spacing w:before="93" w:line="600" w:lineRule="exact"/>
        <w:ind w:left="672" w:leftChars="0"/>
        <w:outlineLvl w:val="2"/>
        <w:rPr>
          <w:rFonts w:hint="eastAsia" w:ascii="Times New Roman" w:hAnsi="Times New Roman" w:eastAsia="仿宋_GB2312" w:cs="仿宋_GB2312"/>
          <w:color w:val="auto"/>
          <w:sz w:val="32"/>
          <w:szCs w:val="32"/>
          <w:highlight w:val="none"/>
        </w:rPr>
      </w:pPr>
      <w:bookmarkStart w:id="22" w:name="_Toc15378450"/>
      <w:bookmarkStart w:id="23" w:name="_Toc15377203"/>
      <w:bookmarkStart w:id="24" w:name="_Toc15306277"/>
      <w:bookmarkStart w:id="25" w:name="_Toc15377434"/>
      <w:r>
        <w:rPr>
          <w:rFonts w:hint="eastAsia" w:ascii="Times New Roman" w:cs="仿宋_GB2312"/>
          <w:color w:val="auto"/>
          <w:sz w:val="32"/>
          <w:szCs w:val="32"/>
          <w:highlight w:val="none"/>
          <w:lang w:val="en-US" w:eastAsia="zh-CN"/>
        </w:rPr>
        <w:t>2.</w:t>
      </w:r>
      <w:r>
        <w:rPr>
          <w:rFonts w:hint="eastAsia" w:ascii="Times New Roman" w:cs="仿宋_GB2312"/>
          <w:color w:val="auto"/>
          <w:sz w:val="32"/>
          <w:szCs w:val="32"/>
          <w:highlight w:val="none"/>
          <w:lang w:eastAsia="zh-CN"/>
        </w:rPr>
        <w:t>便民服务中心</w:t>
      </w:r>
    </w:p>
    <w:p>
      <w:pPr>
        <w:pStyle w:val="2"/>
        <w:numPr>
          <w:ilvl w:val="0"/>
          <w:numId w:val="0"/>
        </w:numPr>
        <w:adjustRightInd w:val="0"/>
        <w:snapToGrid w:val="0"/>
        <w:spacing w:before="93" w:line="600" w:lineRule="exact"/>
        <w:ind w:left="672" w:leftChars="0"/>
        <w:outlineLvl w:val="2"/>
        <w:rPr>
          <w:rFonts w:hint="eastAsia" w:ascii="Times New Roman" w:cs="仿宋_GB2312"/>
          <w:color w:val="auto"/>
          <w:sz w:val="32"/>
          <w:szCs w:val="32"/>
          <w:highlight w:val="none"/>
          <w:lang w:eastAsia="zh-CN"/>
        </w:rPr>
      </w:pPr>
      <w:r>
        <w:rPr>
          <w:rFonts w:hint="eastAsia" w:ascii="Times New Roman" w:cs="仿宋_GB2312"/>
          <w:color w:val="auto"/>
          <w:sz w:val="32"/>
          <w:szCs w:val="32"/>
          <w:highlight w:val="none"/>
          <w:lang w:val="en-US" w:eastAsia="zh-CN"/>
        </w:rPr>
        <w:t>3.</w:t>
      </w:r>
      <w:r>
        <w:rPr>
          <w:rFonts w:hint="eastAsia" w:ascii="Times New Roman" w:cs="仿宋_GB2312"/>
          <w:color w:val="auto"/>
          <w:sz w:val="32"/>
          <w:szCs w:val="32"/>
          <w:highlight w:val="none"/>
          <w:lang w:eastAsia="zh-CN"/>
        </w:rPr>
        <w:t>农业综合服务中心</w:t>
      </w:r>
    </w:p>
    <w:bookmarkEnd w:id="22"/>
    <w:bookmarkEnd w:id="23"/>
    <w:bookmarkEnd w:id="24"/>
    <w:bookmarkEnd w:id="25"/>
    <w:p>
      <w:pPr>
        <w:pStyle w:val="2"/>
        <w:adjustRightInd w:val="0"/>
        <w:snapToGrid w:val="0"/>
        <w:spacing w:before="93" w:line="600" w:lineRule="exact"/>
        <w:ind w:firstLine="1120" w:firstLineChars="350"/>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26" w:name="_Toc15377204"/>
      <w:bookmarkStart w:id="2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6"/>
      <w:bookmarkEnd w:id="27"/>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8" w:name="_Toc15396603"/>
      <w:bookmarkStart w:id="29"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28"/>
      <w:bookmarkEnd w:id="29"/>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1007.64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eastAsia="仿宋_GB2312" w:cs="仿宋_GB2312"/>
          <w:color w:val="auto"/>
          <w:sz w:val="32"/>
          <w:szCs w:val="32"/>
          <w:highlight w:val="none"/>
          <w:lang w:val="en-US" w:eastAsia="zh-CN"/>
        </w:rPr>
        <w:t>158.05</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16.43</w:t>
      </w:r>
      <w:r>
        <w:rPr>
          <w:rFonts w:hint="eastAsia" w:ascii="Times New Roman" w:hAnsi="Times New Roman" w:eastAsia="仿宋_GB2312" w:cs="仿宋_GB2312"/>
          <w:color w:val="auto"/>
          <w:sz w:val="32"/>
          <w:szCs w:val="32"/>
          <w:highlight w:val="none"/>
        </w:rPr>
        <w:t>%。主要变动原因是……</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val="en-US" w:eastAsia="zh-CN"/>
        </w:rPr>
      </w:pPr>
      <w:r>
        <w:drawing>
          <wp:anchor distT="0" distB="0" distL="114935" distR="114935" simplePos="0" relativeHeight="251659264" behindDoc="0" locked="0" layoutInCell="1" allowOverlap="1">
            <wp:simplePos x="0" y="0"/>
            <wp:positionH relativeFrom="column">
              <wp:posOffset>36195</wp:posOffset>
            </wp:positionH>
            <wp:positionV relativeFrom="paragraph">
              <wp:posOffset>10160</wp:posOffset>
            </wp:positionV>
            <wp:extent cx="4572000" cy="2743200"/>
            <wp:effectExtent l="4445" t="4445" r="14605" b="14605"/>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30" w:name="_Toc15377206"/>
      <w:bookmarkStart w:id="31" w:name="_Toc15396604"/>
      <w:r>
        <w:rPr>
          <w:rFonts w:hint="eastAsia" w:ascii="Times New Roman" w:hAnsi="Times New Roman" w:eastAsia="黑体"/>
          <w:color w:val="auto"/>
          <w:sz w:val="32"/>
          <w:szCs w:val="32"/>
          <w:highlight w:val="none"/>
          <w:lang w:eastAsia="zh-CN"/>
        </w:rPr>
        <w:t>二、收入决算情况说明</w:t>
      </w:r>
      <w:bookmarkEnd w:id="30"/>
      <w:bookmarkEnd w:id="3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963.11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959.96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99.67</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3.15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0.32</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271145</wp:posOffset>
            </wp:positionH>
            <wp:positionV relativeFrom="paragraph">
              <wp:posOffset>-2453005</wp:posOffset>
            </wp:positionV>
            <wp:extent cx="4572000" cy="2743200"/>
            <wp:effectExtent l="4445" t="4445" r="14605" b="14605"/>
            <wp:wrapTopAndBottom/>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32" w:name="_Toc15396605"/>
      <w:bookmarkStart w:id="3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32"/>
      <w:bookmarkEnd w:id="3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1007.64</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800.5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79.44</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207.14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20.55</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pPr>
        <w:ind w:firstLine="525" w:firstLineChars="250"/>
      </w:pPr>
      <w:r>
        <w:drawing>
          <wp:inline distT="0" distB="0" distL="114300" distR="114300">
            <wp:extent cx="4572000" cy="2743200"/>
            <wp:effectExtent l="4445" t="4445" r="14605"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lang w:eastAsia="zh-CN"/>
        </w:rPr>
      </w:pPr>
      <w:r>
        <w:rPr>
          <w:rFonts w:hint="eastAsia" w:ascii="Times New Roman" w:hAnsi="Times New Roman" w:eastAsia="仿宋_GB2312" w:cs="仿宋_GB2312"/>
          <w:color w:val="auto"/>
          <w:sz w:val="32"/>
          <w:szCs w:val="32"/>
          <w:highlight w:val="none"/>
          <w:lang w:eastAsia="zh-CN"/>
        </w:rPr>
        <w:t>（图3：支出决算结构图）（饼状图）</w:t>
      </w:r>
    </w:p>
    <w:p>
      <w:pPr>
        <w:spacing w:line="600" w:lineRule="exact"/>
        <w:ind w:firstLine="640" w:firstLineChars="200"/>
        <w:outlineLvl w:val="1"/>
        <w:rPr>
          <w:rStyle w:val="29"/>
          <w:rFonts w:ascii="Times New Roman" w:hAnsi="Times New Roman" w:eastAsia="黑体"/>
          <w:b w:val="0"/>
          <w:color w:val="auto"/>
          <w:highlight w:val="none"/>
        </w:rPr>
      </w:pPr>
      <w:bookmarkStart w:id="34" w:name="_Toc15396606"/>
      <w:bookmarkStart w:id="35"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34"/>
      <w:bookmarkEnd w:id="3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1007.64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130.3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11.45</w:t>
      </w:r>
      <w:r>
        <w:rPr>
          <w:rFonts w:hint="eastAsia" w:ascii="Times New Roman" w:hAnsi="Times New Roman" w:eastAsia="仿宋_GB2312" w:cs="仿宋_GB2312"/>
          <w:color w:val="auto"/>
          <w:kern w:val="2"/>
          <w:sz w:val="32"/>
          <w:szCs w:val="32"/>
          <w:highlight w:val="none"/>
          <w:lang w:val="en-US" w:eastAsia="zh-CN" w:bidi="ar-SA"/>
        </w:rPr>
        <w:t>%。主要变动原因是……</w:t>
      </w:r>
    </w:p>
    <w:p>
      <w:pPr>
        <w:pStyle w:val="2"/>
        <w:rPr>
          <w:rFonts w:hint="eastAsia"/>
          <w:lang w:val="en-US" w:eastAsia="zh-CN"/>
        </w:rPr>
      </w:pPr>
      <w:r>
        <w:drawing>
          <wp:inline distT="0" distB="0" distL="114300" distR="114300">
            <wp:extent cx="4572000" cy="2743200"/>
            <wp:effectExtent l="4445" t="4445" r="14605" b="1460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pPr>
        <w:spacing w:line="600" w:lineRule="exact"/>
        <w:ind w:firstLine="640" w:firstLineChars="200"/>
        <w:outlineLvl w:val="1"/>
        <w:rPr>
          <w:rStyle w:val="29"/>
          <w:rFonts w:ascii="Times New Roman" w:hAnsi="Times New Roman" w:eastAsia="黑体"/>
          <w:b w:val="0"/>
          <w:color w:val="auto"/>
          <w:highlight w:val="none"/>
        </w:rPr>
      </w:pPr>
      <w:bookmarkStart w:id="36" w:name="_Toc15396607"/>
      <w:bookmarkStart w:id="3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6"/>
      <w:bookmarkEnd w:id="37"/>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1004.5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99.68</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116.76</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10.41</w:t>
      </w:r>
      <w:r>
        <w:rPr>
          <w:rFonts w:hint="eastAsia" w:ascii="Times New Roman" w:hAnsi="Times New Roman" w:eastAsia="仿宋_GB2312" w:cs="仿宋_GB2312"/>
          <w:color w:val="auto"/>
          <w:kern w:val="2"/>
          <w:sz w:val="32"/>
          <w:szCs w:val="32"/>
          <w:highlight w:val="none"/>
          <w:lang w:val="en-US" w:eastAsia="zh-CN" w:bidi="ar-SA"/>
        </w:rPr>
        <w:t>%。主要变动原因是……</w:t>
      </w:r>
    </w:p>
    <w:p>
      <w:pPr>
        <w:rPr>
          <w:rFonts w:hint="eastAsia"/>
          <w:lang w:val="en-US" w:eastAsia="zh-CN"/>
        </w:rPr>
      </w:pPr>
      <w:r>
        <w:drawing>
          <wp:inline distT="0" distB="0" distL="114300" distR="114300">
            <wp:extent cx="4572000" cy="2261235"/>
            <wp:effectExtent l="4445" t="4445" r="14605" b="20320"/>
            <wp:docPr id="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1004.5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一般公共服务支出605.66万元，占比 60.30%；教育支出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%；科学技术支出**万元，占**%；文化旅游体育与传媒支出5万元，占比 0.50%；社会保障和就业支出112.73万元，占比 11.22%；卫生健康支出18.33万元，占比 1.83%；住房保障支出46.91万元，占比 4.67%；交通运输支出5万元，占比 0.50%；农林水支出210.87万元，占比 21.00%</w:t>
      </w:r>
    </w:p>
    <w:p>
      <w:pPr>
        <w:pStyle w:val="2"/>
        <w:rPr>
          <w:rFonts w:hint="eastAsia"/>
          <w:lang w:val="en-US" w:eastAsia="zh-CN"/>
        </w:rPr>
      </w:pPr>
      <w:r>
        <w:drawing>
          <wp:inline distT="0" distB="0" distL="114300" distR="114300">
            <wp:extent cx="4822190" cy="2743200"/>
            <wp:effectExtent l="4445" t="4445" r="12065" b="14605"/>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4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1" w:name="_Toc15378460"/>
      <w:bookmarkStart w:id="42" w:name="_Toc15377444"/>
      <w:bookmarkStart w:id="43"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1004.5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xx</w:t>
      </w:r>
      <w:r>
        <w:rPr>
          <w:rFonts w:hint="eastAsia" w:ascii="Times New Roman" w:hAnsi="Times New Roman" w:eastAsia="仿宋_GB2312" w:cs="仿宋_GB2312"/>
          <w:color w:val="auto"/>
          <w:kern w:val="2"/>
          <w:sz w:val="32"/>
          <w:szCs w:val="32"/>
          <w:highlight w:val="none"/>
          <w:lang w:val="en-US" w:eastAsia="zh-CN" w:bidi="ar-SA"/>
        </w:rPr>
        <w:t>%。其中：</w:t>
      </w:r>
      <w:bookmarkEnd w:id="41"/>
      <w:bookmarkEnd w:id="42"/>
      <w:bookmarkEnd w:id="43"/>
    </w:p>
    <w:p>
      <w:pPr>
        <w:numPr>
          <w:ilvl w:val="0"/>
          <w:numId w:val="0"/>
        </w:numPr>
        <w:spacing w:line="600" w:lineRule="exact"/>
        <w:ind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一般公共服务（类）政府办公厅（室）及相关机构事务（款）行政运行（项）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支出决算为348.3万元，完成预算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一般公共服务（类）政府办公厅（室）及相关机构事务（款）一般行政管理事务（项）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支出决算为89.01万元，完成预算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一般公共服务（类）政府办公厅（室）及相关机构事务（款）事业运行（项）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支出决算为164.07万元，完成预算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pPr>
        <w:pStyle w:val="2"/>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4.一般公共服务（类）民族事务（款）民族工作专项（项）: 支出决算为3万元，完成预算100%。</w:t>
      </w:r>
    </w:p>
    <w:p>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5.一般公共服务（类）民族事务（款）其他民族事务支出（项）: 支出决算为1.28万元，完成预算100%。</w:t>
      </w:r>
    </w:p>
    <w:p>
      <w:pPr>
        <w:pStyle w:val="2"/>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6.文化旅游体育与传媒（类）文化和旅游（款）图书馆（项）：支出决算为5万元，完成预算100%</w:t>
      </w:r>
    </w:p>
    <w:p>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7.社会保障和就业（类）人力资源和社会保障管理事务（款）其他人力资源和社会保障管理事务支出（项）: 支出决算为14.08万元，完成预算100%。</w:t>
      </w:r>
    </w:p>
    <w:p>
      <w:pPr>
        <w:pStyle w:val="2"/>
        <w:spacing w:before="93"/>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8.社会保障和就业（类）行政事业单位养老支出（款）机关事业单位基本养老保险缴费支出（项）: 支出决算为51.85万元，完成预算100%。</w:t>
      </w:r>
    </w:p>
    <w:p>
      <w:pPr>
        <w:pStyle w:val="2"/>
        <w:spacing w:before="93"/>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9.社会保障和就业（类）行政事业单位养老支出（款）机关事业单位职业年金缴费支出（项）: 支出决算为39.74万元，完成预算100%。</w:t>
      </w:r>
    </w:p>
    <w:p>
      <w:pPr>
        <w:pStyle w:val="2"/>
        <w:spacing w:before="93"/>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10.社会保障和就业（类）其他社会保障和就业支出（款）其他社会保障和就业支出（项）：7.06万元，完成预算100%。</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11.卫生健康（类）行政事业单位医疗（款）行政单位医疗（项）：支出决算为9.56万元，完成预算100%。</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12.卫生健康（类）行政事业单位医疗（款）事业单位医疗（项）：支出决算为6.6万元，完成预算100%。</w:t>
      </w:r>
    </w:p>
    <w:p>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13.卫生健康（类）行政事业单位医疗（款）公务员医疗补助（项）：支出决算为1.24万元，完成预算100%。</w:t>
      </w:r>
    </w:p>
    <w:p>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14.卫生健康（类）行政事业单位医疗（款）其他行政事业单位医疗支出（项）：支出决算为0.92万元，完成预算100%。</w:t>
      </w:r>
    </w:p>
    <w:p>
      <w:pPr>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15.农林水支出（类）农业农村（款）行政运行（项）:支出决算为7.79万元，完成预算100%。</w:t>
      </w:r>
    </w:p>
    <w:p>
      <w:pPr>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16.农林水支出（类）巩固脱贫衔接乡村振兴（款）其他巩固脱贫衔接乡村振兴支出（项）:支出决算为55.45万元，完成预算</w:t>
      </w:r>
      <w:r>
        <w:rPr>
          <w:rFonts w:hint="eastAsia" w:eastAsia="仿宋_GB2312" w:cs="仿宋_GB2312"/>
          <w:color w:val="auto"/>
          <w:kern w:val="2"/>
          <w:sz w:val="32"/>
          <w:szCs w:val="32"/>
          <w:highlight w:val="none"/>
          <w:lang w:val="en-US" w:eastAsia="zh-CN" w:bidi="ar-SA"/>
        </w:rPr>
        <w:t>96.29</w:t>
      </w:r>
      <w:r>
        <w:rPr>
          <w:rFonts w:hint="eastAsia" w:ascii="Times New Roman" w:hAnsi="Times New Roman" w:eastAsia="仿宋_GB2312" w:cs="仿宋_GB2312"/>
          <w:color w:val="auto"/>
          <w:kern w:val="2"/>
          <w:sz w:val="32"/>
          <w:szCs w:val="32"/>
          <w:highlight w:val="none"/>
          <w:lang w:val="en-US" w:eastAsia="zh-CN" w:bidi="ar-SA"/>
        </w:rPr>
        <w:t>%。</w:t>
      </w:r>
      <w:r>
        <w:rPr>
          <w:rStyle w:val="17"/>
          <w:rFonts w:hint="eastAsia" w:ascii="仿宋" w:hAnsi="仿宋" w:eastAsia="仿宋"/>
          <w:b w:val="0"/>
          <w:bCs/>
          <w:sz w:val="32"/>
          <w:szCs w:val="32"/>
          <w:highlight w:val="none"/>
          <w:lang w:eastAsia="zh-CN"/>
        </w:rPr>
        <w:t>决算数小于预算数的原因是：</w:t>
      </w:r>
      <w:r>
        <w:rPr>
          <w:rStyle w:val="17"/>
          <w:rFonts w:hint="eastAsia" w:ascii="仿宋" w:hAnsi="仿宋" w:eastAsia="仿宋"/>
          <w:b w:val="0"/>
          <w:bCs/>
          <w:sz w:val="32"/>
          <w:szCs w:val="32"/>
          <w:highlight w:val="none"/>
          <w:lang w:val="en-US" w:eastAsia="zh-CN"/>
        </w:rPr>
        <w:t>2024年扶持村集体经济项目（朝阳坪村）资金未支付完毕</w:t>
      </w:r>
    </w:p>
    <w:p>
      <w:pPr>
        <w:pStyle w:val="2"/>
        <w:spacing w:beforeLines="0"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17.农林水支出（类）农村综合改革（款）对村民委员会和村党支部的补助（项）:支出决算为147.63万元，完成预算100%。</w:t>
      </w:r>
    </w:p>
    <w:p>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18.交通运输支出（类）公路水路运输（款）其他公路水路运输支出（项）:支出决算为5万元，完成预算100%。</w:t>
      </w:r>
    </w:p>
    <w:p>
      <w:pPr>
        <w:pStyle w:val="2"/>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19.住房保障支出（类）住房改革支出（款）住房公积金（项）:支出决算为46.91万元，完成预算100%。</w:t>
      </w:r>
    </w:p>
    <w:p>
      <w:pPr>
        <w:tabs>
          <w:tab w:val="right" w:pos="8306"/>
        </w:tabs>
        <w:spacing w:line="600" w:lineRule="exact"/>
        <w:ind w:firstLine="640"/>
        <w:outlineLvl w:val="1"/>
        <w:rPr>
          <w:rStyle w:val="29"/>
          <w:rFonts w:ascii="Times New Roman" w:hAnsi="Times New Roman"/>
          <w:color w:val="auto"/>
          <w:highlight w:val="none"/>
        </w:rPr>
      </w:pPr>
      <w:bookmarkStart w:id="44" w:name="_Toc15377214"/>
      <w:bookmarkStart w:id="4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4"/>
      <w:bookmarkEnd w:id="45"/>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800.5</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716.56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83.94</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pPr>
        <w:spacing w:line="600" w:lineRule="exact"/>
        <w:ind w:firstLine="640"/>
        <w:outlineLvl w:val="1"/>
        <w:rPr>
          <w:rStyle w:val="29"/>
          <w:rFonts w:ascii="Times New Roman" w:hAnsi="Times New Roman" w:eastAsia="黑体"/>
          <w:b w:val="0"/>
          <w:color w:val="auto"/>
          <w:highlight w:val="none"/>
        </w:rPr>
      </w:pPr>
      <w:bookmarkStart w:id="46" w:name="_Toc15396609"/>
      <w:bookmarkStart w:id="4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6"/>
      <w:bookmarkEnd w:id="47"/>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8"/>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9"/>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pPr>
        <w:pStyle w:val="2"/>
        <w:rPr>
          <w:rFonts w:hint="default"/>
          <w:lang w:val="en-US" w:eastAsia="zh-CN"/>
        </w:rPr>
      </w:pPr>
      <w:r>
        <w:drawing>
          <wp:inline distT="0" distB="0" distL="114300" distR="114300">
            <wp:extent cx="4822190" cy="2743200"/>
            <wp:effectExtent l="4445" t="4445" r="12065" b="14605"/>
            <wp:docPr id="9"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因公务用车报废，未预算205年度</w:t>
      </w:r>
      <w:r>
        <w:rPr>
          <w:rFonts w:hint="eastAsia" w:ascii="Times New Roman" w:hAnsi="Times New Roman" w:eastAsia="仿宋_GB2312" w:cs="仿宋_GB2312"/>
          <w:color w:val="auto"/>
          <w:kern w:val="2"/>
          <w:sz w:val="32"/>
          <w:szCs w:val="32"/>
          <w:highlight w:val="none"/>
          <w:lang w:val="en-US" w:eastAsia="zh-CN" w:bidi="ar-SA"/>
        </w:rPr>
        <w:t>公务用车购置支出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pPr>
        <w:numPr>
          <w:ilvl w:val="0"/>
          <w:numId w:val="0"/>
        </w:numPr>
        <w:spacing w:line="600" w:lineRule="exact"/>
        <w:ind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ind w:firstLine="64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万元，具体内容包括：……（接待具体项目、金额）。</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50" w:name="_Toc15377218"/>
      <w:bookmarkStart w:id="51" w:name="_Toc15396610"/>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50"/>
      <w:bookmarkEnd w:id="5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3.15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0.31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年度相比，政府性基金预算财政拨款支出减少13.53万元，下降</w:t>
      </w:r>
      <w:r>
        <w:rPr>
          <w:rFonts w:hint="eastAsia" w:eastAsia="仿宋_GB2312" w:cs="仿宋_GB2312"/>
          <w:color w:val="auto"/>
          <w:kern w:val="2"/>
          <w:sz w:val="32"/>
          <w:szCs w:val="32"/>
          <w:highlight w:val="none"/>
          <w:lang w:val="en-US" w:eastAsia="zh-CN" w:bidi="ar-SA"/>
        </w:rPr>
        <w:t>81.1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土地综合整治项目工作经费、大竹堡乡耕地恢复农户补助、大竹堡乡耕地恢复乡镇工作经费等资金较去年减少</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52" w:name="_Toc15396611"/>
      <w:bookmarkStart w:id="53"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2"/>
      <w:bookmarkEnd w:id="53"/>
    </w:p>
    <w:p>
      <w:pPr>
        <w:numPr>
          <w:ilvl w:val="0"/>
          <w:numId w:val="0"/>
        </w:numPr>
        <w:spacing w:line="600" w:lineRule="exact"/>
        <w:ind w:left="630" w:leftChars="0"/>
        <w:outlineLvl w:val="1"/>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年度相比，国有资本经营预算财政拨款支出增加/减少**万元，增长/下降**%。主要变动原因是……</w:t>
      </w:r>
      <w:bookmarkStart w:id="54" w:name="_Toc15377221"/>
      <w:bookmarkStart w:id="55" w:name="_Toc15396612"/>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4"/>
      <w:bookmarkEnd w:id="55"/>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6" w:name="_Toc15377222"/>
      <w:r>
        <w:rPr>
          <w:rFonts w:hint="eastAsia" w:ascii="Times New Roman" w:hAnsi="Times New Roman" w:eastAsia="楷体_GB2312" w:cs="楷体_GB2312"/>
          <w:b/>
          <w:color w:val="auto"/>
          <w:sz w:val="32"/>
          <w:szCs w:val="32"/>
          <w:highlight w:val="none"/>
        </w:rPr>
        <w:t>（一）机关运行经费支出情况</w:t>
      </w:r>
      <w:bookmarkEnd w:id="56"/>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马边彝族自治县大竹堡乡人民政府</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83.94</w:t>
      </w:r>
      <w:r>
        <w:rPr>
          <w:rFonts w:hint="eastAsia" w:ascii="仿宋_GB2312" w:hAnsi="仿宋_GB2312" w:eastAsia="仿宋_GB2312" w:cs="仿宋_GB2312"/>
          <w:color w:val="auto"/>
          <w:kern w:val="2"/>
          <w:sz w:val="32"/>
          <w:szCs w:val="32"/>
          <w:highlight w:val="none"/>
          <w:lang w:val="en-US" w:eastAsia="zh-CN" w:bidi="ar-SA"/>
        </w:rPr>
        <w:t>万元，比上年度增加5.42万元，增长 6.90%。主要原因是2025年度因信访维稳问题增多，所以差旅费增加</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23"/>
      <w:r>
        <w:rPr>
          <w:rFonts w:hint="eastAsia" w:ascii="Times New Roman" w:hAnsi="Times New Roman" w:eastAsia="楷体_GB2312" w:cs="楷体_GB2312"/>
          <w:b/>
          <w:color w:val="auto"/>
          <w:sz w:val="32"/>
          <w:szCs w:val="32"/>
          <w:highlight w:val="none"/>
        </w:rPr>
        <w:t>（二）政府采购支出情况</w:t>
      </w:r>
      <w:bookmarkEnd w:id="5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马边彝族自治县大竹堡乡人民政府</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61.98</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61.98</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2024年扶持村集体经济项目（朝阳坪村）、大竹堡乡朝阳坪村助农直播间设备采购</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61.98</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61.98</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24"/>
      <w:r>
        <w:rPr>
          <w:rFonts w:hint="eastAsia" w:ascii="Times New Roman" w:hAnsi="Times New Roman" w:eastAsia="楷体_GB2312" w:cs="楷体_GB2312"/>
          <w:b/>
          <w:color w:val="auto"/>
          <w:sz w:val="32"/>
          <w:szCs w:val="32"/>
          <w:highlight w:val="none"/>
        </w:rPr>
        <w:t>（三）国有资产占有使用情况</w:t>
      </w:r>
      <w:bookmarkEnd w:id="58"/>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马边彝族自治县大竹堡乡人民政府</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大竹堡乡</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财力保障</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247.96</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20</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大竹堡乡</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color w:val="auto"/>
          <w:kern w:val="2"/>
          <w:sz w:val="32"/>
          <w:szCs w:val="32"/>
          <w:highlight w:val="none"/>
          <w:lang w:val="en-US" w:eastAsia="zh-CN" w:bidi="ar-SA"/>
        </w:rPr>
        <w:t>大竹堡乡</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97.6</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97.6</w:t>
      </w:r>
      <w:r>
        <w:rPr>
          <w:rFonts w:hint="eastAsia" w:ascii="Times New Roman" w:hAnsi="Times New Roman" w:eastAsia="仿宋_GB2312" w:cs="仿宋_GB2312"/>
          <w:color w:val="auto"/>
          <w:kern w:val="2"/>
          <w:sz w:val="32"/>
          <w:szCs w:val="32"/>
          <w:highlight w:val="none"/>
          <w:lang w:val="en-US" w:eastAsia="zh-CN" w:bidi="ar-SA"/>
        </w:rPr>
        <w:t>；</w:t>
      </w: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9" w:name="_Toc15396613"/>
      <w:bookmarkStart w:id="60" w:name="_Toc15377225"/>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9"/>
      <w:bookmarkEnd w:id="60"/>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pPr>
        <w:keepNext w:val="0"/>
        <w:keepLines w:val="0"/>
        <w:pageBreakBefore w:val="0"/>
        <w:widowControl w:val="0"/>
        <w:kinsoku/>
        <w:wordWrap/>
        <w:overflowPunct/>
        <w:topLinePunct w:val="0"/>
        <w:bidi w:val="0"/>
        <w:snapToGrid/>
        <w:spacing w:line="576" w:lineRule="exact"/>
        <w:ind w:left="0" w:leftChars="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一般公共服务（类）</w:t>
      </w:r>
      <w:r>
        <w:rPr>
          <w:rFonts w:hint="eastAsia" w:ascii="仿宋" w:hAnsi="仿宋" w:eastAsia="仿宋" w:cs="仿宋"/>
          <w:color w:val="000000"/>
          <w:sz w:val="32"/>
          <w:szCs w:val="32"/>
          <w:lang w:eastAsia="zh-CN"/>
        </w:rPr>
        <w:t>人大事务</w:t>
      </w:r>
      <w:r>
        <w:rPr>
          <w:rFonts w:hint="eastAsia" w:ascii="仿宋" w:hAnsi="仿宋" w:eastAsia="仿宋" w:cs="仿宋"/>
          <w:color w:val="000000"/>
          <w:sz w:val="32"/>
          <w:szCs w:val="32"/>
        </w:rPr>
        <w:t>（款）</w:t>
      </w:r>
      <w:r>
        <w:rPr>
          <w:rFonts w:hint="eastAsia" w:ascii="仿宋" w:hAnsi="仿宋" w:eastAsia="仿宋" w:cs="仿宋"/>
          <w:color w:val="000000"/>
          <w:sz w:val="32"/>
          <w:szCs w:val="32"/>
          <w:lang w:eastAsia="zh-CN"/>
        </w:rPr>
        <w:t>代表工作</w:t>
      </w:r>
      <w:r>
        <w:rPr>
          <w:rFonts w:hint="eastAsia" w:ascii="仿宋" w:hAnsi="仿宋" w:eastAsia="仿宋" w:cs="仿宋"/>
          <w:color w:val="000000"/>
          <w:sz w:val="32"/>
          <w:szCs w:val="32"/>
        </w:rPr>
        <w:t>（项）</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反映</w:t>
      </w:r>
      <w:r>
        <w:rPr>
          <w:rFonts w:hint="eastAsia" w:ascii="仿宋" w:hAnsi="仿宋" w:eastAsia="仿宋" w:cs="仿宋"/>
          <w:color w:val="000000"/>
          <w:sz w:val="32"/>
          <w:szCs w:val="32"/>
          <w:lang w:eastAsia="zh-CN"/>
        </w:rPr>
        <w:t>人大代表开展各类视察等方面的</w:t>
      </w:r>
      <w:r>
        <w:rPr>
          <w:rFonts w:hint="eastAsia" w:ascii="仿宋" w:hAnsi="仿宋" w:eastAsia="仿宋" w:cs="仿宋"/>
          <w:color w:val="000000"/>
          <w:sz w:val="32"/>
          <w:szCs w:val="32"/>
        </w:rPr>
        <w:t>支出。</w:t>
      </w:r>
    </w:p>
    <w:p>
      <w:pPr>
        <w:keepNext w:val="0"/>
        <w:keepLines w:val="0"/>
        <w:pageBreakBefore w:val="0"/>
        <w:widowControl w:val="0"/>
        <w:kinsoku/>
        <w:wordWrap/>
        <w:overflowPunct/>
        <w:topLinePunct w:val="0"/>
        <w:bidi w:val="0"/>
        <w:snapToGrid/>
        <w:spacing w:line="576" w:lineRule="exact"/>
        <w:ind w:left="0" w:leftChars="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10.</w:t>
      </w:r>
      <w:r>
        <w:rPr>
          <w:rFonts w:hint="eastAsia" w:ascii="仿宋" w:hAnsi="仿宋" w:eastAsia="仿宋" w:cs="仿宋"/>
          <w:color w:val="000000"/>
          <w:sz w:val="32"/>
          <w:szCs w:val="32"/>
        </w:rPr>
        <w:t>一般公共服务（类）政府办公厅（室）及相关机构事务（款）行政运行（项）</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反映行政单位（包括实行公务员管理的事业单位）的基本支出。</w:t>
      </w:r>
    </w:p>
    <w:p>
      <w:pPr>
        <w:keepNext w:val="0"/>
        <w:keepLines w:val="0"/>
        <w:pageBreakBefore w:val="0"/>
        <w:widowControl w:val="0"/>
        <w:kinsoku/>
        <w:wordWrap/>
        <w:overflowPunct/>
        <w:topLinePunct w:val="0"/>
        <w:bidi w:val="0"/>
        <w:snapToGrid/>
        <w:spacing w:line="576" w:lineRule="exact"/>
        <w:ind w:left="0" w:leftChars="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一般公共服务（类）政府办公厅（室）及相关机构事务（款）一般行政管理事务（项）：反映行政单位（包括实行公务员管理的事业单位）未单独设置项级科目的其他项目支出。</w:t>
      </w:r>
    </w:p>
    <w:p>
      <w:pPr>
        <w:keepNext w:val="0"/>
        <w:keepLines w:val="0"/>
        <w:pageBreakBefore w:val="0"/>
        <w:widowControl w:val="0"/>
        <w:kinsoku/>
        <w:wordWrap/>
        <w:overflowPunct/>
        <w:topLinePunct w:val="0"/>
        <w:bidi w:val="0"/>
        <w:snapToGrid/>
        <w:spacing w:line="576"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color w:val="000000"/>
          <w:sz w:val="32"/>
          <w:szCs w:val="32"/>
          <w:lang w:val="en-US" w:eastAsia="zh-CN"/>
        </w:rPr>
        <w:t>12.</w:t>
      </w:r>
      <w:r>
        <w:rPr>
          <w:rFonts w:hint="eastAsia" w:ascii="仿宋" w:hAnsi="仿宋" w:eastAsia="仿宋" w:cs="仿宋"/>
          <w:color w:val="000000"/>
          <w:sz w:val="32"/>
          <w:szCs w:val="32"/>
        </w:rPr>
        <w:t>一般公共服务（类）政府办公厅（室）及相关机构事务（款）事业运行（项）：指反映事业单位的基本支出，不包括行政单位（包括实行公务员管理的事业</w:t>
      </w:r>
      <w:r>
        <w:rPr>
          <w:rFonts w:hint="eastAsia" w:ascii="仿宋" w:hAnsi="仿宋" w:eastAsia="仿宋" w:cs="仿宋"/>
          <w:sz w:val="32"/>
          <w:szCs w:val="32"/>
        </w:rPr>
        <w:t>单位）后勤服务中心、医务室等附属事业单位。</w:t>
      </w:r>
    </w:p>
    <w:p>
      <w:pPr>
        <w:keepNext w:val="0"/>
        <w:keepLines w:val="0"/>
        <w:pageBreakBefore w:val="0"/>
        <w:widowControl w:val="0"/>
        <w:kinsoku/>
        <w:wordWrap/>
        <w:overflowPunct/>
        <w:topLinePunct w:val="0"/>
        <w:bidi w:val="0"/>
        <w:snapToGrid/>
        <w:spacing w:line="576" w:lineRule="exact"/>
        <w:ind w:left="0" w:leftChars="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rPr>
        <w:t>13.</w:t>
      </w:r>
      <w:r>
        <w:rPr>
          <w:rFonts w:hint="eastAsia" w:ascii="仿宋" w:hAnsi="仿宋" w:eastAsia="仿宋" w:cs="仿宋"/>
          <w:color w:val="000000"/>
          <w:kern w:val="0"/>
          <w:sz w:val="32"/>
          <w:szCs w:val="32"/>
        </w:rPr>
        <w:t>一般公共服务（类）人力资源事务（款）其他人力资源事务支出（项）</w:t>
      </w:r>
      <w:r>
        <w:rPr>
          <w:rFonts w:hint="eastAsia" w:ascii="仿宋" w:hAnsi="仿宋" w:eastAsia="仿宋" w:cs="仿宋"/>
          <w:color w:val="000000"/>
          <w:sz w:val="32"/>
          <w:szCs w:val="32"/>
        </w:rPr>
        <w:t>：反映除</w:t>
      </w:r>
      <w:r>
        <w:rPr>
          <w:rFonts w:hint="eastAsia" w:ascii="仿宋" w:hAnsi="仿宋" w:eastAsia="仿宋" w:cs="仿宋"/>
          <w:color w:val="000000"/>
          <w:sz w:val="32"/>
          <w:szCs w:val="32"/>
          <w:lang w:eastAsia="zh-CN"/>
        </w:rPr>
        <w:t>一般</w:t>
      </w:r>
      <w:r>
        <w:rPr>
          <w:rFonts w:hint="eastAsia" w:ascii="仿宋" w:hAnsi="仿宋" w:eastAsia="仿宋" w:cs="仿宋"/>
          <w:color w:val="000000"/>
          <w:sz w:val="32"/>
          <w:szCs w:val="32"/>
        </w:rPr>
        <w:t>项目以外的其他人力资源事务方面的支出。</w:t>
      </w:r>
    </w:p>
    <w:p>
      <w:pPr>
        <w:keepNext w:val="0"/>
        <w:keepLines w:val="0"/>
        <w:pageBreakBefore w:val="0"/>
        <w:widowControl w:val="0"/>
        <w:kinsoku/>
        <w:wordWrap/>
        <w:overflowPunct/>
        <w:topLinePunct w:val="0"/>
        <w:bidi w:val="0"/>
        <w:snapToGrid/>
        <w:spacing w:line="576" w:lineRule="exact"/>
        <w:ind w:left="0" w:leftChars="0" w:firstLine="640" w:firstLineChars="200"/>
        <w:jc w:val="both"/>
        <w:textAlignment w:val="auto"/>
        <w:rPr>
          <w:rFonts w:hint="eastAsia" w:ascii="仿宋" w:hAnsi="仿宋" w:eastAsia="仿宋" w:cs="仿宋"/>
          <w:color w:val="000000"/>
          <w:sz w:val="32"/>
          <w:szCs w:val="32"/>
          <w:highlight w:val="none"/>
          <w:lang w:eastAsia="zh-CN"/>
        </w:rPr>
      </w:pPr>
      <w:r>
        <w:rPr>
          <w:rFonts w:hint="eastAsia" w:ascii="仿宋" w:hAnsi="仿宋" w:eastAsia="仿宋" w:cs="仿宋"/>
          <w:color w:val="000000"/>
          <w:kern w:val="0"/>
          <w:sz w:val="32"/>
          <w:szCs w:val="32"/>
          <w:lang w:val="en-US" w:eastAsia="zh-CN"/>
        </w:rPr>
        <w:t>14.</w:t>
      </w:r>
      <w:r>
        <w:rPr>
          <w:rFonts w:hint="eastAsia" w:ascii="仿宋" w:hAnsi="仿宋" w:eastAsia="仿宋" w:cs="仿宋"/>
          <w:color w:val="000000"/>
          <w:kern w:val="0"/>
          <w:sz w:val="32"/>
          <w:szCs w:val="32"/>
        </w:rPr>
        <w:t>一般公共服务（类）</w:t>
      </w:r>
      <w:r>
        <w:rPr>
          <w:rFonts w:hint="eastAsia" w:ascii="仿宋" w:hAnsi="仿宋" w:eastAsia="仿宋" w:cs="仿宋"/>
          <w:color w:val="000000"/>
          <w:sz w:val="32"/>
          <w:szCs w:val="32"/>
          <w:highlight w:val="none"/>
        </w:rPr>
        <w:t>民族事务</w:t>
      </w:r>
      <w:r>
        <w:rPr>
          <w:rFonts w:hint="eastAsia" w:ascii="仿宋" w:hAnsi="仿宋" w:eastAsia="仿宋" w:cs="仿宋"/>
          <w:color w:val="000000"/>
          <w:kern w:val="0"/>
          <w:sz w:val="32"/>
          <w:szCs w:val="32"/>
          <w:highlight w:val="none"/>
        </w:rPr>
        <w:t>（款）</w:t>
      </w:r>
      <w:r>
        <w:rPr>
          <w:rFonts w:hint="eastAsia" w:ascii="仿宋" w:hAnsi="仿宋" w:eastAsia="仿宋" w:cs="仿宋"/>
          <w:color w:val="000000"/>
          <w:sz w:val="32"/>
          <w:szCs w:val="32"/>
          <w:highlight w:val="none"/>
          <w:lang w:eastAsia="zh-CN"/>
        </w:rPr>
        <w:t>民族工作专项</w:t>
      </w:r>
      <w:r>
        <w:rPr>
          <w:rFonts w:hint="eastAsia" w:ascii="仿宋" w:hAnsi="仿宋" w:eastAsia="仿宋" w:cs="仿宋"/>
          <w:color w:val="000000"/>
          <w:kern w:val="0"/>
          <w:sz w:val="32"/>
          <w:szCs w:val="32"/>
          <w:highlight w:val="none"/>
        </w:rPr>
        <w:t>（项）：</w:t>
      </w:r>
      <w:r>
        <w:rPr>
          <w:rFonts w:hint="eastAsia" w:ascii="仿宋" w:hAnsi="仿宋" w:eastAsia="仿宋" w:cs="仿宋"/>
          <w:color w:val="000000"/>
          <w:sz w:val="32"/>
          <w:szCs w:val="32"/>
        </w:rPr>
        <w:t>反映</w:t>
      </w:r>
      <w:r>
        <w:rPr>
          <w:rFonts w:hint="eastAsia" w:ascii="仿宋" w:hAnsi="仿宋" w:eastAsia="仿宋" w:cs="仿宋"/>
          <w:color w:val="000000"/>
          <w:sz w:val="32"/>
          <w:szCs w:val="32"/>
          <w:lang w:eastAsia="zh-CN"/>
        </w:rPr>
        <w:t>用于</w:t>
      </w:r>
      <w:r>
        <w:rPr>
          <w:rFonts w:hint="eastAsia" w:ascii="仿宋" w:hAnsi="仿宋" w:eastAsia="仿宋" w:cs="仿宋"/>
          <w:color w:val="000000"/>
          <w:sz w:val="32"/>
          <w:szCs w:val="32"/>
          <w:highlight w:val="none"/>
        </w:rPr>
        <w:t>民族事务</w:t>
      </w:r>
      <w:r>
        <w:rPr>
          <w:rFonts w:hint="eastAsia" w:ascii="仿宋" w:hAnsi="仿宋" w:eastAsia="仿宋" w:cs="仿宋"/>
          <w:color w:val="000000"/>
          <w:sz w:val="32"/>
          <w:szCs w:val="32"/>
          <w:highlight w:val="none"/>
          <w:lang w:eastAsia="zh-CN"/>
        </w:rPr>
        <w:t>管理方面的专项</w:t>
      </w:r>
      <w:r>
        <w:rPr>
          <w:rFonts w:hint="eastAsia" w:ascii="仿宋" w:hAnsi="仿宋" w:eastAsia="仿宋" w:cs="仿宋"/>
          <w:color w:val="000000"/>
          <w:sz w:val="32"/>
          <w:szCs w:val="32"/>
          <w:highlight w:val="none"/>
        </w:rPr>
        <w:t>支出</w:t>
      </w:r>
      <w:r>
        <w:rPr>
          <w:rFonts w:hint="eastAsia" w:ascii="仿宋" w:hAnsi="仿宋" w:eastAsia="仿宋" w:cs="仿宋"/>
          <w:color w:val="000000"/>
          <w:sz w:val="32"/>
          <w:szCs w:val="32"/>
          <w:highlight w:val="none"/>
          <w:lang w:eastAsia="zh-CN"/>
        </w:rPr>
        <w:t>。</w:t>
      </w:r>
    </w:p>
    <w:p>
      <w:pPr>
        <w:keepNext w:val="0"/>
        <w:keepLines w:val="0"/>
        <w:pageBreakBefore w:val="0"/>
        <w:widowControl w:val="0"/>
        <w:kinsoku/>
        <w:wordWrap/>
        <w:overflowPunct/>
        <w:topLinePunct w:val="0"/>
        <w:bidi w:val="0"/>
        <w:snapToGrid/>
        <w:spacing w:line="576" w:lineRule="exact"/>
        <w:ind w:left="0" w:leftChars="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rPr>
        <w:t>15.</w:t>
      </w:r>
      <w:r>
        <w:rPr>
          <w:rFonts w:hint="eastAsia" w:ascii="仿宋" w:hAnsi="仿宋" w:eastAsia="仿宋" w:cs="仿宋"/>
          <w:color w:val="000000"/>
          <w:kern w:val="0"/>
          <w:sz w:val="32"/>
          <w:szCs w:val="32"/>
        </w:rPr>
        <w:t>一般公共服务（类）</w:t>
      </w:r>
      <w:r>
        <w:rPr>
          <w:rFonts w:hint="eastAsia" w:ascii="仿宋" w:hAnsi="仿宋" w:eastAsia="仿宋" w:cs="仿宋"/>
          <w:color w:val="000000"/>
          <w:sz w:val="32"/>
          <w:szCs w:val="32"/>
          <w:highlight w:val="none"/>
          <w:lang w:val="en-US" w:eastAsia="zh-CN"/>
        </w:rPr>
        <w:t xml:space="preserve"> 党委办公厅（室）及相关机构事务</w:t>
      </w:r>
      <w:r>
        <w:rPr>
          <w:rFonts w:hint="eastAsia" w:ascii="仿宋" w:hAnsi="仿宋" w:eastAsia="仿宋" w:cs="仿宋"/>
          <w:color w:val="000000"/>
          <w:kern w:val="0"/>
          <w:sz w:val="32"/>
          <w:szCs w:val="32"/>
          <w:highlight w:val="none"/>
        </w:rPr>
        <w:t>（款）</w:t>
      </w:r>
      <w:r>
        <w:rPr>
          <w:rFonts w:hint="eastAsia" w:ascii="仿宋" w:hAnsi="仿宋" w:eastAsia="仿宋" w:cs="仿宋"/>
          <w:color w:val="000000"/>
          <w:sz w:val="32"/>
          <w:szCs w:val="32"/>
          <w:highlight w:val="none"/>
          <w:lang w:eastAsia="zh-CN"/>
        </w:rPr>
        <w:t>一般行政管理事务</w:t>
      </w:r>
      <w:r>
        <w:rPr>
          <w:rFonts w:hint="eastAsia" w:ascii="仿宋" w:hAnsi="仿宋" w:eastAsia="仿宋" w:cs="仿宋"/>
          <w:color w:val="000000"/>
          <w:kern w:val="0"/>
          <w:sz w:val="32"/>
          <w:szCs w:val="32"/>
          <w:highlight w:val="none"/>
        </w:rPr>
        <w:t>（项）：</w:t>
      </w:r>
      <w:r>
        <w:rPr>
          <w:rFonts w:hint="eastAsia" w:ascii="仿宋" w:hAnsi="仿宋" w:eastAsia="仿宋" w:cs="仿宋"/>
          <w:color w:val="000000"/>
          <w:sz w:val="32"/>
          <w:szCs w:val="32"/>
        </w:rPr>
        <w:t>反映</w:t>
      </w:r>
      <w:r>
        <w:rPr>
          <w:rFonts w:hint="eastAsia" w:ascii="仿宋" w:hAnsi="仿宋" w:eastAsia="仿宋" w:cs="仿宋"/>
          <w:color w:val="000000"/>
          <w:sz w:val="32"/>
          <w:szCs w:val="32"/>
          <w:highlight w:val="none"/>
          <w:lang w:val="en-US" w:eastAsia="zh-CN"/>
        </w:rPr>
        <w:t>行政单位（包括实行公务员管理的事业单位）未单独设置项级科目的其他项目</w:t>
      </w:r>
      <w:r>
        <w:rPr>
          <w:rFonts w:hint="eastAsia" w:ascii="仿宋" w:hAnsi="仿宋" w:eastAsia="仿宋" w:cs="仿宋"/>
          <w:color w:val="000000"/>
          <w:sz w:val="32"/>
          <w:szCs w:val="32"/>
          <w:highlight w:val="none"/>
        </w:rPr>
        <w:t>支出</w:t>
      </w:r>
      <w:r>
        <w:rPr>
          <w:rFonts w:hint="eastAsia" w:ascii="仿宋" w:hAnsi="仿宋" w:eastAsia="仿宋" w:cs="仿宋"/>
          <w:color w:val="000000"/>
          <w:sz w:val="32"/>
          <w:szCs w:val="32"/>
          <w:highlight w:val="none"/>
          <w:lang w:eastAsia="zh-CN"/>
        </w:rPr>
        <w:t>。</w:t>
      </w:r>
    </w:p>
    <w:p>
      <w:pPr>
        <w:keepNext w:val="0"/>
        <w:keepLines w:val="0"/>
        <w:pageBreakBefore w:val="0"/>
        <w:widowControl w:val="0"/>
        <w:numPr>
          <w:ilvl w:val="0"/>
          <w:numId w:val="0"/>
        </w:numPr>
        <w:kinsoku/>
        <w:wordWrap/>
        <w:overflowPunct/>
        <w:topLinePunct w:val="0"/>
        <w:bidi w:val="0"/>
        <w:snapToGrid/>
        <w:spacing w:line="576" w:lineRule="exact"/>
        <w:ind w:left="0" w:leftChars="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16</w:t>
      </w:r>
      <w:r>
        <w:rPr>
          <w:rFonts w:hint="eastAsia" w:ascii="仿宋" w:hAnsi="仿宋" w:eastAsia="仿宋" w:cs="仿宋"/>
          <w:color w:val="000000"/>
          <w:sz w:val="32"/>
          <w:szCs w:val="32"/>
        </w:rPr>
        <w:t>.</w:t>
      </w:r>
      <w:r>
        <w:rPr>
          <w:rFonts w:hint="eastAsia" w:ascii="仿宋" w:hAnsi="仿宋" w:eastAsia="仿宋" w:cs="仿宋"/>
          <w:color w:val="000000"/>
          <w:kern w:val="0"/>
          <w:sz w:val="32"/>
          <w:szCs w:val="32"/>
        </w:rPr>
        <w:t>文化体育与传媒（类）文化（款）</w:t>
      </w:r>
      <w:r>
        <w:rPr>
          <w:rFonts w:hint="eastAsia" w:ascii="仿宋" w:hAnsi="仿宋" w:eastAsia="仿宋" w:cs="仿宋"/>
          <w:color w:val="000000"/>
          <w:sz w:val="32"/>
          <w:szCs w:val="32"/>
          <w:highlight w:val="none"/>
        </w:rPr>
        <w:t>其他文化</w:t>
      </w:r>
      <w:r>
        <w:rPr>
          <w:rFonts w:hint="eastAsia" w:ascii="仿宋" w:hAnsi="仿宋" w:eastAsia="仿宋" w:cs="仿宋"/>
          <w:color w:val="000000"/>
          <w:sz w:val="32"/>
          <w:szCs w:val="32"/>
          <w:highlight w:val="none"/>
          <w:lang w:eastAsia="zh-CN"/>
        </w:rPr>
        <w:t>和旅游</w:t>
      </w:r>
      <w:r>
        <w:rPr>
          <w:rFonts w:hint="eastAsia" w:ascii="仿宋" w:hAnsi="仿宋" w:eastAsia="仿宋" w:cs="仿宋"/>
          <w:color w:val="000000"/>
          <w:sz w:val="32"/>
          <w:szCs w:val="32"/>
          <w:highlight w:val="none"/>
        </w:rPr>
        <w:t>支出</w:t>
      </w:r>
      <w:r>
        <w:rPr>
          <w:rFonts w:hint="eastAsia" w:ascii="仿宋" w:hAnsi="仿宋" w:eastAsia="仿宋" w:cs="仿宋"/>
          <w:color w:val="000000"/>
          <w:kern w:val="0"/>
          <w:sz w:val="32"/>
          <w:szCs w:val="32"/>
          <w:highlight w:val="none"/>
        </w:rPr>
        <w:t>（项）:</w:t>
      </w:r>
      <w:r>
        <w:rPr>
          <w:rFonts w:hint="eastAsia" w:ascii="仿宋" w:hAnsi="仿宋" w:eastAsia="仿宋" w:cs="仿宋"/>
          <w:color w:val="000000"/>
          <w:sz w:val="32"/>
          <w:szCs w:val="32"/>
        </w:rPr>
        <w:t>反映除</w:t>
      </w:r>
      <w:r>
        <w:rPr>
          <w:rFonts w:hint="eastAsia" w:ascii="仿宋" w:hAnsi="仿宋" w:eastAsia="仿宋" w:cs="仿宋"/>
          <w:color w:val="000000"/>
          <w:sz w:val="32"/>
          <w:szCs w:val="32"/>
          <w:lang w:eastAsia="zh-CN"/>
        </w:rPr>
        <w:t>一般</w:t>
      </w:r>
      <w:r>
        <w:rPr>
          <w:rFonts w:hint="eastAsia" w:ascii="仿宋" w:hAnsi="仿宋" w:eastAsia="仿宋" w:cs="仿宋"/>
          <w:color w:val="000000"/>
          <w:sz w:val="32"/>
          <w:szCs w:val="32"/>
        </w:rPr>
        <w:t>项目以外的其他</w:t>
      </w:r>
      <w:r>
        <w:rPr>
          <w:rFonts w:hint="eastAsia" w:ascii="仿宋" w:hAnsi="仿宋" w:eastAsia="仿宋" w:cs="仿宋"/>
          <w:color w:val="000000"/>
          <w:sz w:val="32"/>
          <w:szCs w:val="32"/>
          <w:lang w:eastAsia="zh-CN"/>
        </w:rPr>
        <w:t>用于</w:t>
      </w:r>
      <w:r>
        <w:rPr>
          <w:rFonts w:hint="eastAsia" w:ascii="仿宋" w:hAnsi="仿宋" w:eastAsia="仿宋" w:cs="仿宋"/>
          <w:color w:val="000000"/>
          <w:sz w:val="32"/>
          <w:szCs w:val="32"/>
          <w:highlight w:val="none"/>
        </w:rPr>
        <w:t>文化</w:t>
      </w:r>
      <w:r>
        <w:rPr>
          <w:rFonts w:hint="eastAsia" w:ascii="仿宋" w:hAnsi="仿宋" w:eastAsia="仿宋" w:cs="仿宋"/>
          <w:color w:val="000000"/>
          <w:sz w:val="32"/>
          <w:szCs w:val="32"/>
          <w:highlight w:val="none"/>
          <w:lang w:eastAsia="zh-CN"/>
        </w:rPr>
        <w:t>和旅游方面的</w:t>
      </w:r>
      <w:r>
        <w:rPr>
          <w:rFonts w:hint="eastAsia" w:ascii="仿宋" w:hAnsi="仿宋" w:eastAsia="仿宋" w:cs="仿宋"/>
          <w:color w:val="000000"/>
          <w:sz w:val="32"/>
          <w:szCs w:val="32"/>
          <w:highlight w:val="none"/>
        </w:rPr>
        <w:t>支出</w:t>
      </w:r>
      <w:r>
        <w:rPr>
          <w:rFonts w:hint="eastAsia" w:ascii="仿宋" w:hAnsi="仿宋" w:eastAsia="仿宋" w:cs="仿宋"/>
          <w:color w:val="000000"/>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1</w:t>
      </w: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w:t>
      </w:r>
      <w:r>
        <w:rPr>
          <w:rFonts w:hint="eastAsia" w:ascii="仿宋" w:hAnsi="仿宋" w:eastAsia="仿宋" w:cs="仿宋"/>
          <w:color w:val="000000"/>
          <w:kern w:val="0"/>
          <w:sz w:val="32"/>
          <w:szCs w:val="32"/>
          <w:lang w:val="en-US" w:eastAsia="zh-CN"/>
        </w:rPr>
        <w:t>社会保障和就业支出</w:t>
      </w:r>
      <w:r>
        <w:rPr>
          <w:rFonts w:hint="eastAsia" w:ascii="仿宋" w:hAnsi="仿宋" w:eastAsia="仿宋" w:cs="仿宋"/>
          <w:color w:val="000000"/>
          <w:kern w:val="0"/>
          <w:sz w:val="32"/>
          <w:szCs w:val="32"/>
        </w:rPr>
        <w:t>（类）</w:t>
      </w:r>
      <w:r>
        <w:rPr>
          <w:rFonts w:hint="eastAsia" w:ascii="仿宋" w:hAnsi="仿宋" w:eastAsia="仿宋" w:cs="仿宋"/>
          <w:color w:val="000000"/>
          <w:kern w:val="0"/>
          <w:sz w:val="32"/>
          <w:szCs w:val="32"/>
          <w:lang w:eastAsia="zh-CN"/>
        </w:rPr>
        <w:t>行政事业单位离退休</w:t>
      </w:r>
      <w:r>
        <w:rPr>
          <w:rFonts w:hint="eastAsia" w:ascii="仿宋" w:hAnsi="仿宋" w:eastAsia="仿宋" w:cs="仿宋"/>
          <w:color w:val="000000"/>
          <w:kern w:val="0"/>
          <w:sz w:val="32"/>
          <w:szCs w:val="32"/>
        </w:rPr>
        <w:t>（款）</w:t>
      </w:r>
      <w:r>
        <w:rPr>
          <w:rFonts w:hint="eastAsia" w:ascii="仿宋" w:hAnsi="仿宋" w:eastAsia="仿宋" w:cs="仿宋"/>
          <w:color w:val="000000"/>
          <w:sz w:val="32"/>
          <w:szCs w:val="32"/>
          <w:highlight w:val="none"/>
        </w:rPr>
        <w:t>机关事业单位基本养老保险缴费支出</w:t>
      </w:r>
      <w:r>
        <w:rPr>
          <w:rFonts w:hint="eastAsia" w:ascii="仿宋" w:hAnsi="仿宋" w:eastAsia="仿宋" w:cs="仿宋"/>
          <w:color w:val="000000"/>
          <w:kern w:val="0"/>
          <w:sz w:val="32"/>
          <w:szCs w:val="32"/>
        </w:rPr>
        <w:t>（项）:</w:t>
      </w:r>
      <w:r>
        <w:rPr>
          <w:rFonts w:hint="eastAsia" w:ascii="仿宋" w:hAnsi="仿宋" w:eastAsia="仿宋" w:cs="仿宋"/>
          <w:color w:val="000000"/>
          <w:kern w:val="0"/>
          <w:sz w:val="32"/>
          <w:szCs w:val="32"/>
          <w:lang w:eastAsia="zh-CN"/>
        </w:rPr>
        <w:t>反映机关事业单位实施养老保险制度由单位缴纳的基本养老保险费支出</w:t>
      </w:r>
      <w:r>
        <w:rPr>
          <w:rFonts w:hint="eastAsia" w:ascii="仿宋" w:hAnsi="仿宋" w:eastAsia="仿宋" w:cs="仿宋"/>
          <w:color w:val="00000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18.社会保障和就业支出（类）其他社会保障和就业（款）其他社会保障和就业支出（项）:反映除一般项目以外其他用于社会保障和就业方面的支出。</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val="en-US" w:eastAsia="zh-CN"/>
        </w:rPr>
        <w:t>19.</w:t>
      </w:r>
      <w:r>
        <w:rPr>
          <w:rFonts w:hint="eastAsia" w:ascii="仿宋" w:hAnsi="仿宋" w:eastAsia="仿宋" w:cs="仿宋"/>
          <w:color w:val="000000"/>
          <w:sz w:val="32"/>
          <w:szCs w:val="32"/>
          <w:lang w:eastAsia="zh-CN"/>
        </w:rPr>
        <w:t>卫生健康支出（类）行政事业单位医疗（款）行政单位医疗（项）：反映财政部门安排的行政单位(包括实行公务员管理的事业单位)基本医疗保险缴费经费，未参加医疗保险的行政单位的公费医疗经费，按国家规定享受离休人员、红军老战士待遇人员的医疗经费。</w:t>
      </w:r>
    </w:p>
    <w:p>
      <w:pPr>
        <w:ind w:firstLine="640" w:firstLineChars="200"/>
        <w:rPr>
          <w:rFonts w:hint="eastAsia" w:ascii="仿宋" w:hAnsi="仿宋" w:eastAsia="仿宋" w:cs="仿宋"/>
          <w:color w:val="000000"/>
          <w:kern w:val="2"/>
          <w:sz w:val="32"/>
          <w:szCs w:val="32"/>
          <w:lang w:val="en-US" w:eastAsia="zh-CN" w:bidi="ar-SA"/>
        </w:rPr>
      </w:pPr>
      <w:r>
        <w:rPr>
          <w:rFonts w:hint="eastAsia" w:ascii="仿宋" w:hAnsi="仿宋" w:eastAsia="仿宋" w:cs="仿宋"/>
          <w:color w:val="000000"/>
          <w:kern w:val="2"/>
          <w:sz w:val="32"/>
          <w:szCs w:val="32"/>
          <w:lang w:val="en-US" w:eastAsia="zh-CN" w:bidi="ar-SA"/>
        </w:rPr>
        <w:t>20.卫生健康支出（类）行政事业单位医疗（款）事业单位医疗（项）：反映财政部门安排的事业单位基本医疗保险缴费经费，未参加医疗保险的事业单位的公费医疗经费，按国家规定享受离休人员待遇的医疗经费。</w:t>
      </w:r>
    </w:p>
    <w:p>
      <w:pPr>
        <w:keepNext w:val="0"/>
        <w:keepLines w:val="0"/>
        <w:pageBreakBefore w:val="0"/>
        <w:widowControl w:val="0"/>
        <w:numPr>
          <w:ilvl w:val="0"/>
          <w:numId w:val="0"/>
        </w:numPr>
        <w:kinsoku/>
        <w:wordWrap/>
        <w:overflowPunct/>
        <w:topLinePunct w:val="0"/>
        <w:bidi w:val="0"/>
        <w:snapToGrid/>
        <w:spacing w:line="576" w:lineRule="exact"/>
        <w:ind w:left="0" w:leftChars="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21.</w:t>
      </w:r>
      <w:r>
        <w:rPr>
          <w:rFonts w:hint="eastAsia" w:ascii="仿宋" w:hAnsi="仿宋" w:eastAsia="仿宋" w:cs="仿宋"/>
          <w:color w:val="000000"/>
          <w:sz w:val="32"/>
          <w:szCs w:val="32"/>
        </w:rPr>
        <w:t>农林水</w:t>
      </w:r>
      <w:r>
        <w:rPr>
          <w:rFonts w:hint="eastAsia" w:ascii="仿宋" w:hAnsi="仿宋" w:eastAsia="仿宋" w:cs="仿宋"/>
          <w:color w:val="000000"/>
          <w:sz w:val="32"/>
          <w:szCs w:val="32"/>
          <w:lang w:eastAsia="zh-CN"/>
        </w:rPr>
        <w:t>支出</w:t>
      </w:r>
      <w:r>
        <w:rPr>
          <w:rFonts w:hint="eastAsia" w:ascii="仿宋" w:hAnsi="仿宋" w:eastAsia="仿宋" w:cs="仿宋"/>
          <w:color w:val="000000"/>
          <w:sz w:val="32"/>
          <w:szCs w:val="32"/>
        </w:rPr>
        <w:t>（类）</w:t>
      </w:r>
      <w:r>
        <w:rPr>
          <w:rFonts w:hint="eastAsia" w:ascii="仿宋" w:hAnsi="仿宋" w:eastAsia="仿宋" w:cs="仿宋"/>
          <w:color w:val="000000"/>
          <w:sz w:val="32"/>
          <w:szCs w:val="32"/>
          <w:lang w:eastAsia="zh-CN"/>
        </w:rPr>
        <w:t>农业农村</w:t>
      </w:r>
      <w:r>
        <w:rPr>
          <w:rFonts w:hint="eastAsia" w:ascii="仿宋" w:hAnsi="仿宋" w:eastAsia="仿宋" w:cs="仿宋"/>
          <w:color w:val="000000"/>
          <w:sz w:val="32"/>
          <w:szCs w:val="32"/>
        </w:rPr>
        <w:t>（款）</w:t>
      </w:r>
      <w:r>
        <w:rPr>
          <w:rFonts w:hint="eastAsia" w:ascii="仿宋" w:hAnsi="仿宋" w:eastAsia="仿宋" w:cs="仿宋"/>
          <w:color w:val="000000"/>
          <w:sz w:val="32"/>
          <w:szCs w:val="32"/>
          <w:lang w:eastAsia="zh-CN"/>
        </w:rPr>
        <w:t>事业运行</w:t>
      </w:r>
      <w:r>
        <w:rPr>
          <w:rFonts w:hint="eastAsia" w:ascii="仿宋" w:hAnsi="仿宋" w:eastAsia="仿宋" w:cs="仿宋"/>
          <w:color w:val="000000"/>
          <w:sz w:val="32"/>
          <w:szCs w:val="32"/>
        </w:rPr>
        <w:t>（项）：指</w:t>
      </w:r>
      <w:r>
        <w:rPr>
          <w:rFonts w:hint="eastAsia" w:ascii="仿宋" w:hAnsi="仿宋" w:eastAsia="仿宋" w:cs="仿宋"/>
          <w:color w:val="000000"/>
          <w:sz w:val="32"/>
          <w:szCs w:val="32"/>
          <w:lang w:eastAsia="zh-CN"/>
        </w:rPr>
        <w:t>反映农林事业单位基本支出，事业单位设施、系统运行与资产维护等方面的支出</w:t>
      </w:r>
      <w:r>
        <w:rPr>
          <w:rFonts w:hint="eastAsia" w:ascii="仿宋" w:hAnsi="仿宋" w:eastAsia="仿宋" w:cs="仿宋"/>
          <w:color w:val="00000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firstLine="640" w:firstLineChars="200"/>
        <w:jc w:val="both"/>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val="en-US" w:eastAsia="zh-CN"/>
        </w:rPr>
        <w:t>22.</w:t>
      </w:r>
      <w:r>
        <w:rPr>
          <w:rFonts w:hint="eastAsia" w:ascii="仿宋" w:hAnsi="仿宋" w:eastAsia="仿宋" w:cs="仿宋"/>
          <w:color w:val="000000"/>
          <w:sz w:val="32"/>
          <w:szCs w:val="32"/>
        </w:rPr>
        <w:t>农林水</w:t>
      </w:r>
      <w:r>
        <w:rPr>
          <w:rFonts w:hint="eastAsia" w:ascii="仿宋" w:hAnsi="仿宋" w:eastAsia="仿宋" w:cs="仿宋"/>
          <w:color w:val="000000"/>
          <w:sz w:val="32"/>
          <w:szCs w:val="32"/>
          <w:lang w:eastAsia="zh-CN"/>
        </w:rPr>
        <w:t>支出</w:t>
      </w:r>
      <w:r>
        <w:rPr>
          <w:rFonts w:hint="eastAsia" w:ascii="仿宋" w:hAnsi="仿宋" w:eastAsia="仿宋" w:cs="仿宋"/>
          <w:color w:val="000000"/>
          <w:sz w:val="32"/>
          <w:szCs w:val="32"/>
        </w:rPr>
        <w:t>（类）</w:t>
      </w:r>
      <w:r>
        <w:rPr>
          <w:rFonts w:hint="eastAsia" w:ascii="仿宋" w:hAnsi="仿宋" w:eastAsia="仿宋" w:cs="仿宋"/>
          <w:color w:val="000000"/>
          <w:sz w:val="32"/>
          <w:szCs w:val="32"/>
          <w:lang w:eastAsia="zh-CN"/>
        </w:rPr>
        <w:t>扶贫</w:t>
      </w:r>
      <w:r>
        <w:rPr>
          <w:rFonts w:hint="eastAsia" w:ascii="仿宋" w:hAnsi="仿宋" w:eastAsia="仿宋" w:cs="仿宋"/>
          <w:color w:val="000000"/>
          <w:sz w:val="32"/>
          <w:szCs w:val="32"/>
        </w:rPr>
        <w:t>（款）</w:t>
      </w:r>
      <w:r>
        <w:rPr>
          <w:rFonts w:hint="eastAsia" w:ascii="仿宋" w:hAnsi="仿宋" w:eastAsia="仿宋" w:cs="仿宋"/>
          <w:color w:val="000000"/>
          <w:sz w:val="32"/>
          <w:szCs w:val="32"/>
          <w:lang w:eastAsia="zh-CN"/>
        </w:rPr>
        <w:t>其他扶贫支出</w:t>
      </w:r>
      <w:r>
        <w:rPr>
          <w:rFonts w:hint="eastAsia" w:ascii="仿宋" w:hAnsi="仿宋" w:eastAsia="仿宋" w:cs="仿宋"/>
          <w:color w:val="000000"/>
          <w:sz w:val="32"/>
          <w:szCs w:val="32"/>
        </w:rPr>
        <w:t>（项）：反映除</w:t>
      </w:r>
      <w:r>
        <w:rPr>
          <w:rFonts w:hint="eastAsia" w:ascii="仿宋" w:hAnsi="仿宋" w:eastAsia="仿宋" w:cs="仿宋"/>
          <w:color w:val="000000"/>
          <w:sz w:val="32"/>
          <w:szCs w:val="32"/>
          <w:lang w:eastAsia="zh-CN"/>
        </w:rPr>
        <w:t>一般</w:t>
      </w:r>
      <w:r>
        <w:rPr>
          <w:rFonts w:hint="eastAsia" w:ascii="仿宋" w:hAnsi="仿宋" w:eastAsia="仿宋" w:cs="仿宋"/>
          <w:color w:val="000000"/>
          <w:sz w:val="32"/>
          <w:szCs w:val="32"/>
        </w:rPr>
        <w:t>项目以外</w:t>
      </w:r>
      <w:r>
        <w:rPr>
          <w:rFonts w:hint="eastAsia" w:ascii="仿宋" w:hAnsi="仿宋" w:eastAsia="仿宋" w:cs="仿宋"/>
          <w:color w:val="000000"/>
          <w:sz w:val="32"/>
          <w:szCs w:val="32"/>
          <w:lang w:eastAsia="zh-CN"/>
        </w:rPr>
        <w:t>其他用于扶贫方面的支出。</w:t>
      </w:r>
    </w:p>
    <w:p>
      <w:pPr>
        <w:keepNext w:val="0"/>
        <w:keepLines w:val="0"/>
        <w:pageBreakBefore w:val="0"/>
        <w:widowControl w:val="0"/>
        <w:numPr>
          <w:ilvl w:val="0"/>
          <w:numId w:val="0"/>
        </w:numPr>
        <w:kinsoku/>
        <w:wordWrap/>
        <w:overflowPunct/>
        <w:topLinePunct w:val="0"/>
        <w:bidi w:val="0"/>
        <w:snapToGrid/>
        <w:spacing w:line="576" w:lineRule="exact"/>
        <w:ind w:left="0" w:leftChars="0" w:firstLine="640" w:firstLineChars="200"/>
        <w:jc w:val="both"/>
        <w:textAlignment w:val="auto"/>
        <w:rPr>
          <w:rFonts w:hint="eastAsia" w:ascii="仿宋" w:hAnsi="仿宋" w:eastAsia="仿宋" w:cs="仿宋"/>
          <w:color w:val="000000"/>
          <w:kern w:val="2"/>
          <w:sz w:val="32"/>
          <w:szCs w:val="32"/>
          <w:lang w:eastAsia="zh-CN"/>
        </w:rPr>
      </w:pPr>
      <w:r>
        <w:rPr>
          <w:rFonts w:hint="eastAsia" w:ascii="仿宋" w:hAnsi="仿宋" w:eastAsia="仿宋" w:cs="仿宋"/>
          <w:color w:val="000000"/>
          <w:sz w:val="32"/>
          <w:szCs w:val="32"/>
          <w:lang w:val="en-US" w:eastAsia="zh-CN"/>
        </w:rPr>
        <w:t>23.</w:t>
      </w:r>
      <w:r>
        <w:rPr>
          <w:rFonts w:hint="eastAsia" w:ascii="仿宋" w:hAnsi="仿宋" w:eastAsia="仿宋" w:cs="仿宋"/>
          <w:color w:val="000000"/>
          <w:sz w:val="32"/>
          <w:szCs w:val="32"/>
        </w:rPr>
        <w:t>农林水</w:t>
      </w:r>
      <w:r>
        <w:rPr>
          <w:rFonts w:hint="eastAsia" w:ascii="仿宋" w:hAnsi="仿宋" w:eastAsia="仿宋" w:cs="仿宋"/>
          <w:color w:val="000000"/>
          <w:sz w:val="32"/>
          <w:szCs w:val="32"/>
          <w:lang w:eastAsia="zh-CN"/>
        </w:rPr>
        <w:t>支出</w:t>
      </w:r>
      <w:r>
        <w:rPr>
          <w:rFonts w:hint="eastAsia" w:ascii="仿宋" w:hAnsi="仿宋" w:eastAsia="仿宋" w:cs="仿宋"/>
          <w:color w:val="000000"/>
          <w:sz w:val="32"/>
          <w:szCs w:val="32"/>
        </w:rPr>
        <w:t>（类）</w:t>
      </w:r>
      <w:r>
        <w:rPr>
          <w:rFonts w:hint="eastAsia" w:ascii="仿宋" w:hAnsi="仿宋" w:eastAsia="仿宋" w:cs="仿宋"/>
          <w:color w:val="000000"/>
          <w:sz w:val="32"/>
          <w:szCs w:val="32"/>
          <w:lang w:eastAsia="zh-CN"/>
        </w:rPr>
        <w:t>农村综合改革</w:t>
      </w:r>
      <w:r>
        <w:rPr>
          <w:rFonts w:hint="eastAsia" w:ascii="仿宋" w:hAnsi="仿宋" w:eastAsia="仿宋" w:cs="仿宋"/>
          <w:color w:val="000000"/>
          <w:sz w:val="32"/>
          <w:szCs w:val="32"/>
        </w:rPr>
        <w:t>（款）</w:t>
      </w:r>
      <w:r>
        <w:rPr>
          <w:rFonts w:hint="eastAsia" w:ascii="仿宋" w:hAnsi="仿宋" w:eastAsia="仿宋" w:cs="仿宋"/>
          <w:color w:val="000000"/>
          <w:sz w:val="32"/>
          <w:szCs w:val="32"/>
          <w:lang w:eastAsia="zh-CN"/>
        </w:rPr>
        <w:t>对村民委员会和村党支部的补助</w:t>
      </w:r>
      <w:r>
        <w:rPr>
          <w:rFonts w:hint="eastAsia" w:ascii="仿宋" w:hAnsi="仿宋" w:eastAsia="仿宋" w:cs="仿宋"/>
          <w:color w:val="000000"/>
          <w:sz w:val="32"/>
          <w:szCs w:val="32"/>
        </w:rPr>
        <w:t>（项）：</w:t>
      </w:r>
      <w:r>
        <w:rPr>
          <w:rFonts w:hint="eastAsia" w:ascii="仿宋" w:hAnsi="仿宋" w:eastAsia="仿宋" w:cs="仿宋"/>
          <w:color w:val="000000"/>
          <w:kern w:val="2"/>
          <w:sz w:val="32"/>
          <w:szCs w:val="32"/>
          <w:lang w:eastAsia="zh-CN"/>
        </w:rPr>
        <w:t>反映各级财政对村民委员会和村党支部的补助支出，以及支持建立县级基本财力保障机制安排的村级组织运转奖补资金。</w:t>
      </w:r>
    </w:p>
    <w:p>
      <w:pPr>
        <w:keepNext w:val="0"/>
        <w:keepLines w:val="0"/>
        <w:pageBreakBefore w:val="0"/>
        <w:widowControl w:val="0"/>
        <w:numPr>
          <w:ilvl w:val="0"/>
          <w:numId w:val="0"/>
        </w:numPr>
        <w:kinsoku/>
        <w:wordWrap/>
        <w:overflowPunct/>
        <w:topLinePunct w:val="0"/>
        <w:bidi w:val="0"/>
        <w:snapToGrid/>
        <w:spacing w:line="576" w:lineRule="exact"/>
        <w:ind w:left="0" w:leftChars="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kern w:val="2"/>
          <w:sz w:val="32"/>
          <w:szCs w:val="32"/>
          <w:lang w:val="en-US" w:eastAsia="zh-CN"/>
        </w:rPr>
        <w:t>24.</w:t>
      </w:r>
      <w:r>
        <w:rPr>
          <w:rFonts w:hint="eastAsia" w:ascii="仿宋" w:hAnsi="仿宋" w:eastAsia="仿宋" w:cs="仿宋"/>
          <w:color w:val="000000"/>
          <w:kern w:val="2"/>
          <w:sz w:val="32"/>
          <w:szCs w:val="32"/>
        </w:rPr>
        <w:t>住房保障支出（类）住房改革支出（款）住房公积金（项）</w:t>
      </w:r>
      <w:r>
        <w:rPr>
          <w:rFonts w:hint="eastAsia" w:ascii="仿宋" w:hAnsi="仿宋" w:eastAsia="仿宋" w:cs="仿宋"/>
          <w:color w:val="000000"/>
          <w:sz w:val="32"/>
          <w:szCs w:val="32"/>
        </w:rPr>
        <w:t>：反映行政事业单位按人力资源和社会保障部、财政部规定的基本工资和津贴补贴以及规定比例为职工缴住房公积金。</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30</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jc w:val="center"/>
        <w:rPr>
          <w:rFonts w:hint="eastAsia" w:ascii="Times New Roman" w:hAnsi="Times New Roman" w:eastAsia="黑体"/>
          <w:color w:val="auto"/>
          <w:sz w:val="44"/>
          <w:szCs w:val="44"/>
          <w:highlight w:val="none"/>
        </w:rPr>
      </w:pPr>
      <w:bookmarkStart w:id="61" w:name="_Toc15396614"/>
      <w:bookmarkStart w:id="62" w:name="_Toc15377226"/>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Fonts w:hint="eastAsia" w:ascii="Times New Roman" w:hAnsi="Times New Roman" w:eastAsia="黑体"/>
          <w:color w:val="auto"/>
          <w:sz w:val="44"/>
          <w:szCs w:val="44"/>
          <w:highlight w:val="none"/>
        </w:rPr>
      </w:pPr>
    </w:p>
    <w:p>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1"/>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600" w:lineRule="exact"/>
        <w:ind w:leftChars="0" w:right="0" w:rightChars="0" w:firstLine="643" w:firstLineChars="200"/>
        <w:jc w:val="both"/>
        <w:textAlignment w:val="auto"/>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Autospacing="0" w:afterAutospacing="0" w:line="600" w:lineRule="exact"/>
        <w:ind w:leftChars="0" w:right="0" w:rightChars="0" w:firstLine="640" w:firstLineChars="200"/>
        <w:jc w:val="both"/>
        <w:textAlignment w:val="auto"/>
        <w:rPr>
          <w:rFonts w:hint="default" w:ascii="Times New Roman" w:hAnsi="Times New Roman" w:cs="Times New Roman"/>
          <w:szCs w:val="32"/>
        </w:rPr>
      </w:pP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大竹堡乡人民政府包括本级政府和二个事业单位，均为一级财政预算级次单位，其中：1个独立核算行政单位，2个独立核算事业单位。执行1个行政单位会计制度和2个事业单位会计制度。因机构改革，现大竹堡乡人民政府包括本级政府和2个事业单位，均为一级财政预算级次单位，其中：1个独立核算行政单位，2个独立核算事业单位。执行1个行政单位会计制度和2个事业单位会计制度。</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kern w:val="2"/>
          <w:sz w:val="32"/>
          <w:szCs w:val="32"/>
          <w:lang w:val="zh-CN" w:eastAsia="zh-CN" w:bidi="ar-SA"/>
        </w:rPr>
        <w:t>（二）</w:t>
      </w: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pPr>
        <w:pStyle w:val="2"/>
        <w:keepNext w:val="0"/>
        <w:keepLines w:val="0"/>
        <w:pageBreakBefore w:val="0"/>
        <w:numPr>
          <w:ilvl w:val="0"/>
          <w:numId w:val="0"/>
        </w:numPr>
        <w:kinsoku/>
        <w:wordWrap/>
        <w:overflowPunct/>
        <w:topLinePunct w:val="0"/>
        <w:autoSpaceDE/>
        <w:autoSpaceDN/>
        <w:bidi w:val="0"/>
        <w:spacing w:beforeLines="0" w:line="600" w:lineRule="exact"/>
        <w:ind w:leftChars="0" w:firstLine="640" w:firstLineChars="200"/>
        <w:textAlignment w:val="auto"/>
        <w:rPr>
          <w:rFonts w:hint="eastAsia"/>
          <w:sz w:val="32"/>
          <w:szCs w:val="22"/>
          <w:lang w:val="en-US" w:eastAsia="zh-CN"/>
        </w:rPr>
      </w:pPr>
      <w:r>
        <w:rPr>
          <w:rFonts w:hint="eastAsia"/>
          <w:sz w:val="32"/>
          <w:szCs w:val="22"/>
          <w:lang w:val="en-US" w:eastAsia="zh-CN"/>
        </w:rPr>
        <w:t>机构职能：</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b w:val="0"/>
          <w:bCs w:val="0"/>
          <w:kern w:val="44"/>
          <w:sz w:val="32"/>
          <w:szCs w:val="32"/>
          <w:lang w:val="en-US" w:eastAsia="zh-CN" w:bidi="ar"/>
        </w:rPr>
        <w:t>1.党政办公室。</w:t>
      </w:r>
      <w:r>
        <w:rPr>
          <w:rFonts w:hint="eastAsia" w:ascii="仿宋_GB2312" w:hAnsi="仿宋_GB2312" w:eastAsia="仿宋_GB2312" w:cs="仿宋_GB2312"/>
          <w:sz w:val="32"/>
          <w:szCs w:val="32"/>
          <w:highlight w:val="none"/>
        </w:rPr>
        <w:t>负责</w:t>
      </w:r>
      <w:r>
        <w:rPr>
          <w:rFonts w:hint="eastAsia" w:ascii="仿宋_GB2312" w:hAnsi="仿宋_GB2312" w:cs="仿宋_GB2312"/>
          <w:sz w:val="32"/>
          <w:szCs w:val="32"/>
          <w:highlight w:val="none"/>
          <w:lang w:eastAsia="zh-CN"/>
        </w:rPr>
        <w:t>乡</w:t>
      </w:r>
      <w:r>
        <w:rPr>
          <w:rFonts w:hint="eastAsia" w:ascii="仿宋_GB2312" w:hAnsi="仿宋_GB2312" w:eastAsia="仿宋_GB2312" w:cs="仿宋_GB2312"/>
          <w:sz w:val="32"/>
          <w:szCs w:val="32"/>
          <w:highlight w:val="none"/>
        </w:rPr>
        <w:t>党委、政府的综合协调、文秘档案、印章管理、机要保密、督查督办、目标绩效、干部人事、机构编制、宣传</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机关后勤等工作。</w:t>
      </w:r>
      <w:r>
        <w:rPr>
          <w:rFonts w:hint="eastAsia" w:ascii="仿宋_GB2312" w:hAnsi="仿宋_GB2312" w:eastAsia="仿宋_GB2312" w:cs="仿宋_GB2312"/>
          <w:sz w:val="32"/>
          <w:szCs w:val="32"/>
          <w:highlight w:val="none"/>
          <w:lang w:eastAsia="zh-CN"/>
        </w:rPr>
        <w:t>负责政务公开相关工作。</w:t>
      </w:r>
      <w:r>
        <w:rPr>
          <w:rFonts w:hint="eastAsia" w:ascii="仿宋_GB2312" w:hAnsi="仿宋_GB2312" w:eastAsia="仿宋_GB2312" w:cs="仿宋_GB2312"/>
          <w:sz w:val="32"/>
          <w:szCs w:val="32"/>
          <w:highlight w:val="none"/>
        </w:rPr>
        <w:t>负责</w:t>
      </w:r>
      <w:r>
        <w:rPr>
          <w:rFonts w:hint="eastAsia" w:ascii="仿宋_GB2312" w:hAnsi="仿宋_GB2312" w:cs="仿宋_GB2312"/>
          <w:sz w:val="32"/>
          <w:szCs w:val="32"/>
          <w:highlight w:val="none"/>
          <w:lang w:eastAsia="zh-CN"/>
        </w:rPr>
        <w:t>乡</w:t>
      </w:r>
      <w:r>
        <w:rPr>
          <w:rFonts w:hint="eastAsia" w:ascii="仿宋_GB2312" w:hAnsi="仿宋_GB2312" w:eastAsia="仿宋_GB2312" w:cs="仿宋_GB2312"/>
          <w:sz w:val="32"/>
          <w:szCs w:val="32"/>
          <w:highlight w:val="none"/>
        </w:rPr>
        <w:t>人大主席团、县政协工作联络站日常工作。负责本级和村级的财政、账务管理工作。完成</w:t>
      </w:r>
      <w:r>
        <w:rPr>
          <w:rFonts w:hint="eastAsia" w:ascii="仿宋_GB2312" w:hAnsi="仿宋_GB2312" w:eastAsia="仿宋_GB2312" w:cs="仿宋_GB2312"/>
          <w:sz w:val="32"/>
          <w:szCs w:val="32"/>
          <w:highlight w:val="none"/>
          <w:lang w:eastAsia="zh-CN"/>
        </w:rPr>
        <w:t>乡</w:t>
      </w:r>
      <w:r>
        <w:rPr>
          <w:rFonts w:hint="eastAsia" w:ascii="仿宋_GB2312" w:hAnsi="仿宋_GB2312" w:eastAsia="仿宋_GB2312" w:cs="仿宋_GB2312"/>
          <w:sz w:val="32"/>
          <w:szCs w:val="32"/>
          <w:highlight w:val="none"/>
        </w:rPr>
        <w:t>党委、政府交办的其他工作。</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b w:val="0"/>
          <w:bCs w:val="0"/>
          <w:kern w:val="44"/>
          <w:sz w:val="32"/>
          <w:szCs w:val="32"/>
          <w:lang w:val="en-US" w:eastAsia="zh-CN" w:bidi="ar"/>
        </w:rPr>
        <w:t>2.党建工作办公室。</w:t>
      </w:r>
      <w:r>
        <w:rPr>
          <w:rFonts w:hint="eastAsia" w:ascii="仿宋_GB2312" w:hAnsi="仿宋_GB2312" w:eastAsia="仿宋_GB2312" w:cs="仿宋_GB2312"/>
          <w:sz w:val="32"/>
          <w:szCs w:val="32"/>
          <w:highlight w:val="none"/>
        </w:rPr>
        <w:t>负责基层党的建设，制定并实施基层</w:t>
      </w:r>
      <w:r>
        <w:rPr>
          <w:rFonts w:hint="eastAsia" w:ascii="仿宋_GB2312" w:hAnsi="仿宋_GB2312" w:eastAsia="仿宋_GB2312" w:cs="仿宋_GB2312"/>
          <w:sz w:val="32"/>
          <w:szCs w:val="32"/>
          <w:highlight w:val="none"/>
          <w:lang w:eastAsia="zh-CN"/>
        </w:rPr>
        <w:t>党</w:t>
      </w:r>
      <w:r>
        <w:rPr>
          <w:rFonts w:hint="eastAsia" w:ascii="仿宋_GB2312" w:hAnsi="仿宋_GB2312" w:eastAsia="仿宋_GB2312" w:cs="仿宋_GB2312"/>
          <w:sz w:val="32"/>
          <w:szCs w:val="32"/>
          <w:highlight w:val="none"/>
        </w:rPr>
        <w:t>组织建设规划，指导基层党组织党建工作。负责抓好发展党员工作，加强党员队伍建设。负责纪检监察、意识形态、统战、民族宗教等工作。负责工会、共青团、妇联</w:t>
      </w:r>
      <w:r>
        <w:rPr>
          <w:rFonts w:hint="eastAsia" w:ascii="仿宋_GB2312" w:hAnsi="仿宋_GB2312" w:eastAsia="仿宋_GB2312" w:cs="仿宋_GB2312"/>
          <w:sz w:val="32"/>
          <w:szCs w:val="32"/>
          <w:highlight w:val="none"/>
          <w:lang w:eastAsia="zh-CN"/>
        </w:rPr>
        <w:t>、关心下一代</w:t>
      </w:r>
      <w:r>
        <w:rPr>
          <w:rFonts w:hint="eastAsia" w:ascii="仿宋_GB2312" w:hAnsi="仿宋_GB2312" w:eastAsia="仿宋_GB2312" w:cs="仿宋_GB2312"/>
          <w:sz w:val="32"/>
          <w:szCs w:val="32"/>
          <w:highlight w:val="none"/>
        </w:rPr>
        <w:t>等工作。完成</w:t>
      </w:r>
      <w:r>
        <w:rPr>
          <w:rFonts w:hint="eastAsia" w:ascii="仿宋_GB2312" w:hAnsi="仿宋_GB2312" w:eastAsia="仿宋_GB2312" w:cs="仿宋_GB2312"/>
          <w:sz w:val="32"/>
          <w:szCs w:val="32"/>
          <w:highlight w:val="none"/>
          <w:lang w:eastAsia="zh-CN"/>
        </w:rPr>
        <w:t>乡</w:t>
      </w:r>
      <w:r>
        <w:rPr>
          <w:rFonts w:hint="eastAsia" w:ascii="仿宋_GB2312" w:hAnsi="仿宋_GB2312" w:eastAsia="仿宋_GB2312" w:cs="仿宋_GB2312"/>
          <w:sz w:val="32"/>
          <w:szCs w:val="32"/>
          <w:highlight w:val="none"/>
        </w:rPr>
        <w:t>党委、政府交办的其他工作。</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楷体_GB2312" w:hAnsi="楷体_GB2312" w:eastAsia="楷体_GB2312" w:cs="楷体_GB2312"/>
          <w:b w:val="0"/>
          <w:bCs w:val="0"/>
          <w:kern w:val="44"/>
          <w:sz w:val="32"/>
          <w:szCs w:val="32"/>
          <w:lang w:val="en-US" w:eastAsia="zh-CN" w:bidi="ar"/>
        </w:rPr>
        <w:t>3.经济发展办公室。</w:t>
      </w:r>
      <w:r>
        <w:rPr>
          <w:rFonts w:hint="eastAsia" w:ascii="仿宋_GB2312" w:hAnsi="仿宋_GB2312" w:eastAsia="仿宋_GB2312" w:cs="仿宋_GB2312"/>
          <w:sz w:val="32"/>
          <w:szCs w:val="32"/>
          <w:highlight w:val="none"/>
          <w:lang w:val="en-US" w:eastAsia="zh-CN"/>
        </w:rPr>
        <w:t>负责经济建设发展规划的制定并组织实施，优化营商环境，统筹产业发展布局、结构调整等与经济发展相关的工作。负责辖区内的招商引资</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Cs w:val="32"/>
          <w:lang w:eastAsia="zh-CN"/>
        </w:rPr>
        <w:t>项目建设</w:t>
      </w:r>
      <w:r>
        <w:rPr>
          <w:rFonts w:hint="eastAsia" w:ascii="仿宋_GB2312" w:hAnsi="仿宋_GB2312" w:cs="仿宋_GB2312"/>
          <w:szCs w:val="32"/>
          <w:lang w:eastAsia="zh-CN"/>
        </w:rPr>
        <w:t>等</w:t>
      </w:r>
      <w:r>
        <w:rPr>
          <w:rFonts w:hint="eastAsia" w:ascii="仿宋_GB2312" w:hAnsi="仿宋_GB2312" w:eastAsia="仿宋_GB2312" w:cs="仿宋_GB2312"/>
          <w:sz w:val="32"/>
          <w:szCs w:val="32"/>
          <w:highlight w:val="none"/>
          <w:lang w:val="en-US" w:eastAsia="zh-CN"/>
        </w:rPr>
        <w:t>工作；负责制定乡村振兴发展规划并组织实施。负责巩固拓展脱贫攻坚成果有关工作。负责农业产业发展和乡村振兴平台建设工作</w:t>
      </w:r>
      <w:r>
        <w:rPr>
          <w:rFonts w:hint="eastAsia" w:ascii="仿宋_GB2312" w:hAnsi="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负责辖区内农村集体经济组织管理和农村人才开发引进工作。</w:t>
      </w:r>
      <w:r>
        <w:rPr>
          <w:rFonts w:hint="eastAsia" w:ascii="仿宋_GB2312" w:hAnsi="仿宋_GB2312" w:eastAsia="仿宋_GB2312" w:cs="仿宋_GB2312"/>
          <w:sz w:val="32"/>
          <w:szCs w:val="32"/>
          <w:highlight w:val="none"/>
          <w:u w:val="none"/>
          <w:lang w:val="en-US" w:eastAsia="zh-CN"/>
        </w:rPr>
        <w:t>负责经济普查有关工作。</w:t>
      </w:r>
      <w:r>
        <w:rPr>
          <w:rFonts w:hint="eastAsia" w:ascii="仿宋_GB2312" w:hAnsi="仿宋_GB2312" w:eastAsia="仿宋_GB2312" w:cs="仿宋_GB2312"/>
          <w:sz w:val="32"/>
          <w:szCs w:val="32"/>
          <w:highlight w:val="none"/>
        </w:rPr>
        <w:t>负责</w:t>
      </w:r>
      <w:r>
        <w:rPr>
          <w:rFonts w:hint="eastAsia" w:ascii="仿宋_GB2312" w:hAnsi="仿宋_GB2312" w:eastAsia="仿宋_GB2312" w:cs="仿宋_GB2312"/>
          <w:sz w:val="32"/>
          <w:szCs w:val="32"/>
          <w:highlight w:val="none"/>
          <w:lang w:eastAsia="zh-CN"/>
        </w:rPr>
        <w:t>辖区</w:t>
      </w:r>
      <w:r>
        <w:rPr>
          <w:rFonts w:hint="eastAsia" w:ascii="仿宋_GB2312" w:hAnsi="仿宋_GB2312" w:eastAsia="仿宋_GB2312" w:cs="仿宋_GB2312"/>
          <w:sz w:val="32"/>
          <w:szCs w:val="32"/>
          <w:highlight w:val="none"/>
        </w:rPr>
        <w:t>国土空间总体规划、详细规划、人居环境、村（社区）规划、</w:t>
      </w:r>
      <w:r>
        <w:rPr>
          <w:rFonts w:hint="eastAsia" w:ascii="仿宋_GB2312" w:hAnsi="仿宋_GB2312" w:eastAsia="仿宋_GB2312" w:cs="仿宋_GB2312"/>
          <w:sz w:val="32"/>
          <w:szCs w:val="32"/>
          <w:highlight w:val="none"/>
          <w:lang w:eastAsia="zh-CN"/>
        </w:rPr>
        <w:t>村</w:t>
      </w:r>
      <w:r>
        <w:rPr>
          <w:rFonts w:hint="eastAsia" w:ascii="仿宋_GB2312" w:hAnsi="仿宋_GB2312" w:eastAsia="仿宋_GB2312" w:cs="仿宋_GB2312"/>
          <w:sz w:val="32"/>
          <w:szCs w:val="32"/>
          <w:highlight w:val="none"/>
        </w:rPr>
        <w:t>镇建设规划编制、住房建设和管理等工作。</w:t>
      </w:r>
      <w:r>
        <w:rPr>
          <w:rFonts w:hint="eastAsia" w:ascii="仿宋_GB2312" w:hAnsi="仿宋_GB2312" w:eastAsia="仿宋_GB2312" w:cs="仿宋_GB2312"/>
          <w:sz w:val="32"/>
          <w:szCs w:val="32"/>
          <w:highlight w:val="none"/>
          <w:u w:val="none"/>
          <w:lang w:val="en-US" w:eastAsia="zh-CN"/>
        </w:rPr>
        <w:t>负责耕地保护工作。</w:t>
      </w:r>
      <w:r>
        <w:rPr>
          <w:rFonts w:hint="eastAsia" w:ascii="仿宋_GB2312" w:hAnsi="仿宋_GB2312" w:eastAsia="仿宋_GB2312" w:cs="仿宋_GB2312"/>
          <w:sz w:val="32"/>
          <w:szCs w:val="32"/>
          <w:highlight w:val="none"/>
        </w:rPr>
        <w:t>负责自然资源开发利用修复保护、园林绿化、生态环境保护等工作。协调交通运输、电力、邮政、通信、房地产、水利等基础设施建设工作。推行农村公路路长制，负责</w:t>
      </w:r>
      <w:r>
        <w:rPr>
          <w:rFonts w:hint="eastAsia" w:ascii="仿宋_GB2312" w:hAnsi="仿宋_GB2312" w:eastAsia="仿宋_GB2312" w:cs="仿宋_GB2312"/>
          <w:sz w:val="32"/>
          <w:szCs w:val="32"/>
          <w:highlight w:val="none"/>
          <w:lang w:eastAsia="zh-CN"/>
        </w:rPr>
        <w:t>辖区内</w:t>
      </w:r>
      <w:r>
        <w:rPr>
          <w:rFonts w:hint="eastAsia" w:ascii="仿宋_GB2312" w:hAnsi="仿宋_GB2312" w:eastAsia="仿宋_GB2312" w:cs="仿宋_GB2312"/>
          <w:sz w:val="32"/>
          <w:szCs w:val="32"/>
          <w:highlight w:val="none"/>
        </w:rPr>
        <w:t>所管县道、乡道和村道建设、管理、养护和运营工作</w:t>
      </w:r>
      <w:r>
        <w:rPr>
          <w:rFonts w:hint="eastAsia" w:ascii="仿宋_GB2312" w:hAnsi="仿宋_GB2312" w:eastAsia="仿宋_GB2312" w:cs="仿宋_GB2312"/>
          <w:sz w:val="32"/>
          <w:szCs w:val="32"/>
          <w:highlight w:val="none"/>
          <w:lang w:eastAsia="zh-CN"/>
        </w:rPr>
        <w:t>。负责田长制工作。</w:t>
      </w:r>
      <w:r>
        <w:rPr>
          <w:rFonts w:hint="eastAsia" w:ascii="仿宋_GB2312" w:hAnsi="仿宋_GB2312" w:eastAsia="仿宋_GB2312" w:cs="仿宋_GB2312"/>
          <w:sz w:val="32"/>
          <w:szCs w:val="32"/>
          <w:highlight w:val="none"/>
          <w:u w:val="none"/>
          <w:lang w:eastAsia="zh-CN"/>
        </w:rPr>
        <w:t>协助开展</w:t>
      </w:r>
      <w:r>
        <w:rPr>
          <w:rFonts w:hint="eastAsia" w:ascii="仿宋_GB2312" w:hAnsi="仿宋_GB2312" w:eastAsia="仿宋_GB2312" w:cs="仿宋_GB2312"/>
          <w:sz w:val="32"/>
          <w:szCs w:val="32"/>
          <w:highlight w:val="none"/>
          <w:u w:val="none"/>
        </w:rPr>
        <w:t>文化、旅游服务基础设施建设，推动全域旅游发展。</w:t>
      </w:r>
      <w:r>
        <w:rPr>
          <w:rFonts w:hint="eastAsia" w:ascii="仿宋_GB2312" w:hAnsi="仿宋_GB2312" w:eastAsia="仿宋_GB2312" w:cs="仿宋_GB2312"/>
          <w:sz w:val="32"/>
          <w:szCs w:val="32"/>
          <w:highlight w:val="none"/>
          <w:lang w:val="en-US" w:eastAsia="zh-CN"/>
        </w:rPr>
        <w:t>完成乡党委、政府交办的其他工作。</w:t>
      </w:r>
    </w:p>
    <w:p>
      <w:pPr>
        <w:keepNext w:val="0"/>
        <w:keepLines w:val="0"/>
        <w:pageBreakBefore w:val="0"/>
        <w:widowControl w:val="0"/>
        <w:kinsoku/>
        <w:wordWrap/>
        <w:overflowPunct/>
        <w:topLinePunct w:val="0"/>
        <w:autoSpaceDE/>
        <w:autoSpaceDN/>
        <w:bidi w:val="0"/>
        <w:adjustRightInd/>
        <w:snapToGrid/>
        <w:spacing w:line="600" w:lineRule="exact"/>
        <w:ind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b w:val="0"/>
          <w:bCs w:val="0"/>
          <w:kern w:val="44"/>
          <w:sz w:val="32"/>
          <w:szCs w:val="32"/>
          <w:lang w:val="en-US" w:eastAsia="zh-CN" w:bidi="ar"/>
        </w:rPr>
        <w:t>4.社会事务和社会治理办公室。</w:t>
      </w:r>
      <w:r>
        <w:rPr>
          <w:rFonts w:hint="eastAsia" w:ascii="仿宋_GB2312" w:hAnsi="仿宋_GB2312" w:eastAsia="仿宋_GB2312" w:cs="仿宋_GB2312"/>
          <w:sz w:val="32"/>
          <w:szCs w:val="32"/>
          <w:highlight w:val="none"/>
          <w:lang w:val="en-US" w:eastAsia="zh-CN"/>
        </w:rPr>
        <w:t>承</w:t>
      </w:r>
      <w:r>
        <w:rPr>
          <w:rFonts w:hint="eastAsia" w:ascii="仿宋_GB2312" w:hAnsi="仿宋_GB2312" w:eastAsia="仿宋_GB2312" w:cs="仿宋_GB2312"/>
          <w:sz w:val="32"/>
          <w:szCs w:val="32"/>
          <w:highlight w:val="none"/>
        </w:rPr>
        <w:t>担指导推进公共事务和综合管理等职责。负责教育、科技、文化</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体育</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旅游、广播电视、卫生健康、民政、医保、社保、国防教育、人民武装、统计、供销合作社、特殊人群</w:t>
      </w:r>
      <w:r>
        <w:rPr>
          <w:rFonts w:hint="eastAsia" w:ascii="仿宋_GB2312" w:hAnsi="仿宋_GB2312" w:eastAsia="仿宋_GB2312" w:cs="仿宋_GB2312"/>
          <w:sz w:val="32"/>
          <w:szCs w:val="32"/>
          <w:highlight w:val="none"/>
          <w:lang w:eastAsia="zh-CN"/>
        </w:rPr>
        <w:t>保障</w:t>
      </w:r>
      <w:r>
        <w:rPr>
          <w:rFonts w:hint="eastAsia" w:ascii="仿宋_GB2312" w:hAnsi="仿宋_GB2312" w:eastAsia="仿宋_GB2312" w:cs="仿宋_GB2312"/>
          <w:sz w:val="32"/>
          <w:szCs w:val="32"/>
          <w:highlight w:val="none"/>
        </w:rPr>
        <w:t>等工作。承担辖区内公益事业和社会服务事业相关工作。负责辖区内社会治安综合治理、平安建设、信访维稳、法治宣传教育、多元化解、司法调解、法律援助和外来人口管理工作。负责基层社会治安综合防控体系建设工作。负责基层治理信息收集、分析研判、分流交办、调度指挥、反馈督办、绩效评估等工作。</w:t>
      </w:r>
      <w:r>
        <w:rPr>
          <w:rFonts w:hint="eastAsia" w:ascii="仿宋_GB2312" w:hAnsi="仿宋_GB2312" w:eastAsia="仿宋_GB2312" w:cs="仿宋_GB2312"/>
          <w:sz w:val="32"/>
          <w:szCs w:val="32"/>
          <w:highlight w:val="none"/>
          <w:lang w:eastAsia="zh-CN"/>
        </w:rPr>
        <w:t>协调推进</w:t>
      </w:r>
      <w:r>
        <w:rPr>
          <w:rFonts w:hint="eastAsia" w:ascii="仿宋_GB2312" w:hAnsi="仿宋_GB2312" w:eastAsia="仿宋_GB2312" w:cs="仿宋_GB2312"/>
          <w:sz w:val="32"/>
          <w:szCs w:val="32"/>
          <w:highlight w:val="none"/>
        </w:rPr>
        <w:t>网格化管理工作</w:t>
      </w:r>
      <w:r>
        <w:rPr>
          <w:rFonts w:hint="eastAsia" w:ascii="仿宋_GB2312" w:hAnsi="仿宋_GB2312" w:eastAsia="仿宋_GB2312" w:cs="仿宋_GB2312"/>
          <w:sz w:val="32"/>
          <w:szCs w:val="32"/>
          <w:highlight w:val="none"/>
          <w:lang w:eastAsia="zh-CN"/>
        </w:rPr>
        <w:t>和平台建设工作</w:t>
      </w:r>
      <w:r>
        <w:rPr>
          <w:rFonts w:hint="eastAsia" w:ascii="仿宋_GB2312" w:hAnsi="仿宋_GB2312" w:eastAsia="仿宋_GB2312" w:cs="仿宋_GB2312"/>
          <w:sz w:val="32"/>
          <w:szCs w:val="32"/>
          <w:highlight w:val="none"/>
        </w:rPr>
        <w:t>。完成</w:t>
      </w:r>
      <w:r>
        <w:rPr>
          <w:rFonts w:hint="eastAsia" w:ascii="仿宋_GB2312" w:hAnsi="仿宋_GB2312" w:eastAsia="仿宋_GB2312" w:cs="仿宋_GB2312"/>
          <w:sz w:val="32"/>
          <w:szCs w:val="32"/>
          <w:highlight w:val="none"/>
          <w:lang w:eastAsia="zh-CN"/>
        </w:rPr>
        <w:t>乡</w:t>
      </w:r>
      <w:r>
        <w:rPr>
          <w:rFonts w:hint="eastAsia" w:ascii="仿宋_GB2312" w:hAnsi="仿宋_GB2312" w:eastAsia="仿宋_GB2312" w:cs="仿宋_GB2312"/>
          <w:sz w:val="32"/>
          <w:szCs w:val="32"/>
          <w:highlight w:val="none"/>
        </w:rPr>
        <w:t>党委、政府交办的其他工作。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lang w:val="zh-CN"/>
        </w:rPr>
      </w:pPr>
      <w:r>
        <w:rPr>
          <w:rFonts w:hint="eastAsia" w:ascii="楷体_GB2312" w:hAnsi="楷体_GB2312" w:eastAsia="楷体_GB2312" w:cs="楷体_GB2312"/>
          <w:b w:val="0"/>
          <w:bCs w:val="0"/>
          <w:kern w:val="44"/>
          <w:sz w:val="32"/>
          <w:szCs w:val="32"/>
          <w:lang w:val="en-US" w:eastAsia="zh-CN" w:bidi="ar"/>
        </w:rPr>
        <w:t>5.综合执法和应急管理办公室。</w:t>
      </w:r>
      <w:r>
        <w:rPr>
          <w:rFonts w:hint="eastAsia" w:ascii="仿宋_GB2312" w:hAnsi="仿宋_GB2312" w:eastAsia="仿宋_GB2312" w:cs="仿宋_GB2312"/>
          <w:sz w:val="32"/>
          <w:szCs w:val="32"/>
          <w:highlight w:val="none"/>
        </w:rPr>
        <w:t>依据相关法律、法规开展综合行政执法工作；统筹协调县级部门派驻在</w:t>
      </w:r>
      <w:r>
        <w:rPr>
          <w:rFonts w:hint="eastAsia" w:ascii="仿宋_GB2312" w:hAnsi="仿宋_GB2312" w:cs="仿宋_GB2312"/>
          <w:sz w:val="32"/>
          <w:szCs w:val="32"/>
          <w:highlight w:val="none"/>
          <w:lang w:eastAsia="zh-CN"/>
        </w:rPr>
        <w:t>乡</w:t>
      </w:r>
      <w:r>
        <w:rPr>
          <w:rFonts w:hint="eastAsia" w:ascii="仿宋_GB2312" w:hAnsi="仿宋_GB2312" w:eastAsia="仿宋_GB2312" w:cs="仿宋_GB2312"/>
          <w:sz w:val="32"/>
          <w:szCs w:val="32"/>
          <w:highlight w:val="none"/>
        </w:rPr>
        <w:t>的行政执法力量；参与相关职能部门联合执法及专项整治工作；建立健全行政执法责任和责任追究机制；牵头查处辖区内违反行政法规的行为和案件；建立健全与上级相关部门行政执法案件移送及协调</w:t>
      </w:r>
      <w:r>
        <w:rPr>
          <w:rFonts w:hint="eastAsia" w:ascii="仿宋_GB2312" w:hAnsi="仿宋_GB2312" w:eastAsia="仿宋_GB2312" w:cs="仿宋_GB2312"/>
          <w:sz w:val="32"/>
          <w:szCs w:val="32"/>
          <w:highlight w:val="none"/>
          <w:lang w:eastAsia="zh-CN"/>
        </w:rPr>
        <w:t>工作</w:t>
      </w:r>
      <w:r>
        <w:rPr>
          <w:rFonts w:hint="eastAsia" w:ascii="仿宋_GB2312" w:hAnsi="仿宋_GB2312" w:eastAsia="仿宋_GB2312" w:cs="仿宋_GB2312"/>
          <w:sz w:val="32"/>
          <w:szCs w:val="32"/>
          <w:highlight w:val="none"/>
        </w:rPr>
        <w:t>机制；负责牵头清理编制</w:t>
      </w:r>
      <w:r>
        <w:rPr>
          <w:rFonts w:hint="eastAsia" w:ascii="仿宋_GB2312" w:hAnsi="仿宋_GB2312" w:cs="仿宋_GB2312"/>
          <w:sz w:val="32"/>
          <w:szCs w:val="32"/>
          <w:highlight w:val="none"/>
          <w:lang w:eastAsia="zh-CN"/>
        </w:rPr>
        <w:t>属地事项责任清单、</w:t>
      </w:r>
      <w:r>
        <w:rPr>
          <w:rFonts w:hint="eastAsia" w:ascii="仿宋_GB2312" w:hAnsi="仿宋_GB2312" w:eastAsia="仿宋_GB2312" w:cs="仿宋_GB2312"/>
          <w:sz w:val="32"/>
          <w:szCs w:val="32"/>
          <w:highlight w:val="none"/>
        </w:rPr>
        <w:t>权责清单等</w:t>
      </w:r>
      <w:r>
        <w:rPr>
          <w:rFonts w:hint="eastAsia" w:ascii="仿宋_GB2312" w:hAnsi="仿宋_GB2312" w:eastAsia="仿宋_GB2312" w:cs="仿宋_GB2312"/>
          <w:sz w:val="32"/>
          <w:szCs w:val="32"/>
          <w:highlight w:val="none"/>
          <w:lang w:eastAsia="zh-CN"/>
        </w:rPr>
        <w:t>工作；负责</w:t>
      </w:r>
      <w:r>
        <w:rPr>
          <w:rFonts w:hint="eastAsia" w:ascii="仿宋_GB2312" w:hAnsi="仿宋_GB2312" w:eastAsia="仿宋_GB2312" w:cs="仿宋_GB2312"/>
          <w:sz w:val="32"/>
          <w:szCs w:val="32"/>
          <w:highlight w:val="none"/>
        </w:rPr>
        <w:t>食（药）品安全、粮食安全</w:t>
      </w:r>
      <w:r>
        <w:rPr>
          <w:rFonts w:hint="eastAsia" w:ascii="仿宋_GB2312" w:hAnsi="仿宋_GB2312" w:eastAsia="仿宋_GB2312" w:cs="仿宋_GB2312"/>
          <w:sz w:val="32"/>
          <w:szCs w:val="32"/>
          <w:highlight w:val="none"/>
          <w:lang w:eastAsia="zh-CN"/>
        </w:rPr>
        <w:t>等工作</w:t>
      </w:r>
      <w:r>
        <w:rPr>
          <w:rFonts w:hint="eastAsia" w:ascii="仿宋_GB2312" w:hAnsi="仿宋_GB2312" w:eastAsia="仿宋_GB2312" w:cs="仿宋_GB2312"/>
          <w:sz w:val="32"/>
          <w:szCs w:val="32"/>
          <w:highlight w:val="none"/>
        </w:rPr>
        <w:t>。负责组织、指导、协调辖区内</w:t>
      </w:r>
      <w:r>
        <w:rPr>
          <w:rFonts w:hint="eastAsia" w:ascii="仿宋_GB2312" w:hAnsi="仿宋_GB2312" w:eastAsia="仿宋_GB2312" w:cs="仿宋_GB2312"/>
          <w:sz w:val="32"/>
          <w:szCs w:val="32"/>
          <w:highlight w:val="none"/>
          <w:lang w:eastAsia="zh-CN"/>
        </w:rPr>
        <w:t>应急管理</w:t>
      </w:r>
      <w:r>
        <w:rPr>
          <w:rFonts w:hint="eastAsia" w:ascii="仿宋_GB2312" w:hAnsi="仿宋_GB2312" w:eastAsia="仿宋_GB2312" w:cs="仿宋_GB2312"/>
          <w:sz w:val="32"/>
          <w:szCs w:val="32"/>
          <w:highlight w:val="none"/>
        </w:rPr>
        <w:t>工作。负责自然灾害、事故灾难、公共卫生三大类突发事件和社会安全类突发事件的应急管理和应对处置等工作。</w:t>
      </w:r>
      <w:r>
        <w:rPr>
          <w:rFonts w:hint="eastAsia" w:ascii="仿宋_GB2312" w:hAnsi="仿宋_GB2312" w:eastAsia="仿宋_GB2312" w:cs="仿宋_GB2312"/>
          <w:sz w:val="32"/>
          <w:szCs w:val="32"/>
          <w:highlight w:val="none"/>
          <w:lang w:eastAsia="zh-CN"/>
        </w:rPr>
        <w:t>负责</w:t>
      </w:r>
      <w:r>
        <w:rPr>
          <w:rFonts w:hint="eastAsia" w:ascii="仿宋_GB2312" w:hAnsi="仿宋_GB2312" w:eastAsia="仿宋_GB2312" w:cs="仿宋_GB2312"/>
          <w:sz w:val="32"/>
          <w:szCs w:val="32"/>
          <w:highlight w:val="none"/>
        </w:rPr>
        <w:t>定期组织开展道路巡查，对</w:t>
      </w:r>
      <w:r>
        <w:rPr>
          <w:rFonts w:hint="eastAsia" w:ascii="仿宋_GB2312" w:hAnsi="仿宋_GB2312" w:eastAsia="仿宋_GB2312" w:cs="仿宋_GB2312"/>
          <w:sz w:val="32"/>
          <w:szCs w:val="32"/>
          <w:highlight w:val="none"/>
          <w:lang w:eastAsia="zh-CN"/>
        </w:rPr>
        <w:t>辖区内</w:t>
      </w:r>
      <w:r>
        <w:rPr>
          <w:rFonts w:hint="eastAsia" w:ascii="仿宋_GB2312" w:hAnsi="仿宋_GB2312" w:eastAsia="仿宋_GB2312" w:cs="仿宋_GB2312"/>
          <w:sz w:val="32"/>
          <w:szCs w:val="32"/>
          <w:highlight w:val="none"/>
        </w:rPr>
        <w:t>所管道路建设安全、工程质量、养护管理、路政管理等情况进行监督指导并督促落实。负责</w:t>
      </w:r>
      <w:r>
        <w:rPr>
          <w:rFonts w:hint="eastAsia" w:ascii="仿宋_GB2312" w:hAnsi="仿宋_GB2312" w:cs="仿宋_GB2312"/>
          <w:sz w:val="32"/>
          <w:szCs w:val="32"/>
          <w:highlight w:val="none"/>
          <w:lang w:eastAsia="zh-CN"/>
        </w:rPr>
        <w:t>乡</w:t>
      </w:r>
      <w:r>
        <w:rPr>
          <w:rFonts w:hint="eastAsia" w:ascii="仿宋_GB2312" w:hAnsi="仿宋_GB2312" w:eastAsia="仿宋_GB2312" w:cs="仿宋_GB2312"/>
          <w:sz w:val="32"/>
          <w:szCs w:val="32"/>
          <w:highlight w:val="none"/>
        </w:rPr>
        <w:t>安委会日常工作。完成</w:t>
      </w:r>
      <w:r>
        <w:rPr>
          <w:rFonts w:hint="eastAsia" w:ascii="仿宋_GB2312" w:hAnsi="仿宋_GB2312" w:eastAsia="仿宋_GB2312" w:cs="仿宋_GB2312"/>
          <w:sz w:val="32"/>
          <w:szCs w:val="32"/>
          <w:highlight w:val="none"/>
          <w:lang w:eastAsia="zh-CN"/>
        </w:rPr>
        <w:t>乡</w:t>
      </w:r>
      <w:r>
        <w:rPr>
          <w:rFonts w:hint="eastAsia" w:ascii="仿宋_GB2312" w:hAnsi="仿宋_GB2312" w:eastAsia="仿宋_GB2312" w:cs="仿宋_GB2312"/>
          <w:sz w:val="32"/>
          <w:szCs w:val="32"/>
          <w:highlight w:val="none"/>
        </w:rPr>
        <w:t>党委、政府交办的其他工作。</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Times New Roman" w:hAnsi="Times New Roman" w:cs="Times New Roman"/>
          <w:szCs w:val="32"/>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hAnsi="仿宋_GB2312" w:cs="仿宋_GB2312"/>
          <w:i w:val="0"/>
          <w:caps w:val="0"/>
          <w:color w:val="auto"/>
          <w:spacing w:val="0"/>
          <w:kern w:val="0"/>
          <w:sz w:val="32"/>
          <w:szCs w:val="32"/>
          <w:shd w:val="clear" w:color="auto" w:fill="FFFFFF"/>
          <w:lang w:val="en-US" w:eastAsia="zh-CN" w:bidi="ar"/>
        </w:rPr>
        <w:t>大竹堡乡</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人民政府属独立核算全额决算拨款的机关事业单位，核定编制</w:t>
      </w:r>
      <w:r>
        <w:rPr>
          <w:rFonts w:hint="eastAsia" w:hAnsi="仿宋_GB2312" w:cs="仿宋_GB2312"/>
          <w:i w:val="0"/>
          <w:caps w:val="0"/>
          <w:color w:val="auto"/>
          <w:spacing w:val="0"/>
          <w:kern w:val="0"/>
          <w:sz w:val="32"/>
          <w:szCs w:val="32"/>
          <w:shd w:val="clear" w:color="auto" w:fill="FFFFFF"/>
          <w:lang w:val="en-US" w:eastAsia="zh-CN" w:bidi="ar"/>
        </w:rPr>
        <w:t>32</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人，其中行政编制</w:t>
      </w:r>
      <w:r>
        <w:rPr>
          <w:rFonts w:hint="eastAsia" w:hAnsi="仿宋_GB2312" w:cs="仿宋_GB2312"/>
          <w:i w:val="0"/>
          <w:caps w:val="0"/>
          <w:color w:val="auto"/>
          <w:spacing w:val="0"/>
          <w:kern w:val="0"/>
          <w:sz w:val="32"/>
          <w:szCs w:val="32"/>
          <w:shd w:val="clear" w:color="auto" w:fill="FFFFFF"/>
          <w:lang w:val="en-US" w:eastAsia="zh-CN" w:bidi="ar"/>
        </w:rPr>
        <w:t>19</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人，事业编制</w:t>
      </w:r>
      <w:r>
        <w:rPr>
          <w:rFonts w:hint="eastAsia" w:hAnsi="仿宋_GB2312" w:cs="仿宋_GB2312"/>
          <w:i w:val="0"/>
          <w:caps w:val="0"/>
          <w:color w:val="auto"/>
          <w:spacing w:val="0"/>
          <w:kern w:val="0"/>
          <w:sz w:val="32"/>
          <w:szCs w:val="32"/>
          <w:shd w:val="clear" w:color="auto" w:fill="FFFFFF"/>
          <w:lang w:val="en-US" w:eastAsia="zh-CN" w:bidi="ar"/>
        </w:rPr>
        <w:t>13</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人；2025年12月在册的实有在职人员，行政编制</w:t>
      </w:r>
      <w:r>
        <w:rPr>
          <w:rFonts w:hint="eastAsia" w:hAnsi="仿宋_GB2312" w:cs="仿宋_GB2312"/>
          <w:i w:val="0"/>
          <w:caps w:val="0"/>
          <w:color w:val="auto"/>
          <w:spacing w:val="0"/>
          <w:kern w:val="0"/>
          <w:sz w:val="32"/>
          <w:szCs w:val="32"/>
          <w:shd w:val="clear" w:color="auto" w:fill="FFFFFF"/>
          <w:lang w:val="en-US" w:eastAsia="zh-CN" w:bidi="ar"/>
        </w:rPr>
        <w:t>18</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人，工勤编制1人，事业编制</w:t>
      </w:r>
      <w:r>
        <w:rPr>
          <w:rFonts w:hint="eastAsia" w:hAnsi="仿宋_GB2312" w:cs="仿宋_GB2312"/>
          <w:i w:val="0"/>
          <w:caps w:val="0"/>
          <w:color w:val="auto"/>
          <w:spacing w:val="0"/>
          <w:kern w:val="0"/>
          <w:sz w:val="32"/>
          <w:szCs w:val="32"/>
          <w:shd w:val="clear" w:color="auto" w:fill="FFFFFF"/>
          <w:lang w:val="en-US" w:eastAsia="zh-CN" w:bidi="ar"/>
        </w:rPr>
        <w:t>11</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人，三支一扶2人。</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leftChars="0"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leftChars="0" w:firstLine="640" w:firstLineChars="200"/>
        <w:textAlignment w:val="auto"/>
        <w:rPr>
          <w:lang w:val="zh-CN"/>
        </w:rPr>
      </w:pPr>
      <w:r>
        <w:rPr>
          <w:rFonts w:hint="eastAsia" w:hAnsi="Times New Roman" w:cs="Times New Roman"/>
          <w:sz w:val="32"/>
          <w:szCs w:val="22"/>
          <w:lang w:val="en-US" w:eastAsia="zh-CN"/>
        </w:rPr>
        <w:t>202</w:t>
      </w:r>
      <w:r>
        <w:rPr>
          <w:rFonts w:hint="eastAsia" w:cs="Times New Roman"/>
          <w:sz w:val="32"/>
          <w:szCs w:val="22"/>
          <w:lang w:val="en-US" w:eastAsia="zh-CN"/>
        </w:rPr>
        <w:t>5</w:t>
      </w:r>
      <w:r>
        <w:rPr>
          <w:rFonts w:hint="eastAsia" w:hAnsi="Times New Roman" w:cs="Times New Roman"/>
          <w:sz w:val="32"/>
          <w:szCs w:val="22"/>
          <w:lang w:val="en-US" w:eastAsia="zh-CN"/>
        </w:rPr>
        <w:t>年当年收入决算金额为959.96万元。其中：一般公共预算财政拨款收入605.66万元，占63.09%。政府性基金预算财政拨款收入3.15万元，占 0.33%。年初结转和结余44.53万元，占总收入的4.64%。</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left="0" w:leftChars="0"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shd w:val="clear" w:fill="FFFFFF"/>
          <w:lang w:val="zh-CN" w:eastAsia="zh-CN" w:bidi="ar-SA"/>
        </w:rPr>
        <w:t>（二）</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left="0" w:leftChars="0" w:firstLine="640" w:firstLineChars="200"/>
        <w:textAlignment w:val="auto"/>
        <w:rPr>
          <w:highlight w:val="none"/>
          <w:lang w:val="zh-CN"/>
        </w:rPr>
      </w:pPr>
      <w:r>
        <w:rPr>
          <w:rFonts w:hint="eastAsia" w:ascii="仿宋_GB2312" w:hAnsi="仿宋_GB2312" w:eastAsia="仿宋_GB2312" w:cs="仿宋_GB2312"/>
          <w:i w:val="0"/>
          <w:caps w:val="0"/>
          <w:color w:val="auto"/>
          <w:spacing w:val="0"/>
          <w:kern w:val="0"/>
          <w:sz w:val="32"/>
          <w:szCs w:val="32"/>
          <w:highlight w:val="none"/>
          <w:shd w:val="clear" w:color="auto" w:fill="FFFFFF"/>
          <w:lang w:val="en-US" w:eastAsia="zh-CN" w:bidi="ar"/>
        </w:rPr>
        <w:t>202</w:t>
      </w:r>
      <w:r>
        <w:rPr>
          <w:rFonts w:hint="eastAsia" w:hAnsi="仿宋_GB2312" w:cs="仿宋_GB2312"/>
          <w:i w:val="0"/>
          <w:caps w:val="0"/>
          <w:color w:val="auto"/>
          <w:spacing w:val="0"/>
          <w:kern w:val="0"/>
          <w:sz w:val="32"/>
          <w:szCs w:val="32"/>
          <w:highlight w:val="none"/>
          <w:shd w:val="clear" w:color="auto" w:fill="FFFFFF"/>
          <w:lang w:val="en-US" w:eastAsia="zh-CN" w:bidi="ar"/>
        </w:rPr>
        <w:t>5</w:t>
      </w:r>
      <w:r>
        <w:rPr>
          <w:rFonts w:hint="eastAsia" w:ascii="仿宋_GB2312" w:hAnsi="仿宋_GB2312" w:eastAsia="仿宋_GB2312" w:cs="仿宋_GB2312"/>
          <w:i w:val="0"/>
          <w:caps w:val="0"/>
          <w:color w:val="auto"/>
          <w:spacing w:val="0"/>
          <w:kern w:val="0"/>
          <w:sz w:val="32"/>
          <w:szCs w:val="32"/>
          <w:highlight w:val="none"/>
          <w:shd w:val="clear" w:color="auto" w:fill="FFFFFF"/>
          <w:lang w:val="en-US" w:eastAsia="zh-CN" w:bidi="ar"/>
        </w:rPr>
        <w:t>年支出决算数</w:t>
      </w:r>
      <w:r>
        <w:rPr>
          <w:rFonts w:hint="eastAsia" w:hAnsi="Times New Roman" w:cs="Times New Roman"/>
          <w:sz w:val="32"/>
          <w:szCs w:val="22"/>
          <w:highlight w:val="none"/>
          <w:lang w:val="en-US" w:eastAsia="zh-CN"/>
        </w:rPr>
        <w:t>1007.64</w:t>
      </w:r>
      <w:r>
        <w:rPr>
          <w:rFonts w:hint="eastAsia" w:ascii="仿宋_GB2312" w:hAnsi="仿宋_GB2312" w:eastAsia="仿宋_GB2312" w:cs="仿宋_GB2312"/>
          <w:i w:val="0"/>
          <w:caps w:val="0"/>
          <w:color w:val="auto"/>
          <w:spacing w:val="0"/>
          <w:kern w:val="0"/>
          <w:sz w:val="32"/>
          <w:szCs w:val="32"/>
          <w:highlight w:val="none"/>
          <w:shd w:val="clear" w:color="auto" w:fill="FFFFFF"/>
          <w:lang w:val="en-US" w:eastAsia="zh-CN" w:bidi="ar"/>
        </w:rPr>
        <w:t>万元，</w:t>
      </w:r>
      <w:r>
        <w:rPr>
          <w:rFonts w:hint="eastAsia" w:ascii="仿宋_GB2312" w:hAnsi="仿宋" w:eastAsia="仿宋_GB2312" w:cs="Times New Roman"/>
          <w:b w:val="0"/>
          <w:bCs w:val="0"/>
          <w:kern w:val="2"/>
          <w:sz w:val="32"/>
          <w:szCs w:val="32"/>
          <w:highlight w:val="none"/>
          <w:lang w:val="en-US" w:eastAsia="zh-CN" w:bidi="ar-SA"/>
        </w:rPr>
        <w:t>各项支出占总支出的比重分析如下：（1）</w:t>
      </w:r>
      <w:r>
        <w:rPr>
          <w:rFonts w:hint="eastAsia" w:ascii="仿宋_GB2312" w:hAnsi="仿宋" w:eastAsia="仿宋_GB2312"/>
          <w:color w:val="auto"/>
          <w:sz w:val="32"/>
          <w:szCs w:val="32"/>
          <w:highlight w:val="none"/>
        </w:rPr>
        <w:t>按资金来源：财政拨款支出为</w:t>
      </w:r>
      <w:r>
        <w:rPr>
          <w:rFonts w:hint="eastAsia" w:hAnsi="仿宋"/>
          <w:color w:val="auto"/>
          <w:sz w:val="32"/>
          <w:szCs w:val="32"/>
          <w:highlight w:val="none"/>
          <w:lang w:val="en-US" w:eastAsia="zh-CN"/>
        </w:rPr>
        <w:t>1007.64</w:t>
      </w:r>
      <w:r>
        <w:rPr>
          <w:rFonts w:hint="eastAsia" w:ascii="仿宋_GB2312" w:hAnsi="仿宋" w:eastAsia="仿宋_GB2312"/>
          <w:color w:val="auto"/>
          <w:sz w:val="32"/>
          <w:szCs w:val="32"/>
          <w:highlight w:val="none"/>
        </w:rPr>
        <w:t>万元，占总支出的</w:t>
      </w:r>
      <w:r>
        <w:rPr>
          <w:rFonts w:hint="eastAsia" w:hAnsi="仿宋"/>
          <w:color w:val="auto"/>
          <w:sz w:val="32"/>
          <w:szCs w:val="32"/>
          <w:highlight w:val="none"/>
          <w:lang w:val="en-US" w:eastAsia="zh-CN"/>
        </w:rPr>
        <w:t>100</w:t>
      </w:r>
      <w:r>
        <w:rPr>
          <w:rFonts w:hint="eastAsia" w:ascii="仿宋_GB2312" w:hAnsi="仿宋" w:eastAsia="仿宋_GB2312"/>
          <w:color w:val="auto"/>
          <w:sz w:val="32"/>
          <w:szCs w:val="32"/>
          <w:highlight w:val="none"/>
        </w:rPr>
        <w:t>%。</w:t>
      </w:r>
      <w:r>
        <w:rPr>
          <w:rFonts w:hint="eastAsia" w:ascii="仿宋_GB2312" w:hAnsi="仿宋" w:eastAsia="仿宋_GB2312" w:cs="Times New Roman"/>
          <w:b w:val="0"/>
          <w:bCs w:val="0"/>
          <w:kern w:val="2"/>
          <w:sz w:val="32"/>
          <w:szCs w:val="32"/>
          <w:highlight w:val="none"/>
          <w:lang w:val="en-US" w:eastAsia="zh-CN" w:bidi="ar-SA"/>
        </w:rPr>
        <w:t>（2）</w:t>
      </w:r>
      <w:r>
        <w:rPr>
          <w:rFonts w:hint="eastAsia" w:ascii="仿宋_GB2312" w:hAnsi="仿宋" w:eastAsia="仿宋_GB2312"/>
          <w:color w:val="auto"/>
          <w:sz w:val="32"/>
          <w:szCs w:val="32"/>
          <w:highlight w:val="none"/>
        </w:rPr>
        <w:t>按支出性质</w:t>
      </w:r>
      <w:r>
        <w:rPr>
          <w:rFonts w:hint="eastAsia" w:hAnsi="仿宋"/>
          <w:color w:val="auto"/>
          <w:sz w:val="32"/>
          <w:szCs w:val="32"/>
          <w:highlight w:val="none"/>
          <w:lang w:eastAsia="zh-CN"/>
        </w:rPr>
        <w:t>：</w:t>
      </w:r>
      <w:r>
        <w:rPr>
          <w:rFonts w:hint="eastAsia" w:ascii="仿宋_GB2312" w:hAnsi="仿宋" w:eastAsia="仿宋_GB2312"/>
          <w:color w:val="auto"/>
          <w:sz w:val="32"/>
          <w:szCs w:val="32"/>
          <w:highlight w:val="none"/>
        </w:rPr>
        <w:t>基本支出</w:t>
      </w:r>
      <w:r>
        <w:rPr>
          <w:rFonts w:hint="eastAsia" w:hAnsi="仿宋"/>
          <w:color w:val="auto"/>
          <w:sz w:val="32"/>
          <w:szCs w:val="32"/>
          <w:highlight w:val="none"/>
          <w:lang w:val="en-US" w:eastAsia="zh-CN"/>
        </w:rPr>
        <w:t>800.5</w:t>
      </w:r>
      <w:r>
        <w:rPr>
          <w:rFonts w:hint="eastAsia" w:ascii="仿宋_GB2312" w:hAnsi="仿宋" w:eastAsia="仿宋_GB2312"/>
          <w:color w:val="auto"/>
          <w:sz w:val="32"/>
          <w:szCs w:val="32"/>
          <w:highlight w:val="none"/>
        </w:rPr>
        <w:t>万元，占总支出 79.44%</w:t>
      </w:r>
      <w:r>
        <w:rPr>
          <w:rFonts w:hint="eastAsia" w:hAnsi="仿宋"/>
          <w:color w:val="auto"/>
          <w:sz w:val="32"/>
          <w:szCs w:val="32"/>
          <w:highlight w:val="none"/>
          <w:lang w:eastAsia="zh-CN"/>
        </w:rPr>
        <w:t>，</w:t>
      </w:r>
      <w:r>
        <w:rPr>
          <w:rFonts w:hint="eastAsia" w:ascii="仿宋_GB2312" w:hAnsi="仿宋" w:eastAsia="仿宋_GB2312"/>
          <w:color w:val="auto"/>
          <w:sz w:val="32"/>
          <w:szCs w:val="32"/>
          <w:highlight w:val="none"/>
        </w:rPr>
        <w:t>项目支出</w:t>
      </w:r>
      <w:r>
        <w:rPr>
          <w:rFonts w:hint="eastAsia" w:hAnsi="仿宋"/>
          <w:color w:val="auto"/>
          <w:sz w:val="32"/>
          <w:szCs w:val="32"/>
          <w:highlight w:val="none"/>
          <w:lang w:val="en-US" w:eastAsia="zh-CN"/>
        </w:rPr>
        <w:t>207.14</w:t>
      </w:r>
      <w:r>
        <w:rPr>
          <w:rFonts w:hint="eastAsia" w:ascii="仿宋_GB2312" w:hAnsi="仿宋" w:eastAsia="仿宋_GB2312"/>
          <w:color w:val="auto"/>
          <w:sz w:val="32"/>
          <w:szCs w:val="32"/>
          <w:highlight w:val="none"/>
        </w:rPr>
        <w:t xml:space="preserve">万元，占总支出 </w:t>
      </w:r>
      <w:r>
        <w:rPr>
          <w:rFonts w:hint="eastAsia" w:hAnsi="仿宋"/>
          <w:color w:val="auto"/>
          <w:sz w:val="32"/>
          <w:szCs w:val="32"/>
          <w:highlight w:val="none"/>
          <w:lang w:val="en-US" w:eastAsia="zh-CN"/>
        </w:rPr>
        <w:t>20.56</w:t>
      </w:r>
      <w:r>
        <w:rPr>
          <w:rFonts w:hint="eastAsia" w:ascii="仿宋_GB2312" w:hAnsi="仿宋" w:eastAsia="仿宋_GB2312"/>
          <w:color w:val="auto"/>
          <w:sz w:val="32"/>
          <w:szCs w:val="32"/>
          <w:highlight w:val="none"/>
        </w:rPr>
        <w:t>%。</w:t>
      </w:r>
      <w:r>
        <w:rPr>
          <w:rFonts w:hint="eastAsia" w:ascii="仿宋_GB2312" w:hAnsi="仿宋" w:eastAsia="仿宋_GB2312" w:cs="Times New Roman"/>
          <w:b w:val="0"/>
          <w:bCs w:val="0"/>
          <w:kern w:val="2"/>
          <w:sz w:val="32"/>
          <w:szCs w:val="32"/>
          <w:highlight w:val="none"/>
          <w:lang w:val="en-US" w:eastAsia="zh-CN" w:bidi="ar-SA"/>
        </w:rPr>
        <w:t>（3）</w:t>
      </w:r>
      <w:r>
        <w:rPr>
          <w:rFonts w:hint="eastAsia" w:ascii="仿宋_GB2312" w:hAnsi="仿宋" w:eastAsia="仿宋_GB2312"/>
          <w:color w:val="auto"/>
          <w:sz w:val="32"/>
          <w:szCs w:val="32"/>
          <w:highlight w:val="none"/>
        </w:rPr>
        <w:t>按支出经济分类：工资福利支出</w:t>
      </w:r>
      <w:r>
        <w:rPr>
          <w:rFonts w:hint="eastAsia" w:hAnsi="仿宋"/>
          <w:color w:val="auto"/>
          <w:sz w:val="32"/>
          <w:szCs w:val="32"/>
          <w:highlight w:val="none"/>
          <w:lang w:val="en-US" w:eastAsia="zh-CN"/>
        </w:rPr>
        <w:t>595.3</w:t>
      </w:r>
      <w:r>
        <w:rPr>
          <w:rFonts w:hint="eastAsia" w:ascii="仿宋_GB2312" w:hAnsi="仿宋" w:eastAsia="仿宋_GB2312"/>
          <w:color w:val="auto"/>
          <w:sz w:val="32"/>
          <w:szCs w:val="32"/>
          <w:highlight w:val="none"/>
        </w:rPr>
        <w:t>万元，占总支出 79.44%，商品和服务支出</w:t>
      </w:r>
      <w:r>
        <w:rPr>
          <w:rFonts w:hint="eastAsia" w:hAnsi="仿宋"/>
          <w:color w:val="auto"/>
          <w:sz w:val="32"/>
          <w:szCs w:val="32"/>
          <w:highlight w:val="none"/>
          <w:lang w:val="en-US" w:eastAsia="zh-CN"/>
        </w:rPr>
        <w:t>263.11</w:t>
      </w:r>
      <w:r>
        <w:rPr>
          <w:rFonts w:hint="eastAsia" w:ascii="仿宋_GB2312" w:hAnsi="仿宋" w:eastAsia="仿宋_GB2312"/>
          <w:color w:val="auto"/>
          <w:sz w:val="32"/>
          <w:szCs w:val="32"/>
          <w:highlight w:val="none"/>
        </w:rPr>
        <w:t xml:space="preserve">万元，占总支出 </w:t>
      </w:r>
      <w:r>
        <w:rPr>
          <w:rFonts w:hint="eastAsia" w:hAnsi="仿宋"/>
          <w:color w:val="auto"/>
          <w:sz w:val="32"/>
          <w:szCs w:val="32"/>
          <w:highlight w:val="none"/>
          <w:lang w:val="en-US" w:eastAsia="zh-CN"/>
        </w:rPr>
        <w:t>26.11</w:t>
      </w:r>
      <w:r>
        <w:rPr>
          <w:rFonts w:hint="eastAsia" w:ascii="仿宋_GB2312" w:hAnsi="仿宋" w:eastAsia="仿宋_GB2312"/>
          <w:color w:val="auto"/>
          <w:sz w:val="32"/>
          <w:szCs w:val="32"/>
          <w:highlight w:val="none"/>
        </w:rPr>
        <w:t>%，对个人和家庭的补助</w:t>
      </w:r>
      <w:r>
        <w:rPr>
          <w:rFonts w:hint="eastAsia" w:hAnsi="仿宋"/>
          <w:color w:val="auto"/>
          <w:sz w:val="32"/>
          <w:szCs w:val="32"/>
          <w:highlight w:val="none"/>
          <w:lang w:val="en-US" w:eastAsia="zh-CN"/>
        </w:rPr>
        <w:t>133.31</w:t>
      </w:r>
      <w:r>
        <w:rPr>
          <w:rFonts w:hint="eastAsia" w:ascii="仿宋_GB2312" w:hAnsi="仿宋" w:eastAsia="仿宋_GB2312"/>
          <w:color w:val="auto"/>
          <w:sz w:val="32"/>
          <w:szCs w:val="32"/>
          <w:highlight w:val="none"/>
        </w:rPr>
        <w:t>万元</w:t>
      </w:r>
      <w:r>
        <w:rPr>
          <w:rFonts w:hint="eastAsia" w:hAnsi="仿宋"/>
          <w:color w:val="auto"/>
          <w:sz w:val="32"/>
          <w:szCs w:val="32"/>
          <w:highlight w:val="none"/>
          <w:lang w:eastAsia="zh-CN"/>
        </w:rPr>
        <w:t>，</w:t>
      </w:r>
      <w:r>
        <w:rPr>
          <w:rFonts w:hint="eastAsia" w:ascii="仿宋_GB2312" w:hAnsi="仿宋" w:eastAsia="仿宋_GB2312"/>
          <w:color w:val="auto"/>
          <w:sz w:val="32"/>
          <w:szCs w:val="32"/>
          <w:highlight w:val="none"/>
        </w:rPr>
        <w:t>占总支出13.23%，资本性支出</w:t>
      </w:r>
      <w:r>
        <w:rPr>
          <w:rFonts w:hint="eastAsia" w:hAnsi="仿宋"/>
          <w:color w:val="auto"/>
          <w:sz w:val="32"/>
          <w:szCs w:val="32"/>
          <w:highlight w:val="none"/>
          <w:lang w:val="en-US" w:eastAsia="zh-CN"/>
        </w:rPr>
        <w:t>15.92</w:t>
      </w:r>
      <w:r>
        <w:rPr>
          <w:rFonts w:hint="eastAsia" w:ascii="仿宋_GB2312" w:hAnsi="仿宋" w:eastAsia="仿宋_GB2312"/>
          <w:color w:val="auto"/>
          <w:sz w:val="32"/>
          <w:szCs w:val="32"/>
          <w:highlight w:val="none"/>
        </w:rPr>
        <w:t>万元，占1.58</w:t>
      </w:r>
      <w:r>
        <w:rPr>
          <w:rFonts w:hint="eastAsia" w:hAnsi="仿宋"/>
          <w:color w:val="auto"/>
          <w:sz w:val="32"/>
          <w:szCs w:val="32"/>
          <w:highlight w:val="none"/>
          <w:lang w:val="en-US" w:eastAsia="zh-CN"/>
        </w:rPr>
        <w:t>%</w:t>
      </w:r>
      <w:r>
        <w:rPr>
          <w:rFonts w:hint="eastAsia" w:ascii="仿宋_GB2312" w:hAnsi="仿宋" w:eastAsia="仿宋_GB2312"/>
          <w:color w:val="auto"/>
          <w:sz w:val="32"/>
          <w:szCs w:val="32"/>
          <w:highlight w:val="none"/>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eastAsia" w:ascii="Times New Roman" w:hAnsi="Times New Roman" w:eastAsia="楷体_GB2312" w:cs="Times New Roman"/>
          <w:b/>
          <w:bCs/>
          <w:color w:val="000000"/>
          <w:kern w:val="0"/>
          <w:sz w:val="32"/>
          <w:szCs w:val="32"/>
          <w:shd w:val="clear" w:fill="FFFFFF"/>
          <w:lang w:val="zh-CN" w:eastAsia="zh-CN" w:bidi="ar-SA"/>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sz w:val="32"/>
          <w:szCs w:val="22"/>
          <w:lang w:val="en-US" w:eastAsia="zh-CN"/>
        </w:rPr>
      </w:pPr>
      <w:r>
        <w:rPr>
          <w:rFonts w:hint="eastAsia"/>
          <w:sz w:val="32"/>
          <w:szCs w:val="22"/>
          <w:lang w:val="en-US" w:eastAsia="zh-CN"/>
        </w:rPr>
        <w:t>无结转结余</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bookmarkStart w:id="78" w:name="_GoBack"/>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bookmarkEnd w:id="78"/>
    <w:p>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在绩效目标管理上，根据2025年度预算情况和各类项目安排情况，在年初政府工作会上逐项落实到各科室及具体经办人，并且强调时间节点，确保项目和资金落到实处。二是根据绩效目标积极做好工作规划，规划制定有可实施性和合理性，确保辖区社会稳定，全力保障乡村振兴、脱贫攻坚等各项工作任务落实、落细。</w:t>
      </w:r>
    </w:p>
    <w:p>
      <w:pPr>
        <w:keepNext w:val="0"/>
        <w:keepLines w:val="0"/>
        <w:pageBreakBefore w:val="0"/>
        <w:widowControl/>
        <w:kinsoku/>
        <w:wordWrap/>
        <w:overflowPunct/>
        <w:topLinePunct w:val="0"/>
        <w:autoSpaceDE/>
        <w:autoSpaceDN/>
        <w:bidi w:val="0"/>
        <w:adjustRightInd w:val="0"/>
        <w:snapToGrid w:val="0"/>
        <w:spacing w:line="600" w:lineRule="exact"/>
        <w:ind w:leftChars="0" w:firstLine="640" w:firstLineChars="200"/>
        <w:contextualSpacing/>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仿宋_GB2312" w:hAnsi="仿宋_GB2312" w:eastAsia="仿宋_GB2312" w:cs="仿宋_GB2312"/>
          <w:color w:val="auto"/>
          <w:sz w:val="32"/>
          <w:szCs w:val="32"/>
          <w:highlight w:val="none"/>
          <w:lang w:val="en-US" w:eastAsia="zh-CN"/>
        </w:rPr>
        <w:t>在绩效监控管理上，以设定的绩效目标为核心，认真收集数据信息、分析数据信息，针对数据信息对绩效运行进行全面监控。把数据信息背后所反映出来的情况和问题进行全面、真实、准确地梳理。通过各村和项目实施单位报送的相关资料及专项资金绩效实施情况说明，对项目实施情况进行全程跟踪检查审核，发现问题及时督促整改，确保绩效目标全面完成。</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20</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123.53</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8</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150.83</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98.09</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pPr>
        <w:pStyle w:val="2"/>
        <w:keepNext w:val="0"/>
        <w:keepLines w:val="0"/>
        <w:pageBreakBefore w:val="0"/>
        <w:widowControl w:val="0"/>
        <w:kinsoku/>
        <w:wordWrap/>
        <w:overflowPunct/>
        <w:topLinePunct w:val="0"/>
        <w:autoSpaceDE/>
        <w:autoSpaceDN/>
        <w:bidi w:val="0"/>
        <w:adjustRightInd/>
        <w:snapToGrid/>
        <w:spacing w:beforeLines="0" w:line="600" w:lineRule="exact"/>
        <w:ind w:leftChars="0" w:firstLine="640" w:firstLineChars="200"/>
        <w:textAlignment w:val="auto"/>
        <w:rPr>
          <w:rFonts w:hint="eastAsia" w:hAnsi="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w:t>
      </w:r>
      <w:r>
        <w:rPr>
          <w:rFonts w:hint="eastAsia" w:hAnsi="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年项目支出年初预算数</w:t>
      </w:r>
      <w:r>
        <w:rPr>
          <w:rFonts w:hint="eastAsia" w:hAnsi="仿宋_GB2312" w:cs="仿宋_GB2312"/>
          <w:color w:val="auto"/>
          <w:kern w:val="2"/>
          <w:sz w:val="32"/>
          <w:szCs w:val="32"/>
          <w:highlight w:val="none"/>
          <w:lang w:val="en-US" w:eastAsia="zh-CN" w:bidi="ar-SA"/>
        </w:rPr>
        <w:t>274.36</w:t>
      </w:r>
      <w:r>
        <w:rPr>
          <w:rFonts w:hint="eastAsia" w:ascii="仿宋_GB2312" w:hAnsi="仿宋_GB2312" w:eastAsia="仿宋_GB2312" w:cs="仿宋_GB2312"/>
          <w:color w:val="auto"/>
          <w:kern w:val="2"/>
          <w:sz w:val="32"/>
          <w:szCs w:val="32"/>
          <w:highlight w:val="none"/>
          <w:lang w:val="en-US" w:eastAsia="zh-CN" w:bidi="ar-SA"/>
        </w:rPr>
        <w:t>万元，主要是文旅项目工作经费、村级公共服务经费（易地扶贫搬迁）、驻村第一书记和工作队待遇保障、</w:t>
      </w:r>
      <w:r>
        <w:rPr>
          <w:rFonts w:hint="eastAsia" w:hAnsi="仿宋_GB2312" w:cs="仿宋_GB2312"/>
          <w:color w:val="auto"/>
          <w:kern w:val="2"/>
          <w:sz w:val="32"/>
          <w:szCs w:val="32"/>
          <w:highlight w:val="none"/>
          <w:lang w:val="en-US" w:eastAsia="zh-CN" w:bidi="ar-SA"/>
        </w:rPr>
        <w:t>2024</w:t>
      </w:r>
      <w:r>
        <w:rPr>
          <w:rFonts w:hint="eastAsia" w:ascii="仿宋_GB2312" w:hAnsi="仿宋_GB2312" w:eastAsia="仿宋_GB2312" w:cs="仿宋_GB2312"/>
          <w:color w:val="auto"/>
          <w:kern w:val="2"/>
          <w:sz w:val="32"/>
          <w:szCs w:val="32"/>
          <w:highlight w:val="none"/>
          <w:lang w:val="en-US" w:eastAsia="zh-CN" w:bidi="ar-SA"/>
        </w:rPr>
        <w:t>年村（居）务监督委员会成员考核奖励、农村公路日常养护资金、驻村第一书记和工作队工作经费、《公共图书馆、美术馆、文化馆（站）免费开放补助资金、春节慰问经费（民宗局）、2024年扶持村集体经济项目（朝阳坪村）</w:t>
      </w:r>
      <w:r>
        <w:rPr>
          <w:rFonts w:hint="eastAsia" w:hAnsi="仿宋_GB2312" w:cs="仿宋_GB2312"/>
          <w:color w:val="auto"/>
          <w:kern w:val="2"/>
          <w:sz w:val="32"/>
          <w:szCs w:val="32"/>
          <w:highlight w:val="none"/>
          <w:lang w:val="en-US" w:eastAsia="zh-CN" w:bidi="ar-SA"/>
        </w:rPr>
        <w:t>、马边彝族自治县大竹堡乡笋山规范化管理提升项目（乐山马边大竹堡乡生态修复及采笋集散地整治项目）、土地综合整治项目工作经费、</w:t>
      </w:r>
      <w:r>
        <w:rPr>
          <w:rFonts w:hint="eastAsia" w:ascii="仿宋_GB2312" w:hAnsi="仿宋_GB2312" w:eastAsia="仿宋_GB2312" w:cs="仿宋_GB2312"/>
          <w:color w:val="auto"/>
          <w:kern w:val="2"/>
          <w:sz w:val="32"/>
          <w:szCs w:val="32"/>
          <w:highlight w:val="none"/>
          <w:lang w:val="en-US" w:eastAsia="zh-CN" w:bidi="ar-SA"/>
        </w:rPr>
        <w:t>乡镇基本财力保障、农村党员活动经费、党建工作经费、农民夜校工作经费、人代会议费、关工委工作经费</w:t>
      </w:r>
      <w:r>
        <w:rPr>
          <w:rFonts w:hint="eastAsia" w:hAnsi="仿宋_GB2312" w:cs="仿宋_GB2312"/>
          <w:color w:val="auto"/>
          <w:kern w:val="2"/>
          <w:sz w:val="32"/>
          <w:szCs w:val="32"/>
          <w:highlight w:val="none"/>
          <w:lang w:val="en-US" w:eastAsia="zh-CN" w:bidi="ar-SA"/>
        </w:rPr>
        <w:t>、彝厉新年慰问、马边彝族自治县朝阳坪村八月竹园区产业配套设施项目相关前期费用、维稳经费、民政临时救助金、大竹堡乡耕地恢复农户补助、大竹堡乡耕地恢复乡镇工作经费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1.文旅项目工作经费：项目全年预算数10万元，本项目的实施带动的效益情况：有利于文化传播、提升知名度。</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firstLine="640" w:firstLineChars="200"/>
        <w:textAlignment w:val="auto"/>
        <w:rPr>
          <w:rFonts w:hint="eastAsia" w:hAnsi="宋体" w:cs="宋体"/>
          <w:color w:val="000000"/>
          <w:kern w:val="0"/>
          <w:sz w:val="32"/>
          <w:szCs w:val="32"/>
          <w:shd w:val="clear" w:color="auto" w:fill="FFFFFF"/>
          <w:lang w:val="en-US" w:eastAsia="zh-CN"/>
        </w:rPr>
      </w:pPr>
      <w:r>
        <w:rPr>
          <w:rFonts w:hint="eastAsia" w:hAnsi="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kern w:val="2"/>
          <w:sz w:val="32"/>
          <w:szCs w:val="32"/>
          <w:highlight w:val="none"/>
          <w:lang w:val="en-US" w:eastAsia="zh-CN" w:bidi="ar-SA"/>
        </w:rPr>
        <w:t>村级公共服务经费（易地扶贫搬迁）：</w:t>
      </w:r>
      <w:r>
        <w:rPr>
          <w:rFonts w:hint="eastAsia" w:ascii="仿宋_GB2312" w:hAnsi="宋体" w:eastAsia="仿宋_GB2312" w:cs="宋体"/>
          <w:color w:val="000000"/>
          <w:kern w:val="0"/>
          <w:sz w:val="32"/>
          <w:szCs w:val="32"/>
          <w:shd w:val="clear" w:color="auto" w:fill="FFFFFF"/>
          <w:lang w:val="en-US" w:eastAsia="zh-CN"/>
        </w:rPr>
        <w:t>项目全年预算数</w:t>
      </w:r>
      <w:r>
        <w:rPr>
          <w:rFonts w:hint="eastAsia" w:hAnsi="宋体" w:cs="宋体"/>
          <w:color w:val="000000"/>
          <w:kern w:val="0"/>
          <w:sz w:val="32"/>
          <w:szCs w:val="32"/>
          <w:shd w:val="clear" w:color="auto" w:fill="FFFFFF"/>
          <w:lang w:val="en-US" w:eastAsia="zh-CN"/>
        </w:rPr>
        <w:t>0.25</w:t>
      </w:r>
      <w:r>
        <w:rPr>
          <w:rFonts w:hint="eastAsia" w:ascii="仿宋_GB2312" w:hAnsi="宋体" w:eastAsia="仿宋_GB2312" w:cs="宋体"/>
          <w:color w:val="000000"/>
          <w:kern w:val="0"/>
          <w:sz w:val="32"/>
          <w:szCs w:val="32"/>
          <w:shd w:val="clear" w:color="auto" w:fill="FFFFFF"/>
          <w:lang w:val="en-US" w:eastAsia="zh-CN"/>
        </w:rPr>
        <w:t>万元，本项目的实施带动的效益情况：保障易地扶贫搬迁集中安置点基础设施维护、配套设施建设、环境卫生提升</w:t>
      </w:r>
      <w:r>
        <w:rPr>
          <w:rFonts w:hint="eastAsia" w:hAnsi="宋体" w:cs="宋体"/>
          <w:color w:val="000000"/>
          <w:kern w:val="0"/>
          <w:sz w:val="32"/>
          <w:szCs w:val="32"/>
          <w:shd w:val="clear" w:color="auto" w:fill="FFFFFF"/>
          <w:lang w:val="en-US" w:eastAsia="zh-CN"/>
        </w:rPr>
        <w:t>，提高人民群众幸福感和生活质量。</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firstLine="640" w:firstLineChars="200"/>
        <w:textAlignment w:val="auto"/>
        <w:rPr>
          <w:rFonts w:hint="eastAsia" w:hAnsi="宋体" w:cs="宋体"/>
          <w:color w:val="000000"/>
          <w:kern w:val="0"/>
          <w:sz w:val="32"/>
          <w:szCs w:val="32"/>
          <w:shd w:val="clear" w:color="auto" w:fill="FFFFFF"/>
          <w:lang w:val="en-US" w:eastAsia="zh-CN"/>
        </w:rPr>
      </w:pPr>
      <w:r>
        <w:rPr>
          <w:rFonts w:hint="eastAsia" w:hAnsi="宋体" w:cs="宋体"/>
          <w:color w:val="000000"/>
          <w:kern w:val="0"/>
          <w:sz w:val="32"/>
          <w:szCs w:val="32"/>
          <w:shd w:val="clear" w:color="auto" w:fill="FFFFFF"/>
          <w:lang w:val="en-US" w:eastAsia="zh-CN"/>
        </w:rPr>
        <w:t>3.</w:t>
      </w:r>
      <w:r>
        <w:rPr>
          <w:rFonts w:hint="eastAsia" w:ascii="仿宋_GB2312" w:hAnsi="仿宋_GB2312" w:eastAsia="仿宋_GB2312" w:cs="仿宋_GB2312"/>
          <w:color w:val="auto"/>
          <w:kern w:val="2"/>
          <w:sz w:val="32"/>
          <w:szCs w:val="32"/>
          <w:highlight w:val="none"/>
          <w:lang w:val="en-US" w:eastAsia="zh-CN" w:bidi="ar-SA"/>
        </w:rPr>
        <w:t>驻村第一书记和工作队待遇保障：</w:t>
      </w:r>
      <w:r>
        <w:rPr>
          <w:rFonts w:hint="eastAsia" w:ascii="仿宋_GB2312" w:hAnsi="宋体" w:eastAsia="仿宋_GB2312" w:cs="宋体"/>
          <w:color w:val="000000"/>
          <w:kern w:val="0"/>
          <w:sz w:val="32"/>
          <w:szCs w:val="32"/>
          <w:shd w:val="clear" w:color="auto" w:fill="FFFFFF"/>
          <w:lang w:val="en-US" w:eastAsia="zh-CN"/>
        </w:rPr>
        <w:t>项目全年预算数</w:t>
      </w:r>
      <w:r>
        <w:rPr>
          <w:rFonts w:hint="eastAsia" w:hAnsi="宋体" w:cs="宋体"/>
          <w:color w:val="000000"/>
          <w:kern w:val="0"/>
          <w:sz w:val="32"/>
          <w:szCs w:val="32"/>
          <w:shd w:val="clear" w:color="auto" w:fill="FFFFFF"/>
          <w:lang w:val="en-US" w:eastAsia="zh-CN"/>
        </w:rPr>
        <w:t>2.83</w:t>
      </w:r>
      <w:r>
        <w:rPr>
          <w:rFonts w:hint="eastAsia" w:ascii="仿宋_GB2312" w:hAnsi="宋体" w:eastAsia="仿宋_GB2312" w:cs="宋体"/>
          <w:color w:val="000000"/>
          <w:kern w:val="0"/>
          <w:sz w:val="32"/>
          <w:szCs w:val="32"/>
          <w:shd w:val="clear" w:color="auto" w:fill="FFFFFF"/>
          <w:lang w:val="en-US" w:eastAsia="zh-CN"/>
        </w:rPr>
        <w:t>万元，本项目的实施带动的效益情况：保障驻村工作队待遇</w:t>
      </w:r>
      <w:r>
        <w:rPr>
          <w:rFonts w:hint="eastAsia" w:hAnsi="宋体" w:cs="宋体"/>
          <w:color w:val="000000"/>
          <w:kern w:val="0"/>
          <w:sz w:val="32"/>
          <w:szCs w:val="32"/>
          <w:shd w:val="clear" w:color="auto" w:fill="FFFFFF"/>
          <w:lang w:val="en-US" w:eastAsia="zh-CN"/>
        </w:rPr>
        <w:t>，提高驻村工作队积极性。</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firstLine="640" w:firstLineChars="200"/>
        <w:textAlignment w:val="auto"/>
        <w:rPr>
          <w:rFonts w:hint="default"/>
          <w:lang w:val="en-US" w:eastAsia="zh-CN"/>
        </w:rPr>
      </w:pPr>
      <w:r>
        <w:rPr>
          <w:rFonts w:hint="eastAsia" w:hAnsi="宋体" w:cs="宋体"/>
          <w:color w:val="000000"/>
          <w:kern w:val="0"/>
          <w:sz w:val="32"/>
          <w:szCs w:val="32"/>
          <w:shd w:val="clear" w:color="auto" w:fill="FFFFFF"/>
          <w:lang w:val="en-US" w:eastAsia="zh-CN"/>
        </w:rPr>
        <w:t>4.</w:t>
      </w:r>
      <w:r>
        <w:rPr>
          <w:rFonts w:hint="eastAsia" w:ascii="仿宋_GB2312" w:hAnsi="仿宋_GB2312" w:eastAsia="仿宋_GB2312" w:cs="仿宋_GB2312"/>
          <w:color w:val="auto"/>
          <w:kern w:val="2"/>
          <w:sz w:val="32"/>
          <w:szCs w:val="32"/>
          <w:highlight w:val="none"/>
          <w:lang w:val="en-US" w:eastAsia="zh-CN" w:bidi="ar-SA"/>
        </w:rPr>
        <w:t>村（居）务监督委员会成员考核奖励：</w:t>
      </w:r>
      <w:r>
        <w:rPr>
          <w:rFonts w:hint="eastAsia" w:ascii="仿宋_GB2312" w:hAnsi="宋体" w:eastAsia="仿宋_GB2312" w:cs="宋体"/>
          <w:color w:val="000000"/>
          <w:kern w:val="0"/>
          <w:sz w:val="32"/>
          <w:szCs w:val="32"/>
          <w:shd w:val="clear" w:color="auto" w:fill="FFFFFF"/>
          <w:lang w:val="en-US" w:eastAsia="zh-CN"/>
        </w:rPr>
        <w:t>项目全年预算数</w:t>
      </w:r>
      <w:r>
        <w:rPr>
          <w:rFonts w:hint="eastAsia" w:hAnsi="宋体" w:cs="宋体"/>
          <w:color w:val="000000"/>
          <w:kern w:val="0"/>
          <w:sz w:val="32"/>
          <w:szCs w:val="32"/>
          <w:shd w:val="clear" w:color="auto" w:fill="FFFFFF"/>
          <w:lang w:val="en-US" w:eastAsia="zh-CN"/>
        </w:rPr>
        <w:t>0.7</w:t>
      </w:r>
      <w:r>
        <w:rPr>
          <w:rFonts w:hint="eastAsia" w:ascii="仿宋_GB2312" w:hAnsi="宋体" w:eastAsia="仿宋_GB2312" w:cs="宋体"/>
          <w:color w:val="000000"/>
          <w:kern w:val="0"/>
          <w:sz w:val="32"/>
          <w:szCs w:val="32"/>
          <w:shd w:val="clear" w:color="auto" w:fill="FFFFFF"/>
          <w:lang w:val="en-US" w:eastAsia="zh-CN"/>
        </w:rPr>
        <w:t>万元，本项目的实施带动的效益情况：激励监委委员更好完成工作</w:t>
      </w:r>
      <w:r>
        <w:rPr>
          <w:rFonts w:hint="eastAsia" w:hAnsi="宋体" w:cs="宋体"/>
          <w:color w:val="000000"/>
          <w:kern w:val="0"/>
          <w:sz w:val="32"/>
          <w:szCs w:val="32"/>
          <w:shd w:val="clear" w:color="auto" w:fill="FFFFFF"/>
          <w:lang w:val="en-US" w:eastAsia="zh-CN"/>
        </w:rPr>
        <w:t>，倒逼各村更好为人民服务。</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firstLine="640" w:firstLineChars="200"/>
        <w:textAlignment w:val="auto"/>
        <w:rPr>
          <w:rFonts w:hint="eastAsia" w:hAnsi="宋体" w:cs="宋体"/>
          <w:color w:val="000000"/>
          <w:kern w:val="0"/>
          <w:sz w:val="32"/>
          <w:szCs w:val="32"/>
          <w:shd w:val="clear" w:color="auto" w:fill="FFFFFF"/>
          <w:lang w:val="en-US" w:eastAsia="zh-CN"/>
        </w:rPr>
      </w:pPr>
      <w:r>
        <w:rPr>
          <w:rFonts w:hint="eastAsia" w:hAnsi="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kern w:val="2"/>
          <w:sz w:val="32"/>
          <w:szCs w:val="32"/>
          <w:highlight w:val="none"/>
          <w:lang w:val="en-US" w:eastAsia="zh-CN" w:bidi="ar-SA"/>
        </w:rPr>
        <w:t>农村公路日常养护资金：</w:t>
      </w:r>
      <w:r>
        <w:rPr>
          <w:rFonts w:hint="eastAsia" w:ascii="仿宋_GB2312" w:hAnsi="宋体" w:eastAsia="仿宋_GB2312" w:cs="宋体"/>
          <w:color w:val="000000"/>
          <w:kern w:val="0"/>
          <w:sz w:val="32"/>
          <w:szCs w:val="32"/>
          <w:shd w:val="clear" w:color="auto" w:fill="FFFFFF"/>
          <w:lang w:val="en-US" w:eastAsia="zh-CN"/>
        </w:rPr>
        <w:t>项目全年预算数</w:t>
      </w:r>
      <w:r>
        <w:rPr>
          <w:rFonts w:hint="eastAsia" w:hAnsi="宋体" w:cs="宋体"/>
          <w:color w:val="000000"/>
          <w:kern w:val="0"/>
          <w:sz w:val="32"/>
          <w:szCs w:val="32"/>
          <w:shd w:val="clear" w:color="auto" w:fill="FFFFFF"/>
          <w:lang w:val="en-US" w:eastAsia="zh-CN"/>
        </w:rPr>
        <w:t>15.92</w:t>
      </w:r>
      <w:r>
        <w:rPr>
          <w:rFonts w:hint="eastAsia" w:ascii="仿宋_GB2312" w:hAnsi="宋体" w:eastAsia="仿宋_GB2312" w:cs="宋体"/>
          <w:color w:val="000000"/>
          <w:kern w:val="0"/>
          <w:sz w:val="32"/>
          <w:szCs w:val="32"/>
          <w:shd w:val="clear" w:color="auto" w:fill="FFFFFF"/>
          <w:lang w:val="en-US" w:eastAsia="zh-CN"/>
        </w:rPr>
        <w:t>万元，本项目的实施带动的效益情况：维护农村道路</w:t>
      </w:r>
      <w:r>
        <w:rPr>
          <w:rFonts w:hint="eastAsia" w:hAnsi="宋体" w:cs="宋体"/>
          <w:color w:val="000000"/>
          <w:kern w:val="0"/>
          <w:sz w:val="32"/>
          <w:szCs w:val="32"/>
          <w:shd w:val="clear" w:color="auto" w:fill="FFFFFF"/>
          <w:lang w:val="en-US" w:eastAsia="zh-CN"/>
        </w:rPr>
        <w:t>，提升了人民群众幸福感和人居环境。</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firstLine="640" w:firstLineChars="200"/>
        <w:textAlignment w:val="auto"/>
        <w:rPr>
          <w:rFonts w:hint="eastAsia" w:ascii="仿宋_GB2312" w:hAnsi="宋体" w:eastAsia="仿宋_GB2312" w:cs="宋体"/>
          <w:color w:val="000000"/>
          <w:kern w:val="0"/>
          <w:sz w:val="32"/>
          <w:szCs w:val="32"/>
          <w:shd w:val="clear" w:color="auto" w:fill="FFFFFF"/>
          <w:lang w:val="en-US" w:eastAsia="zh-CN"/>
        </w:rPr>
      </w:pPr>
      <w:r>
        <w:rPr>
          <w:rFonts w:hint="eastAsia" w:hAnsi="宋体" w:cs="宋体"/>
          <w:color w:val="000000"/>
          <w:kern w:val="0"/>
          <w:sz w:val="32"/>
          <w:szCs w:val="32"/>
          <w:shd w:val="clear" w:color="auto" w:fill="FFFFFF"/>
          <w:lang w:val="en-US" w:eastAsia="zh-CN"/>
        </w:rPr>
        <w:t>6.</w:t>
      </w:r>
      <w:r>
        <w:rPr>
          <w:rFonts w:hint="eastAsia" w:ascii="仿宋_GB2312" w:hAnsi="仿宋_GB2312" w:eastAsia="仿宋_GB2312" w:cs="仿宋_GB2312"/>
          <w:color w:val="auto"/>
          <w:kern w:val="2"/>
          <w:sz w:val="32"/>
          <w:szCs w:val="32"/>
          <w:highlight w:val="none"/>
          <w:lang w:val="en-US" w:eastAsia="zh-CN" w:bidi="ar-SA"/>
        </w:rPr>
        <w:t>驻村第一书记和工作队工作经费</w:t>
      </w:r>
      <w:r>
        <w:rPr>
          <w:rFonts w:hint="eastAsia" w:hAnsi="仿宋_GB2312" w:cs="仿宋_GB2312"/>
          <w:color w:val="auto"/>
          <w:kern w:val="2"/>
          <w:sz w:val="32"/>
          <w:szCs w:val="32"/>
          <w:highlight w:val="none"/>
          <w:lang w:val="en-US" w:eastAsia="zh-CN" w:bidi="ar-SA"/>
        </w:rPr>
        <w:t>：</w:t>
      </w:r>
      <w:r>
        <w:rPr>
          <w:rFonts w:hint="eastAsia" w:ascii="仿宋_GB2312" w:hAnsi="宋体" w:eastAsia="仿宋_GB2312" w:cs="宋体"/>
          <w:color w:val="000000"/>
          <w:kern w:val="0"/>
          <w:sz w:val="32"/>
          <w:szCs w:val="32"/>
          <w:shd w:val="clear" w:color="auto" w:fill="FFFFFF"/>
          <w:lang w:val="en-US" w:eastAsia="zh-CN"/>
        </w:rPr>
        <w:t>项目全年预算数为</w:t>
      </w:r>
      <w:r>
        <w:rPr>
          <w:rFonts w:hint="eastAsia" w:hAnsi="宋体" w:cs="宋体"/>
          <w:color w:val="000000"/>
          <w:kern w:val="0"/>
          <w:sz w:val="32"/>
          <w:szCs w:val="32"/>
          <w:shd w:val="clear" w:color="auto" w:fill="FFFFFF"/>
          <w:lang w:val="en-US" w:eastAsia="zh-CN"/>
        </w:rPr>
        <w:t>4.24</w:t>
      </w:r>
      <w:r>
        <w:rPr>
          <w:rFonts w:hint="eastAsia" w:ascii="仿宋_GB2312" w:hAnsi="宋体" w:eastAsia="仿宋_GB2312" w:cs="宋体"/>
          <w:color w:val="000000"/>
          <w:kern w:val="0"/>
          <w:sz w:val="32"/>
          <w:szCs w:val="32"/>
          <w:shd w:val="clear" w:color="auto" w:fill="FFFFFF"/>
          <w:lang w:val="en-US" w:eastAsia="zh-CN"/>
        </w:rPr>
        <w:t>万元，本项目的实施带动的效益情况：为驻村工作队员提供工作保障，推动驻村工作队员为驻地乡村振兴发展提供更好发展思路。</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firstLine="640" w:firstLineChars="200"/>
        <w:textAlignment w:val="auto"/>
        <w:rPr>
          <w:rFonts w:hint="eastAsia" w:hAnsi="宋体" w:cs="宋体"/>
          <w:color w:val="000000"/>
          <w:kern w:val="0"/>
          <w:sz w:val="32"/>
          <w:szCs w:val="32"/>
          <w:shd w:val="clear" w:color="auto" w:fill="FFFFFF"/>
          <w:lang w:val="en-US" w:eastAsia="zh-CN"/>
        </w:rPr>
      </w:pPr>
      <w:r>
        <w:rPr>
          <w:rFonts w:hint="eastAsia" w:hAnsi="仿宋_GB2312" w:cs="仿宋_GB2312"/>
          <w:color w:val="auto"/>
          <w:kern w:val="2"/>
          <w:sz w:val="32"/>
          <w:szCs w:val="32"/>
          <w:highlight w:val="none"/>
          <w:lang w:val="en-US" w:eastAsia="zh-CN" w:bidi="ar-SA"/>
        </w:rPr>
        <w:t>7.</w:t>
      </w:r>
      <w:r>
        <w:rPr>
          <w:rFonts w:hint="eastAsia" w:ascii="仿宋_GB2312" w:hAnsi="仿宋_GB2312" w:eastAsia="仿宋_GB2312" w:cs="仿宋_GB2312"/>
          <w:color w:val="auto"/>
          <w:kern w:val="2"/>
          <w:sz w:val="32"/>
          <w:szCs w:val="32"/>
          <w:highlight w:val="none"/>
          <w:lang w:val="en-US" w:eastAsia="zh-CN" w:bidi="ar-SA"/>
        </w:rPr>
        <w:t>公共图书馆、美术馆、文化馆（站）免费开放补助资金：</w:t>
      </w:r>
      <w:r>
        <w:rPr>
          <w:rFonts w:hint="eastAsia" w:ascii="仿宋_GB2312" w:hAnsi="宋体" w:eastAsia="仿宋_GB2312" w:cs="宋体"/>
          <w:color w:val="000000"/>
          <w:kern w:val="0"/>
          <w:sz w:val="32"/>
          <w:szCs w:val="32"/>
          <w:shd w:val="clear" w:color="auto" w:fill="FFFFFF"/>
          <w:lang w:val="en-US" w:eastAsia="zh-CN"/>
        </w:rPr>
        <w:t>项目全年预算数为</w:t>
      </w:r>
      <w:r>
        <w:rPr>
          <w:rFonts w:hint="eastAsia" w:hAnsi="宋体" w:cs="宋体"/>
          <w:color w:val="000000"/>
          <w:kern w:val="0"/>
          <w:sz w:val="32"/>
          <w:szCs w:val="32"/>
          <w:shd w:val="clear" w:color="auto" w:fill="FFFFFF"/>
          <w:lang w:val="en-US" w:eastAsia="zh-CN"/>
        </w:rPr>
        <w:t>5</w:t>
      </w:r>
      <w:r>
        <w:rPr>
          <w:rFonts w:hint="eastAsia" w:ascii="仿宋_GB2312" w:hAnsi="宋体" w:eastAsia="仿宋_GB2312" w:cs="宋体"/>
          <w:color w:val="000000"/>
          <w:kern w:val="0"/>
          <w:sz w:val="32"/>
          <w:szCs w:val="32"/>
          <w:shd w:val="clear" w:color="auto" w:fill="FFFFFF"/>
          <w:lang w:val="en-US" w:eastAsia="zh-CN"/>
        </w:rPr>
        <w:t>万元，本项目的实施带动的效益情况：发展</w:t>
      </w:r>
      <w:r>
        <w:rPr>
          <w:rFonts w:hint="eastAsia" w:hAnsi="宋体" w:cs="宋体"/>
          <w:color w:val="000000"/>
          <w:kern w:val="0"/>
          <w:sz w:val="32"/>
          <w:szCs w:val="32"/>
          <w:shd w:val="clear" w:color="auto" w:fill="FFFFFF"/>
          <w:lang w:val="en-US" w:eastAsia="zh-CN"/>
        </w:rPr>
        <w:t>了</w:t>
      </w:r>
      <w:r>
        <w:rPr>
          <w:rFonts w:hint="eastAsia" w:ascii="仿宋_GB2312" w:hAnsi="宋体" w:eastAsia="仿宋_GB2312" w:cs="宋体"/>
          <w:color w:val="000000"/>
          <w:kern w:val="0"/>
          <w:sz w:val="32"/>
          <w:szCs w:val="32"/>
          <w:shd w:val="clear" w:color="auto" w:fill="FFFFFF"/>
          <w:lang w:val="en-US" w:eastAsia="zh-CN"/>
        </w:rPr>
        <w:t>图书馆、美术馆、文化馆</w:t>
      </w:r>
      <w:r>
        <w:rPr>
          <w:rFonts w:hint="eastAsia" w:hAnsi="宋体" w:cs="宋体"/>
          <w:color w:val="000000"/>
          <w:kern w:val="0"/>
          <w:sz w:val="32"/>
          <w:szCs w:val="32"/>
          <w:shd w:val="clear" w:color="auto" w:fill="FFFFFF"/>
          <w:lang w:val="en-US" w:eastAsia="zh-CN"/>
        </w:rPr>
        <w:t>1处，丰富群众文化生活，提高居民文化素养。</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firstLine="640" w:firstLineChars="200"/>
        <w:textAlignment w:val="auto"/>
        <w:rPr>
          <w:rFonts w:hint="eastAsia" w:hAnsi="宋体" w:cs="宋体"/>
          <w:color w:val="000000"/>
          <w:kern w:val="0"/>
          <w:sz w:val="32"/>
          <w:szCs w:val="32"/>
          <w:shd w:val="clear" w:color="auto" w:fill="FFFFFF"/>
          <w:lang w:val="en-US" w:eastAsia="zh-CN"/>
        </w:rPr>
      </w:pPr>
      <w:r>
        <w:rPr>
          <w:rFonts w:hint="eastAsia" w:hAnsi="宋体" w:cs="宋体"/>
          <w:color w:val="000000"/>
          <w:kern w:val="0"/>
          <w:sz w:val="32"/>
          <w:szCs w:val="32"/>
          <w:shd w:val="clear" w:color="auto" w:fill="FFFFFF"/>
          <w:lang w:val="en-US" w:eastAsia="zh-CN"/>
        </w:rPr>
        <w:t>8.</w:t>
      </w:r>
      <w:r>
        <w:rPr>
          <w:rFonts w:hint="eastAsia" w:ascii="仿宋_GB2312" w:hAnsi="仿宋_GB2312" w:eastAsia="仿宋_GB2312" w:cs="仿宋_GB2312"/>
          <w:color w:val="auto"/>
          <w:kern w:val="2"/>
          <w:sz w:val="32"/>
          <w:szCs w:val="32"/>
          <w:highlight w:val="none"/>
          <w:lang w:val="en-US" w:eastAsia="zh-CN" w:bidi="ar-SA"/>
        </w:rPr>
        <w:t>春节慰问经费（民宗局）：</w:t>
      </w:r>
      <w:r>
        <w:rPr>
          <w:rFonts w:hint="eastAsia" w:ascii="仿宋_GB2312" w:hAnsi="宋体" w:eastAsia="仿宋_GB2312" w:cs="宋体"/>
          <w:color w:val="000000"/>
          <w:kern w:val="0"/>
          <w:sz w:val="32"/>
          <w:szCs w:val="32"/>
          <w:shd w:val="clear" w:color="auto" w:fill="FFFFFF"/>
          <w:lang w:val="en-US" w:eastAsia="zh-CN"/>
        </w:rPr>
        <w:t>项目全年预算数为</w:t>
      </w:r>
      <w:r>
        <w:rPr>
          <w:rFonts w:hint="eastAsia" w:hAnsi="宋体" w:cs="宋体"/>
          <w:color w:val="000000"/>
          <w:kern w:val="0"/>
          <w:sz w:val="32"/>
          <w:szCs w:val="32"/>
          <w:shd w:val="clear" w:color="auto" w:fill="FFFFFF"/>
          <w:lang w:val="en-US" w:eastAsia="zh-CN"/>
        </w:rPr>
        <w:t>1.28</w:t>
      </w:r>
      <w:r>
        <w:rPr>
          <w:rFonts w:hint="eastAsia" w:ascii="仿宋_GB2312" w:hAnsi="宋体" w:eastAsia="仿宋_GB2312" w:cs="宋体"/>
          <w:color w:val="000000"/>
          <w:kern w:val="0"/>
          <w:sz w:val="32"/>
          <w:szCs w:val="32"/>
          <w:shd w:val="clear" w:color="auto" w:fill="FFFFFF"/>
          <w:lang w:val="en-US" w:eastAsia="zh-CN"/>
        </w:rPr>
        <w:t>万元，本项目的实施带动的效益情况：慰问</w:t>
      </w:r>
      <w:r>
        <w:rPr>
          <w:rFonts w:hint="eastAsia" w:hAnsi="宋体" w:cs="宋体"/>
          <w:color w:val="000000"/>
          <w:kern w:val="0"/>
          <w:sz w:val="32"/>
          <w:szCs w:val="32"/>
          <w:shd w:val="clear" w:color="auto" w:fill="FFFFFF"/>
          <w:lang w:val="en-US" w:eastAsia="zh-CN"/>
        </w:rPr>
        <w:t>了</w:t>
      </w:r>
      <w:r>
        <w:rPr>
          <w:rFonts w:hint="eastAsia" w:ascii="仿宋_GB2312" w:hAnsi="宋体" w:eastAsia="仿宋_GB2312" w:cs="宋体"/>
          <w:color w:val="000000"/>
          <w:kern w:val="0"/>
          <w:sz w:val="32"/>
          <w:szCs w:val="32"/>
          <w:shd w:val="clear" w:color="auto" w:fill="FFFFFF"/>
          <w:lang w:val="en-US" w:eastAsia="zh-CN"/>
        </w:rPr>
        <w:t>困难群众</w:t>
      </w:r>
      <w:r>
        <w:rPr>
          <w:rFonts w:hint="eastAsia" w:hAnsi="宋体" w:cs="宋体"/>
          <w:color w:val="000000"/>
          <w:kern w:val="0"/>
          <w:sz w:val="32"/>
          <w:szCs w:val="32"/>
          <w:shd w:val="clear" w:color="auto" w:fill="FFFFFF"/>
          <w:lang w:val="en-US" w:eastAsia="zh-CN"/>
        </w:rPr>
        <w:t>25户，温暖困难群众，推动干部走近群众。</w:t>
      </w:r>
    </w:p>
    <w:p>
      <w:pPr>
        <w:ind w:firstLine="640" w:firstLineChars="200"/>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仿宋_GB2312" w:eastAsia="仿宋_GB2312" w:cs="仿宋_GB2312"/>
          <w:color w:val="auto"/>
          <w:kern w:val="2"/>
          <w:sz w:val="32"/>
          <w:szCs w:val="32"/>
          <w:highlight w:val="none"/>
          <w:lang w:val="en-US" w:eastAsia="zh-CN" w:bidi="ar-SA"/>
        </w:rPr>
        <w:t>9.马边彝族自治县大竹堡乡笋山规范化管理提升项目（乐山马边大竹堡乡生态修复及采笋集散地整治项目）：</w:t>
      </w:r>
      <w:r>
        <w:rPr>
          <w:rFonts w:hint="eastAsia" w:ascii="仿宋_GB2312" w:hAnsi="宋体" w:eastAsia="仿宋_GB2312" w:cs="宋体"/>
          <w:color w:val="000000"/>
          <w:kern w:val="0"/>
          <w:sz w:val="32"/>
          <w:szCs w:val="32"/>
          <w:shd w:val="clear" w:color="auto" w:fill="FFFFFF"/>
          <w:lang w:val="en-US" w:eastAsia="zh-CN"/>
        </w:rPr>
        <w:t>项目全年预算数44.53万元，本项目的实施带动的效益情况：完善基础设施，修复生态环境，为群众提供采笋条件。</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firstLine="640" w:firstLineChars="200"/>
        <w:textAlignment w:val="auto"/>
        <w:rPr>
          <w:rFonts w:hint="eastAsia" w:ascii="仿宋_GB2312" w:hAnsi="宋体" w:eastAsia="仿宋_GB2312" w:cs="宋体"/>
          <w:color w:val="000000"/>
          <w:kern w:val="0"/>
          <w:sz w:val="32"/>
          <w:szCs w:val="32"/>
          <w:shd w:val="clear" w:color="auto" w:fill="FFFFFF"/>
          <w:lang w:val="en-US" w:eastAsia="zh-CN"/>
        </w:rPr>
      </w:pPr>
      <w:r>
        <w:rPr>
          <w:rFonts w:hint="eastAsia" w:hAnsi="仿宋_GB2312" w:cs="仿宋_GB2312"/>
          <w:color w:val="auto"/>
          <w:kern w:val="2"/>
          <w:sz w:val="32"/>
          <w:szCs w:val="32"/>
          <w:highlight w:val="none"/>
          <w:lang w:val="en-US" w:eastAsia="zh-CN" w:bidi="ar-SA"/>
        </w:rPr>
        <w:t>10.</w:t>
      </w:r>
      <w:r>
        <w:rPr>
          <w:rFonts w:hint="eastAsia" w:ascii="仿宋_GB2312" w:hAnsi="仿宋_GB2312" w:eastAsia="仿宋_GB2312" w:cs="仿宋_GB2312"/>
          <w:color w:val="auto"/>
          <w:kern w:val="2"/>
          <w:sz w:val="32"/>
          <w:szCs w:val="32"/>
          <w:highlight w:val="none"/>
          <w:lang w:val="en-US" w:eastAsia="zh-CN" w:bidi="ar-SA"/>
        </w:rPr>
        <w:t>土地综合整治项目工作经费：</w:t>
      </w:r>
      <w:r>
        <w:rPr>
          <w:rFonts w:hint="eastAsia" w:ascii="仿宋_GB2312" w:hAnsi="宋体" w:eastAsia="仿宋_GB2312" w:cs="宋体"/>
          <w:color w:val="000000"/>
          <w:kern w:val="0"/>
          <w:sz w:val="32"/>
          <w:szCs w:val="32"/>
          <w:shd w:val="clear" w:color="auto" w:fill="FFFFFF"/>
          <w:lang w:val="en-US" w:eastAsia="zh-CN"/>
        </w:rPr>
        <w:t>项目全年预算数</w:t>
      </w:r>
      <w:r>
        <w:rPr>
          <w:rFonts w:hint="eastAsia" w:hAnsi="仿宋_GB2312" w:cs="仿宋_GB2312"/>
          <w:color w:val="000000"/>
          <w:kern w:val="0"/>
          <w:sz w:val="32"/>
          <w:szCs w:val="32"/>
          <w:shd w:val="clear" w:color="auto" w:fill="FFFFFF"/>
          <w:lang w:val="en-US" w:eastAsia="zh-CN"/>
        </w:rPr>
        <w:t>0.5</w:t>
      </w:r>
      <w:r>
        <w:rPr>
          <w:rFonts w:hint="eastAsia" w:ascii="仿宋_GB2312" w:hAnsi="宋体" w:eastAsia="仿宋_GB2312" w:cs="宋体"/>
          <w:color w:val="000000"/>
          <w:kern w:val="0"/>
          <w:sz w:val="32"/>
          <w:szCs w:val="32"/>
          <w:shd w:val="clear" w:color="auto" w:fill="FFFFFF"/>
          <w:lang w:val="en-US" w:eastAsia="zh-CN"/>
        </w:rPr>
        <w:t>万元本项目的实施带动的效益情况：增加有效耕地面积、提升耕地质量，降低生产成本、优化空间布局。</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firstLine="640" w:firstLineChars="200"/>
        <w:textAlignment w:val="auto"/>
        <w:rPr>
          <w:rFonts w:hint="eastAsia" w:ascii="仿宋_GB2312" w:hAnsi="宋体" w:eastAsia="仿宋_GB2312" w:cs="宋体"/>
          <w:color w:val="000000"/>
          <w:kern w:val="0"/>
          <w:sz w:val="32"/>
          <w:szCs w:val="32"/>
          <w:shd w:val="clear" w:color="auto" w:fill="FFFFFF"/>
          <w:lang w:val="en-US" w:eastAsia="zh-CN"/>
        </w:rPr>
      </w:pPr>
      <w:r>
        <w:rPr>
          <w:rFonts w:hint="eastAsia" w:hAnsi="宋体" w:cs="宋体"/>
          <w:color w:val="000000"/>
          <w:kern w:val="0"/>
          <w:sz w:val="32"/>
          <w:szCs w:val="32"/>
          <w:shd w:val="clear" w:color="auto" w:fill="FFFFFF"/>
          <w:lang w:val="en-US" w:eastAsia="zh-CN"/>
        </w:rPr>
        <w:t>11.</w:t>
      </w:r>
      <w:r>
        <w:rPr>
          <w:rFonts w:hint="eastAsia" w:ascii="仿宋_GB2312" w:hAnsi="仿宋_GB2312" w:eastAsia="仿宋_GB2312" w:cs="仿宋_GB2312"/>
          <w:color w:val="auto"/>
          <w:kern w:val="2"/>
          <w:sz w:val="32"/>
          <w:szCs w:val="32"/>
          <w:highlight w:val="none"/>
          <w:lang w:val="en-US" w:eastAsia="zh-CN" w:bidi="ar-SA"/>
        </w:rPr>
        <w:t>乡镇基本财力保障：</w:t>
      </w:r>
      <w:r>
        <w:rPr>
          <w:rFonts w:hint="eastAsia" w:ascii="仿宋_GB2312" w:hAnsi="宋体" w:eastAsia="仿宋_GB2312" w:cs="宋体"/>
          <w:color w:val="000000"/>
          <w:kern w:val="0"/>
          <w:sz w:val="32"/>
          <w:szCs w:val="32"/>
          <w:shd w:val="clear" w:color="auto" w:fill="FFFFFF"/>
          <w:lang w:val="en-US" w:eastAsia="zh-CN"/>
        </w:rPr>
        <w:t>项目全年预算数</w:t>
      </w:r>
      <w:r>
        <w:rPr>
          <w:rFonts w:hint="eastAsia" w:hAnsi="宋体" w:cs="宋体"/>
          <w:color w:val="000000"/>
          <w:kern w:val="0"/>
          <w:sz w:val="32"/>
          <w:szCs w:val="32"/>
          <w:shd w:val="clear" w:color="auto" w:fill="FFFFFF"/>
          <w:lang w:val="en-US" w:eastAsia="zh-CN"/>
        </w:rPr>
        <w:t>34.13</w:t>
      </w:r>
      <w:r>
        <w:rPr>
          <w:rFonts w:hint="eastAsia" w:ascii="仿宋_GB2312" w:hAnsi="宋体" w:eastAsia="仿宋_GB2312" w:cs="宋体"/>
          <w:color w:val="000000"/>
          <w:kern w:val="0"/>
          <w:sz w:val="32"/>
          <w:szCs w:val="32"/>
          <w:shd w:val="clear" w:color="auto" w:fill="FFFFFF"/>
          <w:lang w:val="en-US" w:eastAsia="zh-CN"/>
        </w:rPr>
        <w:t>万元，本项目的实施带动的效益情况：增强</w:t>
      </w:r>
      <w:r>
        <w:rPr>
          <w:rFonts w:hint="eastAsia" w:hAnsi="宋体" w:cs="宋体"/>
          <w:color w:val="000000"/>
          <w:kern w:val="0"/>
          <w:sz w:val="32"/>
          <w:szCs w:val="32"/>
          <w:shd w:val="clear" w:color="auto" w:fill="FFFFFF"/>
          <w:lang w:val="en-US" w:eastAsia="zh-CN"/>
        </w:rPr>
        <w:t>大竹堡乡</w:t>
      </w:r>
      <w:r>
        <w:rPr>
          <w:rFonts w:hint="eastAsia" w:ascii="仿宋_GB2312" w:hAnsi="宋体" w:eastAsia="仿宋_GB2312" w:cs="宋体"/>
          <w:color w:val="000000"/>
          <w:kern w:val="0"/>
          <w:sz w:val="32"/>
          <w:szCs w:val="32"/>
          <w:shd w:val="clear" w:color="auto" w:fill="FFFFFF"/>
          <w:lang w:val="en-US" w:eastAsia="zh-CN"/>
        </w:rPr>
        <w:t>各村集体经济发展后劲，推动各村向“一村一品”高质量发展，提高村集体经济收益，带动村民致富。</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kern w:val="2"/>
          <w:sz w:val="32"/>
          <w:szCs w:val="32"/>
          <w:highlight w:val="none"/>
          <w:lang w:val="en-US" w:eastAsia="zh-CN" w:bidi="ar-SA"/>
        </w:rPr>
        <w:t>1</w:t>
      </w:r>
      <w:r>
        <w:rPr>
          <w:rFonts w:hint="eastAsia" w:hAnsi="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kern w:val="2"/>
          <w:sz w:val="32"/>
          <w:szCs w:val="32"/>
          <w:highlight w:val="none"/>
          <w:lang w:val="en-US" w:eastAsia="zh-CN" w:bidi="ar-SA"/>
        </w:rPr>
        <w:t>.农村党员活动经费：</w:t>
      </w:r>
      <w:r>
        <w:rPr>
          <w:rFonts w:hint="eastAsia" w:ascii="仿宋_GB2312" w:hAnsi="宋体" w:eastAsia="仿宋_GB2312" w:cs="宋体"/>
          <w:color w:val="000000"/>
          <w:kern w:val="0"/>
          <w:sz w:val="32"/>
          <w:szCs w:val="32"/>
          <w:shd w:val="clear" w:color="auto" w:fill="FFFFFF"/>
          <w:lang w:val="en-US" w:eastAsia="zh-CN"/>
        </w:rPr>
        <w:t>项目全年预算数</w:t>
      </w:r>
      <w:r>
        <w:rPr>
          <w:rFonts w:hint="eastAsia" w:hAnsi="宋体" w:cs="宋体"/>
          <w:color w:val="000000"/>
          <w:kern w:val="0"/>
          <w:sz w:val="32"/>
          <w:szCs w:val="32"/>
          <w:shd w:val="clear" w:color="auto" w:fill="FFFFFF"/>
          <w:lang w:val="en-US" w:eastAsia="zh-CN"/>
        </w:rPr>
        <w:t>0.11</w:t>
      </w:r>
      <w:r>
        <w:rPr>
          <w:rFonts w:hint="eastAsia" w:ascii="仿宋_GB2312" w:hAnsi="宋体" w:eastAsia="仿宋_GB2312" w:cs="宋体"/>
          <w:color w:val="000000"/>
          <w:kern w:val="0"/>
          <w:sz w:val="32"/>
          <w:szCs w:val="32"/>
          <w:shd w:val="clear" w:color="auto" w:fill="FFFFFF"/>
          <w:lang w:val="en-US" w:eastAsia="zh-CN"/>
        </w:rPr>
        <w:t>万元，本项目的实施带动的效益情况：促进基层农村党员素质提升，不断深入推进基层党员培训，建立长效机制，提升农村党员和群众的满意度。</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w:t>
      </w:r>
      <w:r>
        <w:rPr>
          <w:rFonts w:hint="eastAsia" w:hAnsi="仿宋_GB2312" w:cs="仿宋_GB2312"/>
          <w:color w:val="auto"/>
          <w:kern w:val="2"/>
          <w:sz w:val="32"/>
          <w:szCs w:val="32"/>
          <w:highlight w:val="none"/>
          <w:lang w:val="en-US" w:eastAsia="zh-CN" w:bidi="ar-SA"/>
        </w:rPr>
        <w:t>3</w:t>
      </w:r>
      <w:r>
        <w:rPr>
          <w:rFonts w:hint="eastAsia" w:ascii="仿宋_GB2312" w:hAnsi="仿宋_GB2312" w:eastAsia="仿宋_GB2312" w:cs="仿宋_GB2312"/>
          <w:color w:val="auto"/>
          <w:kern w:val="2"/>
          <w:sz w:val="32"/>
          <w:szCs w:val="32"/>
          <w:highlight w:val="none"/>
          <w:lang w:val="en-US" w:eastAsia="zh-CN" w:bidi="ar-SA"/>
        </w:rPr>
        <w:t>.党建工作经费：</w:t>
      </w:r>
      <w:r>
        <w:rPr>
          <w:rFonts w:hint="eastAsia" w:ascii="仿宋_GB2312" w:hAnsi="宋体" w:eastAsia="仿宋_GB2312" w:cs="宋体"/>
          <w:color w:val="000000"/>
          <w:kern w:val="0"/>
          <w:sz w:val="32"/>
          <w:szCs w:val="32"/>
          <w:shd w:val="clear" w:color="auto" w:fill="FFFFFF"/>
          <w:lang w:val="en-US" w:eastAsia="zh-CN"/>
        </w:rPr>
        <w:t>项目全年预算数3万元，本项目的实施带动的效益情况：提高镇、村干部队伍的整体素质，强化学习型党组织建设，保障党的基层组织建设不断创新发展。强化党建引领作用，提升党的建设科学化水平。</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kern w:val="2"/>
          <w:sz w:val="32"/>
          <w:szCs w:val="32"/>
          <w:highlight w:val="none"/>
          <w:lang w:val="en-US" w:eastAsia="zh-CN" w:bidi="ar-SA"/>
        </w:rPr>
        <w:t>1</w:t>
      </w:r>
      <w:r>
        <w:rPr>
          <w:rFonts w:hint="eastAsia" w:hAnsi="仿宋_GB2312" w:cs="仿宋_GB2312"/>
          <w:color w:val="auto"/>
          <w:kern w:val="2"/>
          <w:sz w:val="32"/>
          <w:szCs w:val="32"/>
          <w:highlight w:val="none"/>
          <w:lang w:val="en-US" w:eastAsia="zh-CN" w:bidi="ar-SA"/>
        </w:rPr>
        <w:t>4</w:t>
      </w:r>
      <w:r>
        <w:rPr>
          <w:rFonts w:hint="eastAsia" w:ascii="仿宋_GB2312" w:hAnsi="仿宋_GB2312" w:eastAsia="仿宋_GB2312" w:cs="仿宋_GB2312"/>
          <w:color w:val="auto"/>
          <w:kern w:val="2"/>
          <w:sz w:val="32"/>
          <w:szCs w:val="32"/>
          <w:highlight w:val="none"/>
          <w:lang w:val="en-US" w:eastAsia="zh-CN" w:bidi="ar-SA"/>
        </w:rPr>
        <w:t>.</w:t>
      </w:r>
      <w:r>
        <w:rPr>
          <w:rFonts w:hint="eastAsia" w:hAnsi="仿宋_GB2312" w:cs="仿宋_GB2312"/>
          <w:color w:val="auto"/>
          <w:kern w:val="2"/>
          <w:sz w:val="32"/>
          <w:szCs w:val="32"/>
          <w:highlight w:val="none"/>
          <w:lang w:val="en-US" w:eastAsia="zh-CN" w:bidi="ar-SA"/>
        </w:rPr>
        <w:t>彝厉新年慰问经费：</w:t>
      </w:r>
      <w:r>
        <w:rPr>
          <w:rFonts w:hint="eastAsia" w:ascii="仿宋_GB2312" w:hAnsi="宋体" w:eastAsia="仿宋_GB2312" w:cs="宋体"/>
          <w:color w:val="000000"/>
          <w:kern w:val="0"/>
          <w:sz w:val="32"/>
          <w:szCs w:val="32"/>
          <w:shd w:val="clear" w:color="auto" w:fill="FFFFFF"/>
          <w:lang w:val="en-US" w:eastAsia="zh-CN"/>
        </w:rPr>
        <w:t>项目全年预算数为</w:t>
      </w:r>
      <w:r>
        <w:rPr>
          <w:rFonts w:hint="eastAsia" w:hAnsi="宋体" w:cs="宋体"/>
          <w:color w:val="000000"/>
          <w:kern w:val="0"/>
          <w:sz w:val="32"/>
          <w:szCs w:val="32"/>
          <w:shd w:val="clear" w:color="auto" w:fill="FFFFFF"/>
          <w:lang w:val="en-US" w:eastAsia="zh-CN"/>
        </w:rPr>
        <w:t>3</w:t>
      </w:r>
      <w:r>
        <w:rPr>
          <w:rFonts w:hint="eastAsia" w:ascii="仿宋_GB2312" w:hAnsi="宋体" w:eastAsia="仿宋_GB2312" w:cs="宋体"/>
          <w:color w:val="000000"/>
          <w:kern w:val="0"/>
          <w:sz w:val="32"/>
          <w:szCs w:val="32"/>
          <w:shd w:val="clear" w:color="auto" w:fill="FFFFFF"/>
          <w:lang w:val="en-US" w:eastAsia="zh-CN"/>
        </w:rPr>
        <w:t>万元，本项目的实施带动的效益情况：完成</w:t>
      </w:r>
      <w:r>
        <w:rPr>
          <w:rFonts w:hint="eastAsia" w:hAnsi="宋体" w:cs="宋体"/>
          <w:color w:val="000000"/>
          <w:kern w:val="0"/>
          <w:sz w:val="32"/>
          <w:szCs w:val="32"/>
          <w:shd w:val="clear" w:color="auto" w:fill="FFFFFF"/>
          <w:lang w:val="en-US" w:eastAsia="zh-CN"/>
        </w:rPr>
        <w:t>了</w:t>
      </w:r>
      <w:r>
        <w:rPr>
          <w:rFonts w:hint="eastAsia" w:ascii="仿宋_GB2312" w:hAnsi="宋体" w:eastAsia="仿宋_GB2312" w:cs="宋体"/>
          <w:color w:val="000000"/>
          <w:kern w:val="0"/>
          <w:sz w:val="32"/>
          <w:szCs w:val="32"/>
          <w:shd w:val="clear" w:color="auto" w:fill="FFFFFF"/>
          <w:lang w:val="en-US" w:eastAsia="zh-CN"/>
        </w:rPr>
        <w:t>全镇60户贫困群众慰问</w:t>
      </w:r>
      <w:r>
        <w:rPr>
          <w:rFonts w:hint="eastAsia" w:hAnsi="宋体" w:cs="宋体"/>
          <w:color w:val="000000"/>
          <w:kern w:val="0"/>
          <w:sz w:val="32"/>
          <w:szCs w:val="32"/>
          <w:shd w:val="clear" w:color="auto" w:fill="FFFFFF"/>
          <w:lang w:val="en-US" w:eastAsia="zh-CN"/>
        </w:rPr>
        <w:t>，拉进了群众感情。</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仿宋_GB2312" w:eastAsia="仿宋_GB2312" w:cs="仿宋_GB2312"/>
          <w:color w:val="auto"/>
          <w:kern w:val="2"/>
          <w:sz w:val="32"/>
          <w:szCs w:val="32"/>
          <w:highlight w:val="none"/>
          <w:lang w:val="en-US" w:eastAsia="zh-CN" w:bidi="ar-SA"/>
        </w:rPr>
        <w:t>15.人代会议费：</w:t>
      </w:r>
      <w:r>
        <w:rPr>
          <w:rFonts w:hint="eastAsia" w:ascii="仿宋_GB2312" w:hAnsi="宋体" w:eastAsia="仿宋_GB2312" w:cs="宋体"/>
          <w:color w:val="000000"/>
          <w:kern w:val="0"/>
          <w:sz w:val="32"/>
          <w:szCs w:val="32"/>
          <w:shd w:val="clear" w:color="auto" w:fill="FFFFFF"/>
          <w:lang w:val="en-US" w:eastAsia="zh-CN"/>
        </w:rPr>
        <w:t>项目全年预算数0.5万元，本项目的实施带动的效益情况：保障镇人大代表履职能力，体现政策导向，长期保障工作平稳进行。</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firstLine="640" w:firstLineChars="200"/>
        <w:textAlignment w:val="auto"/>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仿宋_GB2312" w:eastAsia="仿宋_GB2312" w:cs="仿宋_GB2312"/>
          <w:color w:val="auto"/>
          <w:kern w:val="2"/>
          <w:sz w:val="32"/>
          <w:szCs w:val="32"/>
          <w:highlight w:val="none"/>
          <w:lang w:val="en-US" w:eastAsia="zh-CN" w:bidi="ar-SA"/>
        </w:rPr>
        <w:t>1</w:t>
      </w:r>
      <w:r>
        <w:rPr>
          <w:rFonts w:hint="eastAsia" w:hAnsi="仿宋_GB2312" w:cs="仿宋_GB2312"/>
          <w:color w:val="auto"/>
          <w:kern w:val="2"/>
          <w:sz w:val="32"/>
          <w:szCs w:val="32"/>
          <w:highlight w:val="none"/>
          <w:lang w:val="en-US" w:eastAsia="zh-CN" w:bidi="ar-SA"/>
        </w:rPr>
        <w:t>6</w:t>
      </w:r>
      <w:r>
        <w:rPr>
          <w:rFonts w:hint="eastAsia" w:ascii="仿宋_GB2312" w:hAnsi="仿宋_GB2312" w:eastAsia="仿宋_GB2312" w:cs="仿宋_GB2312"/>
          <w:color w:val="auto"/>
          <w:kern w:val="2"/>
          <w:sz w:val="32"/>
          <w:szCs w:val="32"/>
          <w:highlight w:val="none"/>
          <w:lang w:val="en-US" w:eastAsia="zh-CN" w:bidi="ar-SA"/>
        </w:rPr>
        <w:t>.关工委工作经费：</w:t>
      </w:r>
      <w:r>
        <w:rPr>
          <w:rFonts w:hint="eastAsia" w:ascii="仿宋_GB2312" w:hAnsi="宋体" w:eastAsia="仿宋_GB2312" w:cs="宋体"/>
          <w:color w:val="000000"/>
          <w:kern w:val="0"/>
          <w:sz w:val="32"/>
          <w:szCs w:val="32"/>
          <w:shd w:val="clear" w:color="auto" w:fill="FFFFFF"/>
          <w:lang w:val="en-US" w:eastAsia="zh-CN"/>
        </w:rPr>
        <w:t>项目全年预算数</w:t>
      </w:r>
      <w:r>
        <w:rPr>
          <w:rFonts w:hint="eastAsia" w:hAnsi="宋体" w:cs="宋体"/>
          <w:color w:val="000000"/>
          <w:kern w:val="0"/>
          <w:sz w:val="32"/>
          <w:szCs w:val="32"/>
          <w:shd w:val="clear" w:color="auto" w:fill="FFFFFF"/>
          <w:lang w:val="en-US" w:eastAsia="zh-CN"/>
        </w:rPr>
        <w:t>0.99</w:t>
      </w:r>
      <w:r>
        <w:rPr>
          <w:rFonts w:hint="eastAsia" w:ascii="仿宋_GB2312" w:hAnsi="宋体" w:eastAsia="仿宋_GB2312" w:cs="宋体"/>
          <w:color w:val="000000"/>
          <w:kern w:val="0"/>
          <w:sz w:val="32"/>
          <w:szCs w:val="32"/>
          <w:shd w:val="clear" w:color="auto" w:fill="FFFFFF"/>
          <w:lang w:val="en-US" w:eastAsia="zh-CN"/>
        </w:rPr>
        <w:t>万元，本项目的实施带动的效益情况：提升镇党员干部凝聚力，增强其获得感、幸福感、满足感，推动党员干部踏实认真工作。</w:t>
      </w:r>
    </w:p>
    <w:p>
      <w:pPr>
        <w:keepNext w:val="0"/>
        <w:keepLines w:val="0"/>
        <w:pageBreakBefore w:val="0"/>
        <w:widowControl/>
        <w:kinsoku/>
        <w:wordWrap/>
        <w:overflowPunct/>
        <w:topLinePunct w:val="0"/>
        <w:autoSpaceDE/>
        <w:autoSpaceDN/>
        <w:bidi w:val="0"/>
        <w:adjustRightInd w:val="0"/>
        <w:snapToGrid w:val="0"/>
        <w:spacing w:line="600" w:lineRule="exact"/>
        <w:ind w:leftChars="0" w:firstLine="640" w:firstLineChars="200"/>
        <w:contextualSpacing/>
        <w:jc w:val="left"/>
        <w:textAlignment w:val="auto"/>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color="auto" w:fill="FFFFFF"/>
          <w:lang w:val="en-US" w:eastAsia="zh-CN"/>
        </w:rPr>
        <w:t>17.</w:t>
      </w:r>
      <w:r>
        <w:rPr>
          <w:rFonts w:hint="eastAsia" w:ascii="仿宋_GB2312" w:hAnsi="宋体" w:eastAsia="仿宋_GB2312" w:cs="宋体"/>
          <w:color w:val="000000"/>
          <w:kern w:val="0"/>
          <w:sz w:val="32"/>
          <w:szCs w:val="32"/>
          <w:shd w:val="clear" w:color="auto" w:fill="FFFFFF"/>
          <w:lang w:val="zh-CN" w:eastAsia="zh-CN" w:bidi="ar-SA"/>
        </w:rPr>
        <w:t>2024年扶持村集体经济项目（朝阳坪村）：</w:t>
      </w:r>
      <w:r>
        <w:rPr>
          <w:rFonts w:hint="eastAsia" w:ascii="仿宋_GB2312" w:hAnsi="宋体" w:eastAsia="仿宋_GB2312" w:cs="宋体"/>
          <w:color w:val="000000"/>
          <w:kern w:val="0"/>
          <w:sz w:val="32"/>
          <w:szCs w:val="32"/>
          <w:shd w:val="clear" w:color="auto" w:fill="FFFFFF"/>
          <w:lang w:val="en-US" w:eastAsia="zh-CN"/>
        </w:rPr>
        <w:t>项目全年预算数61.98万元，本项目的实施带动的效益情况：为采笋村名提供便利条件，促进村集体经济发展，激活乡村内生动力，强化基层治理能力，筑牢共同富裕根基，践行绿色发展理念，重塑乡村精神内核。</w:t>
      </w:r>
    </w:p>
    <w:p>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宋体" w:eastAsia="仿宋_GB2312" w:cs="宋体"/>
          <w:color w:val="000000"/>
          <w:kern w:val="0"/>
          <w:sz w:val="32"/>
          <w:szCs w:val="32"/>
          <w:shd w:val="clear" w:fill="FFFFFF"/>
          <w:lang w:val="en-US" w:eastAsia="zh-CN" w:bidi="ar-SA"/>
        </w:rPr>
        <w:t>18.</w:t>
      </w:r>
      <w:r>
        <w:rPr>
          <w:rFonts w:hint="eastAsia" w:ascii="仿宋_GB2312" w:hAnsi="宋体" w:eastAsia="仿宋_GB2312" w:cs="宋体"/>
          <w:color w:val="000000"/>
          <w:kern w:val="0"/>
          <w:sz w:val="32"/>
          <w:szCs w:val="32"/>
          <w:shd w:val="clear" w:color="auto" w:fill="FFFFFF"/>
          <w:lang w:val="en-US" w:eastAsia="zh-CN"/>
        </w:rPr>
        <w:t>马边彝族自治县朝阳坪村八月竹园区产业配套设施项目相关前期费用</w:t>
      </w:r>
      <w:r>
        <w:rPr>
          <w:rFonts w:hint="eastAsia" w:ascii="仿宋_GB2312" w:hAnsi="宋体" w:eastAsia="仿宋_GB2312" w:cs="宋体"/>
          <w:color w:val="000000"/>
          <w:kern w:val="0"/>
          <w:sz w:val="32"/>
          <w:szCs w:val="32"/>
          <w:shd w:val="clear" w:color="auto" w:fill="FFFFFF"/>
          <w:lang w:val="zh-CN" w:eastAsia="zh-CN"/>
        </w:rPr>
        <w:t>：</w:t>
      </w:r>
      <w:r>
        <w:rPr>
          <w:rFonts w:hint="eastAsia" w:ascii="仿宋_GB2312" w:hAnsi="宋体" w:eastAsia="仿宋_GB2312" w:cs="宋体"/>
          <w:color w:val="000000"/>
          <w:kern w:val="0"/>
          <w:sz w:val="32"/>
          <w:szCs w:val="32"/>
          <w:shd w:val="clear" w:color="auto" w:fill="FFFFFF"/>
          <w:lang w:val="en-US" w:eastAsia="zh-CN"/>
        </w:rPr>
        <w:t>项目全年预算数40.45万元，本项目的实施带动的效益情况：助力竹笋产值提升、农户增收、就业岗位业升级促进村集体经济发展，激活乡村内生动力，强化基层治理能力，筑牢共同富裕根基，践行绿色发展理念，重塑乡村精神内核。</w:t>
      </w:r>
    </w:p>
    <w:p>
      <w:pPr>
        <w:pStyle w:val="2"/>
        <w:numPr>
          <w:ilvl w:val="0"/>
          <w:numId w:val="0"/>
        </w:numPr>
        <w:ind w:firstLine="600" w:firstLineChars="200"/>
        <w:rPr>
          <w:rFonts w:hint="eastAsia" w:ascii="仿宋_GB2312" w:hAnsi="宋体" w:eastAsia="仿宋_GB2312" w:cs="宋体"/>
          <w:color w:val="000000"/>
          <w:kern w:val="0"/>
          <w:sz w:val="32"/>
          <w:szCs w:val="32"/>
          <w:shd w:val="clear" w:color="auto" w:fill="FFFFFF"/>
          <w:lang w:val="en-US" w:eastAsia="zh-CN"/>
        </w:rPr>
      </w:pPr>
      <w:r>
        <w:rPr>
          <w:rFonts w:hint="eastAsia" w:ascii="仿宋_GB2312" w:hAnsi="Times New Roman" w:eastAsia="仿宋_GB2312" w:cs="Times New Roman"/>
          <w:kern w:val="0"/>
          <w:sz w:val="30"/>
          <w:szCs w:val="24"/>
          <w:lang w:val="en-US" w:eastAsia="zh-CN" w:bidi="ar-SA"/>
        </w:rPr>
        <w:t>19.</w:t>
      </w:r>
      <w:r>
        <w:rPr>
          <w:rFonts w:hint="eastAsia" w:hAnsi="仿宋_GB2312" w:cs="仿宋_GB2312"/>
          <w:color w:val="auto"/>
          <w:kern w:val="2"/>
          <w:sz w:val="32"/>
          <w:szCs w:val="32"/>
          <w:highlight w:val="none"/>
          <w:lang w:val="en-US" w:eastAsia="zh-CN" w:bidi="ar-SA"/>
        </w:rPr>
        <w:t>维稳经费</w:t>
      </w:r>
      <w:r>
        <w:rPr>
          <w:rFonts w:hint="eastAsia" w:ascii="仿宋_GB2312" w:hAnsi="宋体" w:eastAsia="仿宋_GB2312" w:cs="宋体"/>
          <w:color w:val="000000"/>
          <w:kern w:val="0"/>
          <w:sz w:val="32"/>
          <w:szCs w:val="32"/>
          <w:shd w:val="clear" w:color="auto" w:fill="FFFFFF"/>
          <w:lang w:val="zh-CN" w:eastAsia="zh-CN"/>
        </w:rPr>
        <w:t>：</w:t>
      </w:r>
      <w:r>
        <w:rPr>
          <w:rFonts w:hint="eastAsia" w:ascii="仿宋_GB2312" w:hAnsi="宋体" w:eastAsia="仿宋_GB2312" w:cs="宋体"/>
          <w:color w:val="000000"/>
          <w:kern w:val="0"/>
          <w:sz w:val="32"/>
          <w:szCs w:val="32"/>
          <w:shd w:val="clear" w:color="auto" w:fill="FFFFFF"/>
          <w:lang w:val="en-US" w:eastAsia="zh-CN"/>
        </w:rPr>
        <w:t>项目全年预算数</w:t>
      </w:r>
      <w:r>
        <w:rPr>
          <w:rFonts w:hint="eastAsia" w:hAnsi="宋体" w:cs="宋体"/>
          <w:color w:val="000000"/>
          <w:kern w:val="0"/>
          <w:sz w:val="32"/>
          <w:szCs w:val="32"/>
          <w:shd w:val="clear" w:color="auto" w:fill="FFFFFF"/>
          <w:lang w:val="en-US" w:eastAsia="zh-CN"/>
        </w:rPr>
        <w:t>0.72</w:t>
      </w:r>
      <w:r>
        <w:rPr>
          <w:rFonts w:hint="eastAsia" w:ascii="仿宋_GB2312" w:hAnsi="宋体" w:eastAsia="仿宋_GB2312" w:cs="宋体"/>
          <w:color w:val="000000"/>
          <w:kern w:val="0"/>
          <w:sz w:val="32"/>
          <w:szCs w:val="32"/>
          <w:shd w:val="clear" w:color="auto" w:fill="FFFFFF"/>
          <w:lang w:val="en-US" w:eastAsia="zh-CN"/>
        </w:rPr>
        <w:t>万元，本项目的实施带动的效益情况：矛盾纠纷化解、社会和谐稳定、群众安全感提升</w:t>
      </w:r>
      <w:r>
        <w:rPr>
          <w:rFonts w:hint="eastAsia" w:hAnsi="宋体" w:cs="宋体"/>
          <w:color w:val="000000"/>
          <w:kern w:val="0"/>
          <w:sz w:val="32"/>
          <w:szCs w:val="32"/>
          <w:shd w:val="clear" w:color="auto" w:fill="FFFFFF"/>
          <w:lang w:val="en-US" w:eastAsia="zh-CN"/>
        </w:rPr>
        <w:t>。</w:t>
      </w:r>
    </w:p>
    <w:p>
      <w:pPr>
        <w:pStyle w:val="2"/>
        <w:numPr>
          <w:ilvl w:val="0"/>
          <w:numId w:val="0"/>
        </w:numPr>
        <w:ind w:firstLine="640" w:firstLineChars="200"/>
        <w:rPr>
          <w:rFonts w:hint="eastAsia" w:hAnsi="仿宋_GB2312" w:cs="仿宋_GB2312"/>
          <w:color w:val="auto"/>
          <w:kern w:val="2"/>
          <w:sz w:val="32"/>
          <w:szCs w:val="32"/>
          <w:highlight w:val="none"/>
          <w:lang w:val="en-US" w:eastAsia="zh-CN" w:bidi="ar-SA"/>
        </w:rPr>
      </w:pPr>
      <w:r>
        <w:rPr>
          <w:rFonts w:hint="eastAsia" w:ascii="Times New Roman" w:hAnsi="仿宋_GB2312" w:eastAsia="宋体" w:cs="仿宋_GB2312"/>
          <w:color w:val="auto"/>
          <w:kern w:val="2"/>
          <w:sz w:val="32"/>
          <w:szCs w:val="32"/>
          <w:lang w:val="en-US" w:eastAsia="zh-CN" w:bidi="ar-SA"/>
        </w:rPr>
        <w:t>20.</w:t>
      </w:r>
      <w:r>
        <w:rPr>
          <w:rFonts w:hint="eastAsia" w:hAnsi="仿宋_GB2312" w:cs="仿宋_GB2312"/>
          <w:color w:val="auto"/>
          <w:kern w:val="2"/>
          <w:sz w:val="32"/>
          <w:szCs w:val="32"/>
          <w:highlight w:val="none"/>
          <w:lang w:val="en-US" w:eastAsia="zh-CN" w:bidi="ar-SA"/>
        </w:rPr>
        <w:t>大竹堡乡耕地恢复农户补助</w:t>
      </w:r>
      <w:r>
        <w:rPr>
          <w:rFonts w:hint="eastAsia" w:ascii="仿宋_GB2312" w:hAnsi="宋体" w:eastAsia="仿宋_GB2312" w:cs="宋体"/>
          <w:color w:val="000000"/>
          <w:kern w:val="0"/>
          <w:sz w:val="32"/>
          <w:szCs w:val="32"/>
          <w:shd w:val="clear" w:color="auto" w:fill="FFFFFF"/>
          <w:lang w:val="en-US" w:eastAsia="zh-CN"/>
        </w:rPr>
        <w:t>项目全年预算数</w:t>
      </w:r>
      <w:r>
        <w:rPr>
          <w:rFonts w:hint="eastAsia" w:hAnsi="宋体" w:cs="宋体"/>
          <w:color w:val="000000"/>
          <w:kern w:val="0"/>
          <w:sz w:val="32"/>
          <w:szCs w:val="32"/>
          <w:shd w:val="clear" w:color="auto" w:fill="FFFFFF"/>
          <w:lang w:val="en-US" w:eastAsia="zh-CN"/>
        </w:rPr>
        <w:t>2.15</w:t>
      </w:r>
      <w:r>
        <w:rPr>
          <w:rFonts w:hint="eastAsia" w:ascii="仿宋_GB2312" w:hAnsi="宋体" w:eastAsia="仿宋_GB2312" w:cs="宋体"/>
          <w:color w:val="000000"/>
          <w:kern w:val="0"/>
          <w:sz w:val="32"/>
          <w:szCs w:val="32"/>
          <w:shd w:val="clear" w:color="auto" w:fill="FFFFFF"/>
          <w:lang w:val="en-US" w:eastAsia="zh-CN"/>
        </w:rPr>
        <w:t>万元，本项目的实施带动的效益情况：减轻农户负担、激发复耕积极性、盘活闲置土地资源</w:t>
      </w:r>
      <w:r>
        <w:rPr>
          <w:rFonts w:hint="eastAsia" w:hAnsi="宋体" w:cs="宋体"/>
          <w:color w:val="000000"/>
          <w:kern w:val="0"/>
          <w:sz w:val="32"/>
          <w:szCs w:val="32"/>
          <w:shd w:val="clear" w:color="auto" w:fill="FFFFFF"/>
          <w:lang w:val="en-US" w:eastAsia="zh-CN"/>
        </w:rPr>
        <w:t>，改善农田生态环境、促进农业可持续发展。</w:t>
      </w:r>
    </w:p>
    <w:p>
      <w:pPr>
        <w:pStyle w:val="2"/>
        <w:numPr>
          <w:ilvl w:val="0"/>
          <w:numId w:val="0"/>
        </w:numPr>
        <w:ind w:firstLine="640" w:firstLineChars="200"/>
        <w:rPr>
          <w:rFonts w:hint="default"/>
          <w:lang w:val="en-US" w:eastAsia="zh-CN"/>
        </w:rPr>
      </w:pPr>
      <w:r>
        <w:rPr>
          <w:rFonts w:hint="eastAsia" w:ascii="Times New Roman" w:hAnsi="仿宋_GB2312" w:eastAsia="宋体" w:cs="仿宋_GB2312"/>
          <w:color w:val="auto"/>
          <w:kern w:val="2"/>
          <w:sz w:val="32"/>
          <w:szCs w:val="32"/>
          <w:highlight w:val="none"/>
          <w:lang w:val="en-US" w:eastAsia="zh-CN" w:bidi="ar-SA"/>
        </w:rPr>
        <w:t>21.大竹堡乡耕地恢复乡镇工作经费</w:t>
      </w:r>
      <w:r>
        <w:rPr>
          <w:rFonts w:hint="eastAsia" w:ascii="仿宋_GB2312" w:hAnsi="宋体" w:eastAsia="仿宋_GB2312" w:cs="宋体"/>
          <w:color w:val="000000"/>
          <w:kern w:val="0"/>
          <w:sz w:val="32"/>
          <w:szCs w:val="32"/>
          <w:shd w:val="clear" w:color="auto" w:fill="FFFFFF"/>
          <w:lang w:val="en-US" w:eastAsia="zh-CN"/>
        </w:rPr>
        <w:t>项目全年预算数</w:t>
      </w:r>
      <w:r>
        <w:rPr>
          <w:rFonts w:hint="eastAsia" w:hAnsi="宋体" w:cs="宋体"/>
          <w:color w:val="000000"/>
          <w:kern w:val="0"/>
          <w:sz w:val="32"/>
          <w:szCs w:val="32"/>
          <w:shd w:val="clear" w:color="auto" w:fill="FFFFFF"/>
          <w:lang w:val="en-US" w:eastAsia="zh-CN"/>
        </w:rPr>
        <w:t>0.5</w:t>
      </w:r>
      <w:r>
        <w:rPr>
          <w:rFonts w:hint="eastAsia" w:ascii="仿宋_GB2312" w:hAnsi="宋体" w:eastAsia="仿宋_GB2312" w:cs="宋体"/>
          <w:color w:val="000000"/>
          <w:kern w:val="0"/>
          <w:sz w:val="32"/>
          <w:szCs w:val="32"/>
          <w:shd w:val="clear" w:color="auto" w:fill="FFFFFF"/>
          <w:lang w:val="en-US" w:eastAsia="zh-CN"/>
        </w:rPr>
        <w:t>万元，本项目的实施带动的效益情况：保障基层工作运转、提升资金使用效能</w:t>
      </w:r>
      <w:r>
        <w:rPr>
          <w:rFonts w:hint="eastAsia" w:hAnsi="宋体" w:cs="宋体"/>
          <w:color w:val="000000"/>
          <w:kern w:val="0"/>
          <w:sz w:val="32"/>
          <w:szCs w:val="32"/>
          <w:shd w:val="clear" w:color="auto" w:fill="FFFFFF"/>
          <w:lang w:val="en-US" w:eastAsia="zh-CN"/>
        </w:rPr>
        <w:t>，压实属地责任、推动政策落地、保障耕地恢复任务顺利完成。</w:t>
      </w:r>
    </w:p>
    <w:p>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3" w:firstLineChars="200"/>
        <w:contextualSpacing/>
        <w:jc w:val="left"/>
        <w:textAlignment w:val="auto"/>
        <w:rPr>
          <w:rFonts w:hint="eastAsia" w:ascii="Times New Roman" w:hAnsi="Times New Roman" w:eastAsia="楷体_GB2312" w:cs="Times New Roman"/>
          <w:b/>
          <w:bCs/>
          <w:color w:val="000000"/>
          <w:kern w:val="0"/>
          <w:sz w:val="32"/>
          <w:szCs w:val="32"/>
          <w:highlight w:val="none"/>
          <w:shd w:val="clear" w:color="auto" w:fill="FFFFFF"/>
          <w:lang w:val="zh-CN" w:eastAsia="zh-CN"/>
        </w:rPr>
      </w:pPr>
      <w:r>
        <w:rPr>
          <w:rFonts w:hint="eastAsia" w:ascii="Times New Roman" w:hAnsi="Times New Roman" w:eastAsia="楷体_GB2312" w:cs="Times New Roman"/>
          <w:b/>
          <w:bCs/>
          <w:color w:val="000000"/>
          <w:kern w:val="0"/>
          <w:sz w:val="32"/>
          <w:szCs w:val="32"/>
          <w:shd w:val="clear" w:fill="FFFFFF"/>
          <w:lang w:val="zh-CN" w:eastAsia="zh-CN" w:bidi="ar-SA"/>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围</w:t>
      </w:r>
      <w:r>
        <w:rPr>
          <w:rFonts w:hint="eastAsia" w:ascii="仿宋_GB2312" w:hAnsi="宋体" w:eastAsia="仿宋_GB2312" w:cs="宋体"/>
          <w:color w:val="000000"/>
          <w:kern w:val="0"/>
          <w:sz w:val="32"/>
          <w:szCs w:val="32"/>
          <w:shd w:val="clear" w:color="auto" w:fill="FFFFFF"/>
          <w:lang w:val="zh-CN"/>
        </w:rPr>
        <w:t>大竹堡乡人民政府</w:t>
      </w:r>
      <w:r>
        <w:rPr>
          <w:rFonts w:hint="eastAsia" w:ascii="仿宋_GB2312" w:hAnsi="宋体" w:eastAsia="仿宋_GB2312" w:cs="宋体"/>
          <w:color w:val="000000"/>
          <w:kern w:val="0"/>
          <w:sz w:val="32"/>
          <w:szCs w:val="32"/>
          <w:shd w:val="clear" w:color="auto" w:fill="FFFFFF"/>
          <w:lang w:val="en-US" w:eastAsia="zh-CN"/>
        </w:rPr>
        <w:t>认真完成</w:t>
      </w:r>
      <w:r>
        <w:rPr>
          <w:rFonts w:hint="eastAsia" w:ascii="仿宋_GB2312" w:hAnsi="宋体" w:eastAsia="仿宋_GB2312" w:cs="宋体"/>
          <w:color w:val="000000"/>
          <w:kern w:val="0"/>
          <w:sz w:val="32"/>
          <w:szCs w:val="32"/>
          <w:shd w:val="clear" w:color="auto" w:fill="FFFFFF"/>
          <w:lang w:val="zh-CN"/>
        </w:rPr>
        <w:t>202</w:t>
      </w:r>
      <w:r>
        <w:rPr>
          <w:rFonts w:hint="eastAsia" w:ascii="仿宋_GB2312" w:hAnsi="宋体" w:eastAsia="仿宋_GB2312" w:cs="宋体"/>
          <w:color w:val="000000"/>
          <w:kern w:val="0"/>
          <w:sz w:val="32"/>
          <w:szCs w:val="32"/>
          <w:shd w:val="clear" w:color="auto" w:fill="FFFFFF"/>
          <w:lang w:val="en-US" w:eastAsia="zh-CN"/>
        </w:rPr>
        <w:t>5</w:t>
      </w:r>
      <w:r>
        <w:rPr>
          <w:rFonts w:hint="eastAsia" w:ascii="仿宋_GB2312" w:hAnsi="宋体" w:eastAsia="仿宋_GB2312" w:cs="宋体"/>
          <w:color w:val="000000"/>
          <w:kern w:val="0"/>
          <w:sz w:val="32"/>
          <w:szCs w:val="32"/>
          <w:shd w:val="clear" w:color="auto" w:fill="FFFFFF"/>
          <w:lang w:val="zh-CN"/>
        </w:rPr>
        <w:t>年度预算绩效考核管理工作，</w:t>
      </w:r>
      <w:r>
        <w:rPr>
          <w:rFonts w:hint="eastAsia" w:ascii="仿宋_GB2312" w:hAnsi="宋体" w:eastAsia="仿宋_GB2312" w:cs="宋体"/>
          <w:color w:val="000000"/>
          <w:kern w:val="0"/>
          <w:sz w:val="32"/>
          <w:szCs w:val="32"/>
          <w:shd w:val="clear" w:color="auto" w:fill="FFFFFF"/>
          <w:lang w:val="en-US" w:eastAsia="zh-CN"/>
        </w:rPr>
        <w:t>考核结果为优秀。</w:t>
      </w:r>
      <w:r>
        <w:rPr>
          <w:rFonts w:hint="eastAsia" w:ascii="仿宋_GB2312" w:hAnsi="宋体" w:eastAsia="仿宋_GB2312" w:cs="宋体"/>
          <w:color w:val="000000"/>
          <w:kern w:val="0"/>
          <w:sz w:val="32"/>
          <w:szCs w:val="32"/>
          <w:shd w:val="clear" w:color="auto" w:fill="FFFFFF"/>
          <w:lang w:val="zh-CN"/>
        </w:rPr>
        <w:t>考核自查收集当年预算项目材料，通过对预算绩效的项目进行分析和评价，找出预算执行中存在的不足，并将预算评价结果运用到下年的预算中。</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pPr>
        <w:pStyle w:val="2"/>
        <w:keepNext w:val="0"/>
        <w:keepLines w:val="0"/>
        <w:pageBreakBefore w:val="0"/>
        <w:kinsoku/>
        <w:wordWrap/>
        <w:overflowPunct/>
        <w:topLinePunct w:val="0"/>
        <w:autoSpaceDE/>
        <w:autoSpaceDN/>
        <w:bidi w:val="0"/>
        <w:spacing w:beforeLines="0" w:line="600" w:lineRule="exact"/>
        <w:ind w:leftChars="0"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pPr>
        <w:pStyle w:val="2"/>
        <w:keepNext w:val="0"/>
        <w:keepLines w:val="0"/>
        <w:pageBreakBefore w:val="0"/>
        <w:kinsoku/>
        <w:wordWrap/>
        <w:overflowPunct/>
        <w:topLinePunct w:val="0"/>
        <w:autoSpaceDE/>
        <w:autoSpaceDN/>
        <w:bidi w:val="0"/>
        <w:spacing w:beforeLines="0" w:line="600" w:lineRule="exact"/>
        <w:ind w:leftChars="0" w:firstLine="640" w:firstLineChars="200"/>
        <w:textAlignment w:val="auto"/>
        <w:rPr>
          <w:rFonts w:hint="default" w:ascii="Times New Roman" w:hAnsi="Times New Roman" w:eastAsia="仿宋_GB2312" w:cs="Times New Roman"/>
          <w:sz w:val="32"/>
          <w:szCs w:val="32"/>
          <w:u w:val="none"/>
          <w:lang w:val="en-US" w:eastAsia="zh-CN" w:bidi="ar"/>
        </w:rPr>
      </w:pPr>
      <w:r>
        <w:rPr>
          <w:rFonts w:hint="eastAsia" w:ascii="仿宋_GB2312" w:hAnsi="宋体" w:eastAsia="仿宋_GB2312" w:cs="宋体"/>
          <w:color w:val="000000"/>
          <w:kern w:val="0"/>
          <w:sz w:val="32"/>
          <w:szCs w:val="32"/>
          <w:shd w:val="clear" w:color="auto" w:fill="FFFFFF"/>
          <w:lang w:val="en-US" w:eastAsia="zh-CN" w:bidi="ar-SA"/>
        </w:rPr>
        <w:t>202</w:t>
      </w:r>
      <w:r>
        <w:rPr>
          <w:rFonts w:hint="eastAsia" w:hAnsi="宋体" w:cs="宋体"/>
          <w:color w:val="000000"/>
          <w:kern w:val="0"/>
          <w:sz w:val="32"/>
          <w:szCs w:val="32"/>
          <w:shd w:val="clear" w:color="auto" w:fill="FFFFFF"/>
          <w:lang w:val="en-US" w:eastAsia="zh-CN" w:bidi="ar-SA"/>
        </w:rPr>
        <w:t>4</w:t>
      </w:r>
      <w:r>
        <w:rPr>
          <w:rFonts w:hint="eastAsia" w:ascii="仿宋_GB2312" w:hAnsi="宋体" w:eastAsia="仿宋_GB2312" w:cs="宋体"/>
          <w:color w:val="000000"/>
          <w:kern w:val="0"/>
          <w:sz w:val="32"/>
          <w:szCs w:val="32"/>
          <w:shd w:val="clear" w:color="auto" w:fill="FFFFFF"/>
          <w:lang w:val="en-US" w:eastAsia="zh-CN" w:bidi="ar-SA"/>
        </w:rPr>
        <w:t>年</w:t>
      </w:r>
      <w:r>
        <w:rPr>
          <w:rFonts w:hint="eastAsia" w:hAnsi="宋体" w:cs="宋体"/>
          <w:color w:val="000000"/>
          <w:kern w:val="0"/>
          <w:sz w:val="32"/>
          <w:szCs w:val="32"/>
          <w:shd w:val="clear" w:color="auto" w:fill="FFFFFF"/>
          <w:lang w:val="en-US" w:eastAsia="zh-CN" w:bidi="ar-SA"/>
        </w:rPr>
        <w:t>大竹堡乡</w:t>
      </w:r>
      <w:r>
        <w:rPr>
          <w:rFonts w:hint="eastAsia" w:ascii="仿宋_GB2312" w:hAnsi="宋体" w:eastAsia="仿宋_GB2312" w:cs="宋体"/>
          <w:color w:val="000000"/>
          <w:kern w:val="0"/>
          <w:sz w:val="32"/>
          <w:szCs w:val="32"/>
          <w:shd w:val="clear" w:color="auto" w:fill="FFFFFF"/>
          <w:lang w:val="en-US" w:eastAsia="zh-CN" w:bidi="ar-SA"/>
        </w:rPr>
        <w:t>人民政府绩效评价总体良好，严格执行财务管理相关制度，重点项目认真落实，群众来访及群众满意度较好</w:t>
      </w:r>
      <w:r>
        <w:rPr>
          <w:rFonts w:hint="eastAsia" w:hAnsi="宋体" w:cs="宋体"/>
          <w:color w:val="000000"/>
          <w:kern w:val="0"/>
          <w:sz w:val="32"/>
          <w:szCs w:val="32"/>
          <w:shd w:val="clear" w:color="auto" w:fill="FFFFFF"/>
          <w:lang w:val="en-US" w:eastAsia="zh-CN" w:bidi="ar-SA"/>
        </w:rPr>
        <w:t>，总体得分97.6分。</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left="0" w:leftChars="0" w:firstLine="643" w:firstLineChars="200"/>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shd w:val="clear" w:fill="FFFFFF"/>
          <w:lang w:val="zh-CN" w:eastAsia="zh-CN" w:bidi="ar-SA"/>
        </w:rPr>
        <w:t>（二）</w:t>
      </w:r>
      <w:r>
        <w:rPr>
          <w:rFonts w:hint="default" w:ascii="Times New Roman" w:hAnsi="Times New Roman" w:eastAsia="楷体_GB2312" w:cs="Times New Roman"/>
          <w:b/>
          <w:bCs/>
          <w:color w:val="000000"/>
          <w:kern w:val="0"/>
          <w:sz w:val="32"/>
          <w:szCs w:val="32"/>
          <w:highlight w:val="none"/>
          <w:shd w:val="clear" w:color="auto" w:fill="FFFFFF"/>
          <w:lang w:val="zh-CN"/>
        </w:rPr>
        <w:t>存在问题。</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Lines="0" w:line="600" w:lineRule="exact"/>
        <w:ind w:left="0" w:leftChars="0" w:firstLine="640" w:firstLineChars="200"/>
        <w:textAlignment w:val="auto"/>
        <w:rPr>
          <w:lang w:val="zh-CN"/>
        </w:rPr>
      </w:pPr>
      <w:r>
        <w:rPr>
          <w:rFonts w:hint="eastAsia" w:ascii="仿宋_GB2312" w:eastAsia="仿宋_GB2312"/>
          <w:sz w:val="32"/>
          <w:szCs w:val="32"/>
          <w:lang w:eastAsia="zh-CN"/>
        </w:rPr>
        <w:t>一是项目</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绩效评价工作开展不够及时，特别是中期评价。例如预算项目资金后，部分因项目实施进度缓慢等个别问题导致报账进度缓慢</w:t>
      </w:r>
      <w:r>
        <w:rPr>
          <w:rFonts w:hint="eastAsia" w:ascii="仿宋_GB2312" w:eastAsia="仿宋_GB2312"/>
          <w:sz w:val="32"/>
          <w:szCs w:val="32"/>
          <w:lang w:eastAsia="zh-CN"/>
        </w:rPr>
        <w:t>。二是</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在一般公共预算财政拨款支出决算中，因中期使用过程中因临时、紧急等原因新增部分临时拨款，导致决算数与预算数差异大，不利于资金的统筹使用，影响资金的使用效率。</w:t>
      </w:r>
      <w:r>
        <w:rPr>
          <w:rFonts w:hint="eastAsia" w:ascii="仿宋_GB2312" w:eastAsia="仿宋_GB2312"/>
          <w:sz w:val="32"/>
          <w:szCs w:val="32"/>
          <w:lang w:eastAsia="zh-CN"/>
        </w:rPr>
        <w:t>三是</w:t>
      </w:r>
      <w:r>
        <w:rPr>
          <w:rFonts w:hint="eastAsia" w:ascii="仿宋_GB2312" w:hAnsi="仿宋_GB2312" w:eastAsia="仿宋_GB2312" w:cs="仿宋_GB2312"/>
          <w:i w:val="0"/>
          <w:caps w:val="0"/>
          <w:color w:val="000000"/>
          <w:spacing w:val="0"/>
          <w:kern w:val="0"/>
          <w:sz w:val="32"/>
          <w:szCs w:val="32"/>
          <w:shd w:val="clear" w:color="auto" w:fill="FFFFFF"/>
          <w:lang w:val="en-US" w:eastAsia="zh-CN" w:bidi="ar"/>
        </w:rPr>
        <w:t>应加强镇财政室队伍建设，</w:t>
      </w:r>
      <w:r>
        <w:rPr>
          <w:rFonts w:hint="eastAsia" w:ascii="仿宋_GB2312" w:eastAsia="仿宋_GB2312"/>
          <w:sz w:val="32"/>
          <w:szCs w:val="32"/>
          <w:lang w:eastAsia="zh-CN"/>
        </w:rPr>
        <w:t>财务人员对于专业知识的</w:t>
      </w:r>
      <w:r>
        <w:rPr>
          <w:rFonts w:ascii="仿宋_GB2312" w:hAnsi="宋体" w:eastAsia="仿宋_GB2312" w:cs="仿宋_GB2312"/>
          <w:i w:val="0"/>
          <w:iCs w:val="0"/>
          <w:caps w:val="0"/>
          <w:color w:val="333333"/>
          <w:spacing w:val="0"/>
          <w:sz w:val="32"/>
          <w:szCs w:val="32"/>
          <w:shd w:val="clear" w:color="auto" w:fill="F8F8F8"/>
        </w:rPr>
        <w:t>学</w:t>
      </w:r>
      <w:r>
        <w:rPr>
          <w:rFonts w:ascii="仿宋_GB2312" w:hAnsi="宋体" w:eastAsia="仿宋_GB2312" w:cs="仿宋_GB2312"/>
          <w:i w:val="0"/>
          <w:iCs w:val="0"/>
          <w:caps w:val="0"/>
          <w:color w:val="333333"/>
          <w:spacing w:val="0"/>
          <w:sz w:val="32"/>
          <w:szCs w:val="32"/>
          <w:shd w:val="clear" w:color="auto" w:fill="auto"/>
        </w:rPr>
        <w:t>习</w:t>
      </w:r>
      <w:r>
        <w:rPr>
          <w:rFonts w:hint="eastAsia" w:ascii="仿宋_GB2312" w:hAnsi="宋体" w:eastAsia="仿宋_GB2312" w:cs="仿宋_GB2312"/>
          <w:i w:val="0"/>
          <w:iCs w:val="0"/>
          <w:caps w:val="0"/>
          <w:color w:val="333333"/>
          <w:spacing w:val="0"/>
          <w:sz w:val="32"/>
          <w:szCs w:val="32"/>
          <w:shd w:val="clear" w:color="auto" w:fill="auto"/>
          <w:lang w:eastAsia="zh-CN"/>
        </w:rPr>
        <w:t>还不够</w:t>
      </w:r>
      <w:r>
        <w:rPr>
          <w:rFonts w:ascii="仿宋_GB2312" w:hAnsi="宋体" w:eastAsia="仿宋_GB2312" w:cs="仿宋_GB2312"/>
          <w:i w:val="0"/>
          <w:iCs w:val="0"/>
          <w:caps w:val="0"/>
          <w:color w:val="333333"/>
          <w:spacing w:val="0"/>
          <w:sz w:val="32"/>
          <w:szCs w:val="32"/>
          <w:shd w:val="clear" w:color="auto" w:fill="auto"/>
        </w:rPr>
        <w:t>，思想认识</w:t>
      </w:r>
      <w:r>
        <w:rPr>
          <w:rFonts w:hint="eastAsia" w:ascii="仿宋_GB2312" w:hAnsi="宋体" w:eastAsia="仿宋_GB2312" w:cs="仿宋_GB2312"/>
          <w:i w:val="0"/>
          <w:iCs w:val="0"/>
          <w:caps w:val="0"/>
          <w:color w:val="333333"/>
          <w:spacing w:val="0"/>
          <w:sz w:val="32"/>
          <w:szCs w:val="32"/>
          <w:shd w:val="clear" w:color="auto" w:fill="auto"/>
          <w:lang w:eastAsia="zh-CN"/>
        </w:rPr>
        <w:t>不够</w:t>
      </w:r>
      <w:r>
        <w:rPr>
          <w:rFonts w:ascii="仿宋_GB2312" w:hAnsi="宋体" w:eastAsia="仿宋_GB2312" w:cs="仿宋_GB2312"/>
          <w:i w:val="0"/>
          <w:iCs w:val="0"/>
          <w:caps w:val="0"/>
          <w:color w:val="333333"/>
          <w:spacing w:val="0"/>
          <w:sz w:val="32"/>
          <w:szCs w:val="32"/>
          <w:shd w:val="clear" w:color="auto" w:fill="auto"/>
        </w:rPr>
        <w:t>深刻</w:t>
      </w:r>
      <w:r>
        <w:rPr>
          <w:rFonts w:hint="eastAsia" w:ascii="仿宋_GB2312" w:hAnsi="宋体" w:eastAsia="仿宋_GB2312" w:cs="仿宋_GB2312"/>
          <w:i w:val="0"/>
          <w:iCs w:val="0"/>
          <w:caps w:val="0"/>
          <w:color w:val="333333"/>
          <w:spacing w:val="0"/>
          <w:sz w:val="32"/>
          <w:szCs w:val="32"/>
          <w:shd w:val="clear" w:color="auto" w:fill="auto"/>
          <w:lang w:eastAsia="zh-CN"/>
        </w:rPr>
        <w:t>，</w:t>
      </w:r>
      <w:r>
        <w:rPr>
          <w:rFonts w:ascii="仿宋_GB2312" w:hAnsi="宋体" w:eastAsia="仿宋_GB2312" w:cs="仿宋_GB2312"/>
          <w:i w:val="0"/>
          <w:iCs w:val="0"/>
          <w:caps w:val="0"/>
          <w:color w:val="333333"/>
          <w:spacing w:val="0"/>
          <w:sz w:val="32"/>
          <w:szCs w:val="32"/>
          <w:shd w:val="clear" w:color="auto" w:fill="auto"/>
        </w:rPr>
        <w:t>业务知识、</w:t>
      </w:r>
      <w:r>
        <w:rPr>
          <w:rFonts w:hint="eastAsia" w:ascii="仿宋_GB2312" w:hAnsi="宋体" w:eastAsia="仿宋_GB2312" w:cs="仿宋_GB2312"/>
          <w:i w:val="0"/>
          <w:iCs w:val="0"/>
          <w:caps w:val="0"/>
          <w:color w:val="333333"/>
          <w:spacing w:val="0"/>
          <w:sz w:val="32"/>
          <w:szCs w:val="32"/>
          <w:shd w:val="clear" w:color="auto" w:fill="auto"/>
          <w:lang w:eastAsia="zh-CN"/>
        </w:rPr>
        <w:t>相关</w:t>
      </w:r>
      <w:r>
        <w:rPr>
          <w:rFonts w:ascii="仿宋_GB2312" w:hAnsi="宋体" w:eastAsia="仿宋_GB2312" w:cs="仿宋_GB2312"/>
          <w:i w:val="0"/>
          <w:iCs w:val="0"/>
          <w:caps w:val="0"/>
          <w:color w:val="333333"/>
          <w:spacing w:val="0"/>
          <w:sz w:val="32"/>
          <w:szCs w:val="32"/>
          <w:shd w:val="clear" w:color="auto" w:fill="auto"/>
        </w:rPr>
        <w:t>法律意识还有待提高。</w:t>
      </w:r>
    </w:p>
    <w:p>
      <w:pPr>
        <w:pStyle w:val="2"/>
        <w:keepNext w:val="0"/>
        <w:keepLines w:val="0"/>
        <w:pageBreakBefore w:val="0"/>
        <w:widowControl w:val="0"/>
        <w:numPr>
          <w:ilvl w:val="0"/>
          <w:numId w:val="1"/>
        </w:numPr>
        <w:kinsoku/>
        <w:wordWrap/>
        <w:overflowPunct/>
        <w:topLinePunct w:val="0"/>
        <w:autoSpaceDE/>
        <w:autoSpaceDN/>
        <w:bidi w:val="0"/>
        <w:adjustRightInd/>
        <w:snapToGrid/>
        <w:spacing w:beforeLines="0" w:line="600" w:lineRule="exact"/>
        <w:ind w:leftChars="0" w:firstLine="643"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改进建议。</w:t>
      </w:r>
      <w:bookmarkStart w:id="63" w:name="_Hlk110546638"/>
      <w:r>
        <w:rPr>
          <w:rFonts w:hint="eastAsia" w:ascii="仿宋_GB2312" w:hAnsi="仿宋_GB2312" w:eastAsia="仿宋_GB2312" w:cs="仿宋_GB2312"/>
          <w:color w:val="auto"/>
          <w:kern w:val="2"/>
          <w:sz w:val="32"/>
          <w:szCs w:val="32"/>
          <w:highlight w:val="none"/>
          <w:lang w:val="en-US" w:eastAsia="zh-CN" w:bidi="ar-SA"/>
        </w:rPr>
        <w:t>一是细化预算编制工作，做好预算的编制。进一步加强内设机构的预算管理意识，严格按照预算编制的相关制度和要求进行预算编制。二是加强财务管理，严格财务审核，提高财务的精细化管理。同时不断健全单位财务管理制度体系，规范单位财务行为。在费用报账支付时，按照预算规定的费用项目和用途进行资金使用审核、财务严格核算，杜绝超支现象的发生。三是抓好“三公”经费控制。严格控制“三公”经费的规模和比例，把关“三公”经费支出的审核、审批，杜绝违规使用的行为；进一步加强“三公”经费的管理，在合理范围内压缩“三公”经费支出。四是对财务人员加强培训，深入学习《预算法》、《行政事业单位会计制度》等，切实提高部门预算收支管理水平。</w:t>
      </w:r>
      <w:bookmarkEnd w:id="63"/>
    </w:p>
    <w:p>
      <w:pPr>
        <w:numPr>
          <w:ilvl w:val="0"/>
          <w:numId w:val="1"/>
        </w:numPr>
        <w:rPr>
          <w:rFonts w:hint="eastAsia"/>
          <w:lang w:val="zh-CN" w:eastAsia="zh-CN"/>
        </w:rPr>
      </w:pPr>
    </w:p>
    <w:p>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2"/>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黑体" w:cs="黑体"/>
          <w:color w:val="auto"/>
          <w:kern w:val="0"/>
          <w:sz w:val="32"/>
          <w:szCs w:val="32"/>
          <w:highlight w:val="none"/>
          <w:shd w:val="clear" w:color="auto" w:fill="FFFFFF"/>
          <w:lang w:val="zh-CN"/>
        </w:rPr>
        <w:br w:type="page"/>
      </w:r>
      <w:bookmarkStart w:id="64" w:name="_Toc15396618"/>
    </w:p>
    <w:p>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62"/>
      <w:bookmarkEnd w:id="64"/>
      <w:bookmarkStart w:id="65"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6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20"/>
      <w:r>
        <w:rPr>
          <w:rFonts w:hint="eastAsia" w:ascii="Times New Roman" w:hAnsi="Times New Roman" w:eastAsia="仿宋_GB2312" w:cs="仿宋_GB2312"/>
          <w:color w:val="auto"/>
          <w:sz w:val="32"/>
          <w:szCs w:val="32"/>
          <w:highlight w:val="none"/>
        </w:rPr>
        <w:t>二、收入决算表</w:t>
      </w:r>
      <w:bookmarkEnd w:id="6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7" w:name="_Toc15396621"/>
      <w:r>
        <w:rPr>
          <w:rFonts w:hint="eastAsia" w:ascii="Times New Roman" w:hAnsi="Times New Roman" w:eastAsia="仿宋_GB2312" w:cs="仿宋_GB2312"/>
          <w:color w:val="auto"/>
          <w:sz w:val="32"/>
          <w:szCs w:val="32"/>
          <w:highlight w:val="none"/>
        </w:rPr>
        <w:t>三、支出决算表</w:t>
      </w:r>
      <w:bookmarkEnd w:id="67"/>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8" w:name="_Toc15396622"/>
      <w:r>
        <w:rPr>
          <w:rFonts w:hint="eastAsia" w:ascii="Times New Roman" w:hAnsi="Times New Roman" w:eastAsia="仿宋_GB2312" w:cs="仿宋_GB2312"/>
          <w:color w:val="auto"/>
          <w:sz w:val="32"/>
          <w:szCs w:val="32"/>
          <w:highlight w:val="none"/>
        </w:rPr>
        <w:t>四、财政拨款收入支出决算总表</w:t>
      </w:r>
      <w:bookmarkEnd w:id="6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9" w:name="_Toc15396623"/>
      <w:r>
        <w:rPr>
          <w:rFonts w:hint="eastAsia" w:ascii="Times New Roman" w:hAnsi="Times New Roman" w:eastAsia="仿宋_GB2312" w:cs="仿宋_GB2312"/>
          <w:color w:val="auto"/>
          <w:sz w:val="32"/>
          <w:szCs w:val="32"/>
          <w:highlight w:val="none"/>
        </w:rPr>
        <w:t>五、财政拨款支出决算明细表</w:t>
      </w:r>
      <w:bookmarkEnd w:id="69"/>
      <w:bookmarkStart w:id="70"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7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1" w:name="_Toc15396625"/>
      <w:r>
        <w:rPr>
          <w:rFonts w:hint="eastAsia" w:ascii="Times New Roman" w:hAnsi="Times New Roman" w:eastAsia="仿宋_GB2312" w:cs="仿宋_GB2312"/>
          <w:color w:val="auto"/>
          <w:sz w:val="32"/>
          <w:szCs w:val="32"/>
          <w:highlight w:val="none"/>
        </w:rPr>
        <w:t>七、一般公共预算财政拨款支出决算明细表</w:t>
      </w:r>
      <w:bookmarkEnd w:id="7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2" w:name="_Toc15396626"/>
      <w:r>
        <w:rPr>
          <w:rFonts w:hint="eastAsia" w:ascii="Times New Roman" w:hAnsi="Times New Roman" w:eastAsia="仿宋_GB2312" w:cs="仿宋_GB2312"/>
          <w:color w:val="auto"/>
          <w:sz w:val="32"/>
          <w:szCs w:val="32"/>
          <w:highlight w:val="none"/>
        </w:rPr>
        <w:t>八、一般公共预算财政拨款基本支出决算表</w:t>
      </w:r>
      <w:bookmarkEnd w:id="72"/>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3" w:name="_Toc15396627"/>
      <w:r>
        <w:rPr>
          <w:rFonts w:hint="eastAsia" w:ascii="Times New Roman" w:hAnsi="Times New Roman" w:eastAsia="仿宋_GB2312" w:cs="仿宋_GB2312"/>
          <w:color w:val="auto"/>
          <w:sz w:val="32"/>
          <w:szCs w:val="32"/>
          <w:highlight w:val="none"/>
        </w:rPr>
        <w:t>九、一般公共预算财政拨款项目支出决算表</w:t>
      </w:r>
      <w:bookmarkEnd w:id="7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4" w:name="_Toc15396628"/>
      <w:r>
        <w:rPr>
          <w:rFonts w:hint="eastAsia" w:ascii="Times New Roman" w:hAnsi="Times New Roman" w:eastAsia="仿宋_GB2312" w:cs="仿宋_GB2312"/>
          <w:color w:val="auto"/>
          <w:sz w:val="32"/>
          <w:szCs w:val="32"/>
          <w:highlight w:val="none"/>
        </w:rPr>
        <w:t>十、</w:t>
      </w:r>
      <w:bookmarkEnd w:id="74"/>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5" w:name="_Toc15396629"/>
      <w:r>
        <w:rPr>
          <w:rFonts w:hint="eastAsia" w:ascii="Times New Roman" w:hAnsi="Times New Roman" w:eastAsia="仿宋_GB2312" w:cs="仿宋_GB2312"/>
          <w:color w:val="auto"/>
          <w:sz w:val="32"/>
          <w:szCs w:val="32"/>
          <w:highlight w:val="none"/>
        </w:rPr>
        <w:t>十一、</w:t>
      </w:r>
      <w:bookmarkEnd w:id="7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6" w:name="_Toc15396630"/>
      <w:r>
        <w:rPr>
          <w:rFonts w:hint="eastAsia" w:ascii="Times New Roman" w:hAnsi="Times New Roman" w:eastAsia="仿宋_GB2312" w:cs="仿宋_GB2312"/>
          <w:color w:val="auto"/>
          <w:sz w:val="32"/>
          <w:szCs w:val="32"/>
          <w:highlight w:val="none"/>
        </w:rPr>
        <w:t>十二、</w:t>
      </w:r>
      <w:bookmarkEnd w:id="76"/>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77" w:name="_Toc15396631"/>
      <w:r>
        <w:rPr>
          <w:rFonts w:hint="eastAsia" w:ascii="Times New Roman" w:hAnsi="Times New Roman" w:eastAsia="仿宋_GB2312" w:cs="仿宋_GB2312"/>
          <w:color w:val="auto"/>
          <w:sz w:val="32"/>
          <w:szCs w:val="32"/>
          <w:highlight w:val="none"/>
        </w:rPr>
        <w:t>十三、</w:t>
      </w:r>
      <w:bookmarkEnd w:id="77"/>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B75B18"/>
    <w:multiLevelType w:val="singleLevel"/>
    <w:tmpl w:val="EBB75B18"/>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70D0281"/>
    <w:rsid w:val="281408E2"/>
    <w:rsid w:val="29FD04D3"/>
    <w:rsid w:val="2BFF7BC6"/>
    <w:rsid w:val="2C8A61B5"/>
    <w:rsid w:val="2D2E01CF"/>
    <w:rsid w:val="2DF04E50"/>
    <w:rsid w:val="2E946CB2"/>
    <w:rsid w:val="2E9545B0"/>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AF03434"/>
    <w:rsid w:val="4B0E749A"/>
    <w:rsid w:val="4B4F25DA"/>
    <w:rsid w:val="4BDA0CFB"/>
    <w:rsid w:val="4BE068DB"/>
    <w:rsid w:val="4D3C0CCC"/>
    <w:rsid w:val="4D577224"/>
    <w:rsid w:val="4DBF1CEB"/>
    <w:rsid w:val="4EAB630A"/>
    <w:rsid w:val="4ECE2238"/>
    <w:rsid w:val="4EFD0F96"/>
    <w:rsid w:val="4F833267"/>
    <w:rsid w:val="4FE9BD67"/>
    <w:rsid w:val="4FFB052F"/>
    <w:rsid w:val="50F865F3"/>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图1：收入、支出决算总计变动情况图</a:t>
            </a:r>
          </a:p>
        </c:rich>
      </c:tx>
      <c:layout>
        <c:manualLayout>
          <c:xMode val="edge"/>
          <c:yMode val="edge"/>
          <c:x val="0.187361111111111"/>
          <c:y val="0.0393518518518519"/>
        </c:manualLayout>
      </c:layout>
      <c:overlay val="0"/>
      <c:spPr>
        <a:noFill/>
        <a:ln>
          <a:noFill/>
        </a:ln>
        <a:effectLst/>
      </c:spPr>
    </c:title>
    <c:autoTitleDeleted val="0"/>
    <c:plotArea>
      <c:layout/>
      <c:barChart>
        <c:barDir val="col"/>
        <c:grouping val="clustered"/>
        <c:varyColors val="0"/>
        <c:ser>
          <c:idx val="0"/>
          <c:order val="0"/>
          <c:spPr>
            <a:solidFill>
              <a:schemeClr val="accent2"/>
            </a:solidFill>
            <a:ln>
              <a:noFill/>
            </a:ln>
            <a:effectLst/>
          </c:spPr>
          <c:invertIfNegative val="0"/>
          <c:dPt>
            <c:idx val="0"/>
            <c:invertIfNegative val="0"/>
            <c:bubble3D val="0"/>
            <c:spPr>
              <a:solidFill>
                <a:schemeClr val="accent1"/>
              </a:solidFill>
              <a:ln>
                <a:noFill/>
              </a:ln>
              <a:effectLst/>
            </c:spPr>
          </c:dPt>
          <c:dLbls>
            <c:delete val="1"/>
          </c:dLbls>
          <c:cat>
            <c:strRef>
              <c:f>[工作簿1]Sheet1!$A$4:$A$5</c:f>
              <c:strCache>
                <c:ptCount val="2"/>
                <c:pt idx="0">
                  <c:v>2025年度收入、支出总计</c:v>
                </c:pt>
                <c:pt idx="1">
                  <c:v>2024年度收入、支出总计</c:v>
                </c:pt>
              </c:strCache>
            </c:strRef>
          </c:cat>
          <c:val>
            <c:numRef>
              <c:f>[工作簿1]Sheet1!$B$4:$B$5</c:f>
              <c:numCache>
                <c:formatCode>General</c:formatCode>
                <c:ptCount val="2"/>
                <c:pt idx="0">
                  <c:v>1007.64</c:v>
                </c:pt>
                <c:pt idx="1">
                  <c:v>1165.69</c:v>
                </c:pt>
              </c:numCache>
            </c:numRef>
          </c:val>
        </c:ser>
        <c:dLbls>
          <c:showLegendKey val="0"/>
          <c:showVal val="0"/>
          <c:showCatName val="0"/>
          <c:showSerName val="0"/>
          <c:showPercent val="0"/>
          <c:showBubbleSize val="0"/>
        </c:dLbls>
        <c:gapWidth val="219"/>
        <c:overlap val="-27"/>
        <c:axId val="123486202"/>
        <c:axId val="224165873"/>
      </c:barChart>
      <c:catAx>
        <c:axId val="12348620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24165873"/>
        <c:crosses val="autoZero"/>
        <c:auto val="1"/>
        <c:lblAlgn val="ctr"/>
        <c:lblOffset val="100"/>
        <c:noMultiLvlLbl val="0"/>
      </c:catAx>
      <c:valAx>
        <c:axId val="22416587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2348620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dLbls>
            <c:delete val="1"/>
          </c:dLbls>
          <c:cat>
            <c:strRef>
              <c:f>[工作簿1]Sheet1!$A$4:$A$11</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[工作簿1]Sheet1!$B$4:$B$11</c:f>
              <c:numCache>
                <c:formatCode>General</c:formatCode>
                <c:ptCount val="8"/>
                <c:pt idx="0">
                  <c:v>959.96</c:v>
                </c:pt>
                <c:pt idx="1">
                  <c:v>3.15</c:v>
                </c:pt>
                <c:pt idx="2">
                  <c:v>0</c:v>
                </c:pt>
                <c:pt idx="3">
                  <c:v>0</c:v>
                </c:pt>
                <c:pt idx="4">
                  <c:v>0</c:v>
                </c:pt>
                <c:pt idx="5">
                  <c:v>0</c:v>
                </c:pt>
                <c:pt idx="6">
                  <c:v>0</c:v>
                </c:pt>
                <c:pt idx="7">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alpha val="92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elete val="1"/>
          </c:dLbls>
          <c:cat>
            <c:strRef>
              <c:f>[工作簿1]Sheet1!$A$4:$A$8</c:f>
              <c:strCache>
                <c:ptCount val="5"/>
                <c:pt idx="0">
                  <c:v>基本支出</c:v>
                </c:pt>
                <c:pt idx="1">
                  <c:v>项目支出</c:v>
                </c:pt>
                <c:pt idx="2">
                  <c:v>上缴上级支出</c:v>
                </c:pt>
                <c:pt idx="3">
                  <c:v>经营支出</c:v>
                </c:pt>
                <c:pt idx="4">
                  <c:v>对附属单位补助支出</c:v>
                </c:pt>
              </c:strCache>
            </c:strRef>
          </c:cat>
          <c:val>
            <c:numRef>
              <c:f>[工作簿1]Sheet1!$B$4:$B$8</c:f>
              <c:numCache>
                <c:formatCode>General</c:formatCode>
                <c:ptCount val="5"/>
                <c:pt idx="0">
                  <c:v>800.5</c:v>
                </c:pt>
                <c:pt idx="1">
                  <c:v>207.14</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spPr>
            <a:solidFill>
              <a:schemeClr val="accent2"/>
            </a:solidFill>
            <a:ln>
              <a:noFill/>
            </a:ln>
            <a:effectLst/>
          </c:spPr>
          <c:invertIfNegative val="0"/>
          <c:dPt>
            <c:idx val="0"/>
            <c:invertIfNegative val="0"/>
            <c:bubble3D val="0"/>
            <c:spPr>
              <a:solidFill>
                <a:schemeClr val="accent1"/>
              </a:solidFill>
              <a:ln>
                <a:noFill/>
              </a:ln>
              <a:effectLst/>
            </c:spPr>
          </c:dPt>
          <c:dLbls>
            <c:delete val="1"/>
          </c:dLbls>
          <c:cat>
            <c:strRef>
              <c:f>[工作簿1]Sheet1!$A$4:$A$5</c:f>
              <c:strCache>
                <c:ptCount val="2"/>
                <c:pt idx="0">
                  <c:v>2025年度财政拨款收入、支出总计</c:v>
                </c:pt>
                <c:pt idx="1">
                  <c:v>2024年度财政拨款收入、支出总计</c:v>
                </c:pt>
              </c:strCache>
            </c:strRef>
          </c:cat>
          <c:val>
            <c:numRef>
              <c:f>[工作簿1]Sheet1!$B$4:$B$5</c:f>
              <c:numCache>
                <c:formatCode>General</c:formatCode>
                <c:ptCount val="2"/>
                <c:pt idx="0">
                  <c:v>1007.64</c:v>
                </c:pt>
                <c:pt idx="1">
                  <c:v>1137.94</c:v>
                </c:pt>
              </c:numCache>
            </c:numRef>
          </c:val>
        </c:ser>
        <c:dLbls>
          <c:showLegendKey val="0"/>
          <c:showVal val="0"/>
          <c:showCatName val="0"/>
          <c:showSerName val="0"/>
          <c:showPercent val="0"/>
          <c:showBubbleSize val="0"/>
        </c:dLbls>
        <c:gapWidth val="219"/>
        <c:overlap val="-27"/>
        <c:axId val="999778173"/>
        <c:axId val="932399846"/>
      </c:barChart>
      <c:catAx>
        <c:axId val="99977817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2399846"/>
        <c:crosses val="autoZero"/>
        <c:auto val="1"/>
        <c:lblAlgn val="ctr"/>
        <c:lblOffset val="100"/>
        <c:noMultiLvlLbl val="0"/>
      </c:catAx>
      <c:valAx>
        <c:axId val="93239984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977817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solidFill>
              <a:schemeClr val="accent2"/>
            </a:solidFill>
            <a:ln>
              <a:noFill/>
            </a:ln>
            <a:effectLst/>
          </c:spPr>
          <c:invertIfNegative val="0"/>
          <c:dPt>
            <c:idx val="0"/>
            <c:invertIfNegative val="0"/>
            <c:bubble3D val="0"/>
            <c:spPr>
              <a:solidFill>
                <a:schemeClr val="accent1"/>
              </a:solidFill>
              <a:ln>
                <a:noFill/>
              </a:ln>
              <a:effectLst/>
            </c:spPr>
          </c:dPt>
          <c:dLbls>
            <c:delete val="1"/>
          </c:dLbls>
          <c:cat>
            <c:strRef>
              <c:f>[工作簿1]Sheet1!$A$4:$A$5</c:f>
              <c:strCache>
                <c:ptCount val="2"/>
                <c:pt idx="0">
                  <c:v>2025年度一般公共预算财政拨款支出</c:v>
                </c:pt>
                <c:pt idx="1">
                  <c:v>2024年度一般公共预算财政拨款支出</c:v>
                </c:pt>
              </c:strCache>
            </c:strRef>
          </c:cat>
          <c:val>
            <c:numRef>
              <c:f>[工作簿1]Sheet1!$B$4:$B$5</c:f>
              <c:numCache>
                <c:formatCode>General</c:formatCode>
                <c:ptCount val="2"/>
                <c:pt idx="0">
                  <c:v>1004.5</c:v>
                </c:pt>
                <c:pt idx="1">
                  <c:v>1121.26</c:v>
                </c:pt>
              </c:numCache>
            </c:numRef>
          </c:val>
        </c:ser>
        <c:dLbls>
          <c:showLegendKey val="0"/>
          <c:showVal val="0"/>
          <c:showCatName val="0"/>
          <c:showSerName val="0"/>
          <c:showPercent val="0"/>
          <c:showBubbleSize val="0"/>
        </c:dLbls>
        <c:gapWidth val="219"/>
        <c:overlap val="-27"/>
        <c:axId val="999778173"/>
        <c:axId val="932399846"/>
      </c:barChart>
      <c:catAx>
        <c:axId val="99977817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32399846"/>
        <c:crosses val="autoZero"/>
        <c:auto val="1"/>
        <c:lblAlgn val="ctr"/>
        <c:lblOffset val="100"/>
        <c:noMultiLvlLbl val="0"/>
      </c:catAx>
      <c:valAx>
        <c:axId val="93239984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977817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Pt>
            <c:idx val="8"/>
            <c:bubble3D val="0"/>
            <c:spPr>
              <a:solidFill>
                <a:schemeClr val="accent3">
                  <a:lumMod val="60000"/>
                </a:schemeClr>
              </a:solidFill>
              <a:ln>
                <a:solidFill>
                  <a:schemeClr val="bg1"/>
                </a:solidFill>
              </a:ln>
              <a:effectLst/>
            </c:spPr>
          </c:dPt>
          <c:dLbls>
            <c:dLbl>
              <c:idx val="2"/>
              <c:layout>
                <c:manualLayout>
                  <c:x val="-0.00500724733166425"/>
                  <c:y val="0.0505883544092838"/>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3"/>
              <c:layout>
                <c:manualLayout>
                  <c:x val="0.1488997232837"/>
                  <c:y val="0.00217085146673579"/>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dLbl>
              <c:idx val="4"/>
              <c:layout>
                <c:manualLayout>
                  <c:x val="-0.00935564633021478"/>
                  <c:y val="-0.0193473193473193"/>
                </c:manualLayout>
              </c:layout>
              <c:dLblPos val="bestFit"/>
              <c:showLegendKey val="0"/>
              <c:showVal val="0"/>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0"/>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[工作簿1]Sheet1!$C$4:$C$12</c:f>
              <c:strCache>
                <c:ptCount val="9"/>
                <c:pt idx="0">
                  <c:v>一般公共服务支出</c:v>
                </c:pt>
                <c:pt idx="1">
                  <c:v>教育支出</c:v>
                </c:pt>
                <c:pt idx="2">
                  <c:v>科学技术支出</c:v>
                </c:pt>
                <c:pt idx="3">
                  <c:v>文化旅游体育与传媒支出</c:v>
                </c:pt>
                <c:pt idx="4">
                  <c:v>社会保障和就业支出</c:v>
                </c:pt>
                <c:pt idx="5">
                  <c:v>卫生健康支出</c:v>
                </c:pt>
                <c:pt idx="6">
                  <c:v>住房保障支出</c:v>
                </c:pt>
                <c:pt idx="7">
                  <c:v>交通运输支出</c:v>
                </c:pt>
                <c:pt idx="8">
                  <c:v>农林水支出</c:v>
                </c:pt>
              </c:strCache>
            </c:strRef>
          </c:cat>
          <c:val>
            <c:numRef>
              <c:f>[工作簿1]Sheet1!$D$4:$D$12</c:f>
              <c:numCache>
                <c:formatCode>General</c:formatCode>
                <c:ptCount val="9"/>
                <c:pt idx="0">
                  <c:v>605.66</c:v>
                </c:pt>
                <c:pt idx="1">
                  <c:v>0</c:v>
                </c:pt>
                <c:pt idx="2">
                  <c:v>0</c:v>
                </c:pt>
                <c:pt idx="3">
                  <c:v>5</c:v>
                </c:pt>
                <c:pt idx="4">
                  <c:v>112.73</c:v>
                </c:pt>
                <c:pt idx="5">
                  <c:v>18.33</c:v>
                </c:pt>
                <c:pt idx="6">
                  <c:v>46.91</c:v>
                </c:pt>
                <c:pt idx="7">
                  <c:v>5</c:v>
                </c:pt>
                <c:pt idx="8">
                  <c:v>210.87</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[工作簿1]Sheet1!$C$4:$C$6</c:f>
              <c:strCache>
                <c:ptCount val="3"/>
                <c:pt idx="0">
                  <c:v>因公出国（境）费支出</c:v>
                </c:pt>
                <c:pt idx="1">
                  <c:v>公务用车购置及运行维护费支出</c:v>
                </c:pt>
                <c:pt idx="2">
                  <c:v>公务接待费支出</c:v>
                </c:pt>
              </c:strCache>
            </c:strRef>
          </c:cat>
          <c:val>
            <c:numRef>
              <c:f>[工作簿1]Sheet1!$D$4:$D$6</c:f>
              <c:numCache>
                <c:formatCode>General</c:formatCode>
                <c:ptCount val="3"/>
                <c:pt idx="0">
                  <c:v>0</c:v>
                </c:pt>
                <c:pt idx="1">
                  <c:v>0</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32</Pages>
  <Words>7917</Words>
  <Characters>8454</Characters>
  <Lines>61</Lines>
  <Paragraphs>17</Paragraphs>
  <TotalTime>195</TotalTime>
  <ScaleCrop>false</ScaleCrop>
  <LinksUpToDate>false</LinksUpToDate>
  <CharactersWithSpaces>8477</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Administrator</cp:lastModifiedBy>
  <cp:lastPrinted>2026-08-03T09:27:00Z</cp:lastPrinted>
  <dcterms:modified xsi:type="dcterms:W3CDTF">2026-10-22T06:35:50Z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400D301575C74348A5277D00A7902E06</vt:lpwstr>
  </property>
  <property fmtid="{D5CDD505-2E9C-101B-9397-08002B2CF9AE}" pid="4" name="KSOTemplateDocerSaveRecord">
    <vt:lpwstr>eyJoZGlkIjoiNWJlYzY3ZTk3M2VjNTUzMGRiNWE3YzJiNTJlMWRmYWUiLCJ1c2VySWQiOiIxNDc5MTQ2MzQ2In0=</vt:lpwstr>
  </property>
</Properties>
</file>