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82BA5">
      <w:pPr>
        <w:spacing w:line="600" w:lineRule="exact"/>
        <w:jc w:val="center"/>
        <w:outlineLvl w:val="0"/>
        <w:rPr>
          <w:rFonts w:ascii="方正小标宋简体" w:hAnsi="宋体" w:eastAsia="方正小标宋简体"/>
          <w:color w:val="auto"/>
          <w:sz w:val="72"/>
          <w:szCs w:val="72"/>
          <w:highlight w:val="none"/>
        </w:rPr>
      </w:pPr>
      <w:bookmarkStart w:id="0" w:name="_Toc15396475"/>
      <w:bookmarkStart w:id="1" w:name="_Toc15396597"/>
      <w:bookmarkStart w:id="2" w:name="_Toc15377193"/>
      <w:bookmarkStart w:id="3" w:name="_Toc15377425"/>
      <w:bookmarkStart w:id="4" w:name="_Toc15378441"/>
      <w:bookmarkStart w:id="5" w:name="_Toc15306267"/>
    </w:p>
    <w:p w14:paraId="6A7BF9B7">
      <w:pPr>
        <w:spacing w:line="600" w:lineRule="exact"/>
        <w:jc w:val="center"/>
        <w:outlineLvl w:val="0"/>
        <w:rPr>
          <w:rFonts w:ascii="方正小标宋简体" w:hAnsi="宋体" w:eastAsia="方正小标宋简体"/>
          <w:color w:val="auto"/>
          <w:sz w:val="72"/>
          <w:szCs w:val="72"/>
          <w:highlight w:val="none"/>
        </w:rPr>
      </w:pPr>
    </w:p>
    <w:p w14:paraId="4C5D228B">
      <w:pPr>
        <w:spacing w:line="600" w:lineRule="exact"/>
        <w:jc w:val="center"/>
        <w:outlineLvl w:val="0"/>
        <w:rPr>
          <w:rFonts w:ascii="方正小标宋简体" w:hAnsi="宋体" w:eastAsia="方正小标宋简体"/>
          <w:color w:val="auto"/>
          <w:sz w:val="72"/>
          <w:szCs w:val="72"/>
          <w:highlight w:val="none"/>
        </w:rPr>
      </w:pPr>
    </w:p>
    <w:bookmarkEnd w:id="0"/>
    <w:bookmarkEnd w:id="1"/>
    <w:bookmarkEnd w:id="2"/>
    <w:bookmarkEnd w:id="3"/>
    <w:bookmarkEnd w:id="4"/>
    <w:bookmarkEnd w:id="5"/>
    <w:p w14:paraId="1A73A18F">
      <w:pPr>
        <w:adjustRightInd w:val="0"/>
        <w:snapToGrid w:val="0"/>
        <w:spacing w:line="360" w:lineRule="auto"/>
        <w:jc w:val="center"/>
        <w:outlineLvl w:val="0"/>
        <w:rPr>
          <w:rFonts w:hint="eastAsia" w:ascii="方正小标宋简体" w:hAnsi="宋体" w:eastAsia="方正小标宋简体"/>
          <w:color w:val="000000"/>
          <w:sz w:val="48"/>
          <w:szCs w:val="48"/>
          <w:lang w:eastAsia="zh-CN"/>
        </w:rPr>
      </w:pPr>
      <w:bookmarkStart w:id="6" w:name="_Toc15378442"/>
      <w:bookmarkStart w:id="7" w:name="_Toc15396476"/>
      <w:bookmarkStart w:id="8" w:name="_Toc15377194"/>
      <w:bookmarkStart w:id="9" w:name="_Toc15306268"/>
      <w:bookmarkStart w:id="10" w:name="_Toc15396598"/>
      <w:bookmarkStart w:id="11" w:name="_Toc15377426"/>
    </w:p>
    <w:p w14:paraId="5E7A082F">
      <w:pPr>
        <w:adjustRightInd w:val="0"/>
        <w:snapToGrid w:val="0"/>
        <w:spacing w:line="360" w:lineRule="auto"/>
        <w:jc w:val="center"/>
        <w:outlineLvl w:val="0"/>
        <w:rPr>
          <w:rFonts w:hint="eastAsia" w:ascii="方正小标宋简体" w:hAnsi="宋体" w:eastAsia="方正小标宋简体"/>
          <w:color w:val="000000"/>
          <w:sz w:val="48"/>
          <w:szCs w:val="48"/>
          <w:lang w:eastAsia="zh-CN"/>
        </w:rPr>
      </w:pPr>
    </w:p>
    <w:p w14:paraId="064967E5">
      <w:pPr>
        <w:adjustRightInd w:val="0"/>
        <w:snapToGrid w:val="0"/>
        <w:spacing w:line="360" w:lineRule="auto"/>
        <w:jc w:val="center"/>
        <w:outlineLvl w:val="0"/>
        <w:rPr>
          <w:rFonts w:hint="eastAsia" w:ascii="方正小标宋简体" w:hAnsi="宋体" w:eastAsia="方正小标宋简体"/>
          <w:color w:val="000000"/>
          <w:sz w:val="48"/>
          <w:szCs w:val="48"/>
          <w:lang w:eastAsia="zh-CN"/>
        </w:rPr>
      </w:pPr>
      <w:r>
        <w:rPr>
          <w:rFonts w:hint="eastAsia" w:ascii="方正小标宋简体" w:hAnsi="宋体" w:eastAsia="方正小标宋简体"/>
          <w:color w:val="000000"/>
          <w:sz w:val="48"/>
          <w:szCs w:val="48"/>
          <w:lang w:eastAsia="zh-CN"/>
        </w:rPr>
        <w:t>马边彝族自治县</w:t>
      </w:r>
    </w:p>
    <w:p w14:paraId="47F226B3">
      <w:pPr>
        <w:adjustRightInd w:val="0"/>
        <w:snapToGrid w:val="0"/>
        <w:spacing w:line="360" w:lineRule="auto"/>
        <w:jc w:val="center"/>
        <w:outlineLvl w:val="0"/>
        <w:rPr>
          <w:rFonts w:hint="eastAsia" w:ascii="方正小标宋简体" w:hAnsi="宋体" w:eastAsia="方正小标宋简体"/>
          <w:color w:val="000000"/>
          <w:sz w:val="48"/>
          <w:szCs w:val="48"/>
          <w:lang w:eastAsia="zh-CN"/>
        </w:rPr>
      </w:pPr>
      <w:r>
        <w:rPr>
          <w:rFonts w:hint="eastAsia" w:ascii="方正小标宋简体" w:hAnsi="宋体" w:eastAsia="方正小标宋简体"/>
          <w:color w:val="000000"/>
          <w:sz w:val="48"/>
          <w:szCs w:val="48"/>
          <w:lang w:eastAsia="zh-CN"/>
        </w:rPr>
        <w:t>粮食和物资储备中心</w:t>
      </w:r>
    </w:p>
    <w:p w14:paraId="3CDE1389">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48"/>
          <w:szCs w:val="48"/>
          <w:highlight w:val="none"/>
          <w:lang w:eastAsia="zh-CN"/>
        </w:rPr>
        <w:t>202</w:t>
      </w:r>
      <w:r>
        <w:rPr>
          <w:rFonts w:hint="eastAsia" w:ascii="方正小标宋简体" w:hAnsi="方正小标宋简体" w:eastAsia="方正小标宋简体" w:cs="方正小标宋简体"/>
          <w:color w:val="auto"/>
          <w:sz w:val="48"/>
          <w:szCs w:val="48"/>
          <w:highlight w:val="none"/>
          <w:lang w:val="en-US" w:eastAsia="zh-CN"/>
        </w:rPr>
        <w:t>5</w:t>
      </w:r>
      <w:r>
        <w:rPr>
          <w:rFonts w:hint="eastAsia" w:ascii="方正小标宋简体" w:hAnsi="方正小标宋简体" w:eastAsia="方正小标宋简体" w:cs="方正小标宋简体"/>
          <w:color w:val="auto"/>
          <w:sz w:val="48"/>
          <w:szCs w:val="48"/>
          <w:highlight w:val="none"/>
        </w:rPr>
        <w:t>年度部门决算</w:t>
      </w:r>
      <w:bookmarkEnd w:id="6"/>
      <w:bookmarkEnd w:id="7"/>
      <w:bookmarkEnd w:id="8"/>
      <w:bookmarkEnd w:id="9"/>
      <w:bookmarkEnd w:id="10"/>
      <w:bookmarkEnd w:id="11"/>
    </w:p>
    <w:p w14:paraId="7286E2B5">
      <w:pPr>
        <w:adjustRightInd w:val="0"/>
        <w:snapToGrid w:val="0"/>
        <w:spacing w:line="360" w:lineRule="auto"/>
        <w:jc w:val="center"/>
        <w:outlineLvl w:val="0"/>
        <w:rPr>
          <w:rFonts w:ascii="方正小标宋简体" w:hAnsi="宋体" w:eastAsia="方正小标宋简体"/>
          <w:color w:val="auto"/>
          <w:sz w:val="52"/>
          <w:szCs w:val="52"/>
          <w:highlight w:val="none"/>
        </w:rPr>
      </w:pPr>
    </w:p>
    <w:p w14:paraId="2CC1DE18">
      <w:pPr>
        <w:keepNext w:val="0"/>
        <w:keepLines w:val="0"/>
        <w:pageBreakBefore w:val="0"/>
        <w:widowControl/>
        <w:kinsoku/>
        <w:wordWrap/>
        <w:overflowPunct/>
        <w:topLinePunct w:val="0"/>
        <w:autoSpaceDE/>
        <w:autoSpaceDN/>
        <w:bidi w:val="0"/>
        <w:spacing w:line="700" w:lineRule="exact"/>
        <w:jc w:val="center"/>
        <w:textAlignment w:val="auto"/>
        <w:rPr>
          <w:rFonts w:ascii="黑体" w:hAnsi="黑体" w:eastAsia="黑体"/>
          <w:sz w:val="48"/>
          <w:szCs w:val="48"/>
        </w:rPr>
      </w:pPr>
      <w:r>
        <w:rPr>
          <w:rFonts w:ascii="方正小标宋简体" w:hAnsi="宋体" w:eastAsia="方正小标宋简体"/>
          <w:color w:val="auto"/>
          <w:sz w:val="36"/>
          <w:szCs w:val="36"/>
          <w:highlight w:val="none"/>
        </w:rPr>
        <w:br w:type="page"/>
      </w:r>
      <w:bookmarkStart w:id="12" w:name="_Toc15396599"/>
      <w:bookmarkStart w:id="13" w:name="_Toc15377196"/>
      <w:r>
        <w:rPr>
          <w:rFonts w:hint="eastAsia" w:ascii="黑体" w:hAnsi="黑体" w:eastAsia="黑体"/>
          <w:sz w:val="48"/>
          <w:szCs w:val="48"/>
        </w:rPr>
        <w:t>目录</w:t>
      </w:r>
    </w:p>
    <w:p w14:paraId="17A6CD89">
      <w:pPr>
        <w:pageBreakBefore w:val="0"/>
        <w:widowControl/>
        <w:kinsoku/>
        <w:wordWrap/>
        <w:topLinePunct w:val="0"/>
        <w:bidi w:val="0"/>
        <w:spacing w:line="600" w:lineRule="exact"/>
        <w:jc w:val="center"/>
        <w:rPr>
          <w:rFonts w:ascii="黑体" w:hAnsi="黑体" w:eastAsia="黑体"/>
          <w:sz w:val="28"/>
          <w:szCs w:val="28"/>
        </w:rPr>
      </w:pPr>
    </w:p>
    <w:p w14:paraId="5A3DEB7A">
      <w:pPr>
        <w:pStyle w:val="12"/>
        <w:pageBreakBefore w:val="0"/>
        <w:kinsoku/>
        <w:wordWrap/>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p w14:paraId="54F25E57">
      <w:pPr>
        <w:pageBreakBefore w:val="0"/>
        <w:kinsoku/>
        <w:wordWrap/>
        <w:topLinePunct w:val="0"/>
        <w:bidi w:val="0"/>
        <w:spacing w:line="600" w:lineRule="exact"/>
        <w:rPr>
          <w:rFonts w:hint="eastAsia" w:ascii="仿宋_GB2312" w:hAnsi="仿宋_GB2312" w:eastAsia="仿宋_GB2312" w:cs="仿宋_GB2312"/>
          <w:sz w:val="32"/>
          <w:szCs w:val="32"/>
        </w:rPr>
      </w:pPr>
    </w:p>
    <w:p w14:paraId="31A552CB">
      <w:pPr>
        <w:pStyle w:val="12"/>
        <w:keepNext w:val="0"/>
        <w:keepLines w:val="0"/>
        <w:pageBreakBefore w:val="0"/>
        <w:widowControl w:val="0"/>
        <w:tabs>
          <w:tab w:val="right" w:leader="dot" w:pos="7980"/>
        </w:tabs>
        <w:kinsoku/>
        <w:wordWrap/>
        <w:overflowPunct/>
        <w:topLinePunct w:val="0"/>
        <w:autoSpaceDE/>
        <w:autoSpaceDN/>
        <w:bidi w:val="0"/>
        <w:adjustRightInd w:val="0"/>
        <w:snapToGrid w:val="0"/>
        <w:spacing w:before="0"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第一部分部门概况</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4</w:t>
      </w:r>
    </w:p>
    <w:p w14:paraId="788F6ECB">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一、部门职责</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4</w:t>
      </w:r>
    </w:p>
    <w:p w14:paraId="6AF58368">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二、机构设置</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8</w:t>
      </w:r>
    </w:p>
    <w:p w14:paraId="3233BF97">
      <w:pPr>
        <w:pStyle w:val="12"/>
        <w:keepNext w:val="0"/>
        <w:keepLines w:val="0"/>
        <w:pageBreakBefore w:val="0"/>
        <w:widowControl w:val="0"/>
        <w:tabs>
          <w:tab w:val="right" w:leader="dot" w:pos="7980"/>
        </w:tabs>
        <w:kinsoku/>
        <w:wordWrap/>
        <w:overflowPunct/>
        <w:topLinePunct w:val="0"/>
        <w:autoSpaceDE/>
        <w:autoSpaceDN/>
        <w:bidi w:val="0"/>
        <w:adjustRightInd w:val="0"/>
        <w:snapToGrid w:val="0"/>
        <w:spacing w:before="0"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第二部分 </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年度部门决算情况说明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9</w:t>
      </w:r>
    </w:p>
    <w:p w14:paraId="34EAE105">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一、收入支出决算总体情况说明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9</w:t>
      </w:r>
    </w:p>
    <w:p w14:paraId="3A2E3D01">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9</w:t>
      </w:r>
    </w:p>
    <w:p w14:paraId="0290E334">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10</w:t>
      </w:r>
    </w:p>
    <w:p w14:paraId="7901DEF2">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四、财政拨款收入支出决算总体情况说明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11</w:t>
      </w:r>
    </w:p>
    <w:p w14:paraId="42C76782">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五、一般公共预算财政拨款支出决算情况说明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11</w:t>
      </w:r>
    </w:p>
    <w:p w14:paraId="0444D2DD">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14</w:t>
      </w:r>
    </w:p>
    <w:p w14:paraId="2C7BBD5E">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七、财政拨款“三公”经费支出决算情况说明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15</w:t>
      </w:r>
    </w:p>
    <w:p w14:paraId="2BBF6028">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16</w:t>
      </w:r>
    </w:p>
    <w:p w14:paraId="06BF5FF0">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ind w:leftChars="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九、国有资本经营预算支出决算情况说明</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17</w:t>
      </w:r>
    </w:p>
    <w:p w14:paraId="48FE4B2B">
      <w:pPr>
        <w:keepNext w:val="0"/>
        <w:keepLines w:val="0"/>
        <w:pageBreakBefore w:val="0"/>
        <w:widowControl w:val="0"/>
        <w:tabs>
          <w:tab w:val="right" w:leader="dot" w:pos="7980"/>
          <w:tab w:val="right" w:leader="dot" w:pos="8296"/>
        </w:tabs>
        <w:kinsoku/>
        <w:wordWrap/>
        <w:overflowPunct/>
        <w:topLinePunct w:val="0"/>
        <w:autoSpaceDE/>
        <w:autoSpaceDN/>
        <w:bidi w:val="0"/>
        <w:adjustRightInd w:val="0"/>
        <w:snapToGrid w:val="0"/>
        <w:spacing w:line="600" w:lineRule="exact"/>
        <w:ind w:firstLine="560" w:firstLineChars="175"/>
        <w:jc w:val="left"/>
        <w:textAlignment w:val="auto"/>
        <w:rPr>
          <w:rFonts w:hint="default" w:ascii="仿宋_GB2312" w:hAnsi="仿宋_GB2312" w:eastAsia="仿宋_GB2312" w:cs="仿宋_GB2312"/>
          <w:sz w:val="32"/>
          <w:szCs w:val="32"/>
          <w:lang w:val="en-US" w:eastAsia="zh-CN"/>
        </w:rPr>
      </w:pPr>
      <w:r>
        <w:rPr>
          <w:rStyle w:val="20"/>
          <w:rFonts w:hint="eastAsia" w:ascii="仿宋_GB2312" w:hAnsi="仿宋_GB2312" w:eastAsia="仿宋_GB2312" w:cs="仿宋_GB2312"/>
          <w:color w:val="auto"/>
          <w:sz w:val="32"/>
          <w:szCs w:val="32"/>
          <w:u w:val="none"/>
        </w:rPr>
        <w:t>十、</w:t>
      </w:r>
      <w:r>
        <w:rPr>
          <w:rFonts w:hint="eastAsia" w:ascii="仿宋_GB2312" w:hAnsi="仿宋_GB2312" w:eastAsia="仿宋_GB2312" w:cs="仿宋_GB2312"/>
          <w:sz w:val="32"/>
          <w:szCs w:val="32"/>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17</w:t>
      </w:r>
    </w:p>
    <w:p w14:paraId="20354B2A">
      <w:pPr>
        <w:pStyle w:val="12"/>
        <w:keepNext w:val="0"/>
        <w:keepLines w:val="0"/>
        <w:pageBreakBefore w:val="0"/>
        <w:widowControl w:val="0"/>
        <w:tabs>
          <w:tab w:val="right" w:leader="dot" w:pos="7980"/>
        </w:tabs>
        <w:kinsoku/>
        <w:wordWrap/>
        <w:overflowPunct/>
        <w:topLinePunct w:val="0"/>
        <w:autoSpaceDE/>
        <w:autoSpaceDN/>
        <w:bidi w:val="0"/>
        <w:adjustRightInd w:val="0"/>
        <w:snapToGrid w:val="0"/>
        <w:spacing w:before="0"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第三部分名词解释</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19</w:t>
      </w:r>
    </w:p>
    <w:p w14:paraId="59902852">
      <w:pPr>
        <w:pStyle w:val="12"/>
        <w:keepNext w:val="0"/>
        <w:keepLines w:val="0"/>
        <w:pageBreakBefore w:val="0"/>
        <w:widowControl w:val="0"/>
        <w:tabs>
          <w:tab w:val="right" w:leader="dot" w:pos="7980"/>
        </w:tabs>
        <w:kinsoku/>
        <w:wordWrap/>
        <w:overflowPunct/>
        <w:topLinePunct w:val="0"/>
        <w:autoSpaceDE/>
        <w:autoSpaceDN/>
        <w:bidi w:val="0"/>
        <w:adjustRightInd w:val="0"/>
        <w:snapToGrid w:val="0"/>
        <w:spacing w:before="0"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第四部分附件</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21</w:t>
      </w:r>
    </w:p>
    <w:p w14:paraId="1593538D">
      <w:pPr>
        <w:pStyle w:val="12"/>
        <w:keepNext w:val="0"/>
        <w:keepLines w:val="0"/>
        <w:pageBreakBefore w:val="0"/>
        <w:widowControl w:val="0"/>
        <w:tabs>
          <w:tab w:val="right" w:leader="dot" w:pos="7980"/>
        </w:tabs>
        <w:kinsoku/>
        <w:wordWrap/>
        <w:overflowPunct/>
        <w:topLinePunct w:val="0"/>
        <w:autoSpaceDE/>
        <w:autoSpaceDN/>
        <w:bidi w:val="0"/>
        <w:adjustRightInd w:val="0"/>
        <w:snapToGrid w:val="0"/>
        <w:spacing w:before="0"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第五部分附表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6D547137">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2AC98EA0">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6B70312C">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274A5267">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0144F047">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23926CB9">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470ABB92">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4B2E4741">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八、一般公共预算财政拨款基本支出决算明细表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6EC7B4B4">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595EA09D">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417D1251">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十一、国有资本经营预算财政拨款收入支出决算表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2FF8F1C5">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十二、国有资本经营预算财政拨款支出决算表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4E73364B">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十三、财政拨款“三公”经费支出决算表</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31</w:t>
      </w:r>
    </w:p>
    <w:p w14:paraId="4D901B7A">
      <w:pPr>
        <w:pStyle w:val="13"/>
        <w:keepNext w:val="0"/>
        <w:keepLines w:val="0"/>
        <w:pageBreakBefore w:val="0"/>
        <w:widowControl w:val="0"/>
        <w:tabs>
          <w:tab w:val="right" w:leader="dot" w:pos="7980"/>
        </w:tabs>
        <w:kinsoku/>
        <w:wordWrap/>
        <w:overflowPunct/>
        <w:topLinePunct w:val="0"/>
        <w:autoSpaceDE/>
        <w:autoSpaceDN/>
        <w:bidi w:val="0"/>
        <w:adjustRightInd w:val="0"/>
        <w:snapToGrid w:val="0"/>
        <w:spacing w:line="600" w:lineRule="exact"/>
        <w:ind w:left="0" w:leftChars="0" w:firstLine="0" w:firstLineChars="0"/>
        <w:jc w:val="left"/>
        <w:textAlignment w:val="auto"/>
        <w:rPr>
          <w:rFonts w:ascii="仿宋" w:hAnsi="仿宋" w:eastAsia="仿宋"/>
          <w:bCs/>
          <w:kern w:val="44"/>
          <w:sz w:val="24"/>
        </w:rPr>
      </w:pPr>
    </w:p>
    <w:p w14:paraId="1C87D472">
      <w:pPr>
        <w:widowControl/>
        <w:spacing w:line="440" w:lineRule="exact"/>
        <w:jc w:val="left"/>
        <w:rPr>
          <w:rFonts w:ascii="仿宋" w:hAnsi="仿宋" w:eastAsia="仿宋"/>
          <w:bCs/>
          <w:color w:val="auto"/>
          <w:kern w:val="44"/>
          <w:sz w:val="24"/>
          <w:highlight w:val="none"/>
        </w:rPr>
      </w:pPr>
    </w:p>
    <w:p w14:paraId="5C2D5AA6">
      <w:pPr>
        <w:rPr>
          <w:rFonts w:hint="eastAsia" w:ascii="黑体" w:hAnsi="黑体" w:eastAsia="黑体"/>
          <w:b w:val="0"/>
          <w:color w:val="auto"/>
          <w:highlight w:val="none"/>
        </w:rPr>
      </w:pPr>
      <w:r>
        <w:rPr>
          <w:rFonts w:hint="eastAsia" w:ascii="黑体" w:hAnsi="黑体" w:eastAsia="黑体"/>
          <w:b w:val="0"/>
          <w:color w:val="auto"/>
          <w:highlight w:val="none"/>
        </w:rPr>
        <w:br w:type="page"/>
      </w:r>
    </w:p>
    <w:p w14:paraId="08F83A71">
      <w:pPr>
        <w:pStyle w:val="4"/>
        <w:jc w:val="center"/>
        <w:rPr>
          <w:rStyle w:val="30"/>
          <w:rFonts w:ascii="黑体" w:hAnsi="黑体" w:eastAsia="黑体"/>
          <w:b/>
          <w:bCs w:val="0"/>
          <w:color w:val="auto"/>
          <w:highlight w:val="none"/>
        </w:rPr>
      </w:pPr>
      <w:r>
        <w:rPr>
          <w:rFonts w:hint="eastAsia" w:ascii="黑体" w:hAnsi="黑体" w:eastAsia="黑体"/>
          <w:b w:val="0"/>
          <w:color w:val="auto"/>
          <w:highlight w:val="none"/>
        </w:rPr>
        <w:t xml:space="preserve">第一部分 </w:t>
      </w:r>
      <w:r>
        <w:rPr>
          <w:rStyle w:val="30"/>
          <w:rFonts w:hint="eastAsia" w:ascii="黑体" w:hAnsi="黑体" w:eastAsia="黑体"/>
          <w:b w:val="0"/>
          <w:bCs w:val="0"/>
          <w:color w:val="auto"/>
          <w:highlight w:val="none"/>
        </w:rPr>
        <w:t>部门概况</w:t>
      </w:r>
      <w:bookmarkEnd w:id="12"/>
      <w:bookmarkEnd w:id="13"/>
    </w:p>
    <w:p w14:paraId="0FC0CA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0CB034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一、部门职责</w:t>
      </w:r>
    </w:p>
    <w:p w14:paraId="2F3E9729">
      <w:pPr>
        <w:snapToGrid w:val="0"/>
        <w:spacing w:line="520" w:lineRule="exact"/>
        <w:ind w:firstLine="643" w:firstLineChars="200"/>
        <w:rPr>
          <w:rFonts w:hint="eastAsia" w:ascii="楷体_GB2312" w:hAnsi="楷体_GB2312" w:eastAsia="楷体_GB2312" w:cs="楷体_GB2312"/>
          <w:color w:val="000000"/>
          <w:sz w:val="32"/>
          <w:szCs w:val="32"/>
        </w:rPr>
      </w:pPr>
      <w:bookmarkStart w:id="14" w:name="_Toc15396601"/>
      <w:bookmarkStart w:id="15" w:name="_Toc15377200"/>
      <w:r>
        <w:rPr>
          <w:rFonts w:hint="eastAsia" w:ascii="楷体_GB2312" w:hAnsi="仿宋" w:eastAsia="楷体_GB2312"/>
          <w:b/>
          <w:sz w:val="32"/>
          <w:szCs w:val="32"/>
        </w:rPr>
        <w:t>（一）基本情况。</w:t>
      </w:r>
    </w:p>
    <w:p w14:paraId="7CDFBC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主要职能</w:t>
      </w:r>
    </w:p>
    <w:p w14:paraId="54B74D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zh-CN"/>
        </w:rPr>
        <w:t>）贯彻执行国家和省、市粮食流通和粮油储备的方针、政策和法规；按照国家有关政策和省、市、自治县政府的统一部署，拟定全县粮食流通体制改革和粮食流通管理实施意见和办法，并组织实施。</w:t>
      </w:r>
    </w:p>
    <w:p w14:paraId="71D2C7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zh-CN"/>
        </w:rPr>
        <w:t xml:space="preserve">）负责全县粮食总量平衡，宏观调控和重要粮食品种的结构调整以及粮食流通行业的中长期发展规划；负责全县粮食流通的行业指导、督促有关粮食流通的法律、法规、政策及各项规章制度的执行。 </w:t>
      </w:r>
    </w:p>
    <w:p w14:paraId="4CA905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val="zh-CN"/>
        </w:rPr>
        <w:t xml:space="preserve">）负责根据国家储备总体发展规划和品种目录，贯彻落实实施全县战略和应急储备物资的收储、轮换和日常管理；研究提出县级储备粮的收储和动用意见，提出启动粮食应急预案的建议，并参与组织实施；负责全县社会粮食供需平衡调查和粮食余缺调剂，组织指导全县粮食系统统计工作；负责县级储备粮的库存、质量及安全的各项管理。 </w:t>
      </w:r>
    </w:p>
    <w:p w14:paraId="3474A7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val="zh-CN"/>
        </w:rPr>
        <w:t xml:space="preserve">）负责全县粮食收购、储存、运输、加工、转化等环节和政策性用粮质量安全；负责库存原粮卫生管理，协助相关职能部门管理好成品粮及酿造、饲料用粮；负责粮食系统安全生产和抢险救灾，指导全县农村科学储粮工作；负责编制全县粮食流通及仓储、加工设施的建设规划，指导协调粮食仓储体系建设；配合有关部门落实国家粮食仓储、流通设施建设资金。 </w:t>
      </w:r>
    </w:p>
    <w:p w14:paraId="5006E7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val="zh-CN"/>
        </w:rPr>
        <w:t xml:space="preserve">）负责贯彻国家军粮供应政策，制订具体落实办法，切实保障武警部队粮油供给；指导本地区的粮油销售，做好救灾救助和特需粮油供应工作；安排重点建设项目的粮食供应。 </w:t>
      </w:r>
    </w:p>
    <w:p w14:paraId="7073A3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lang w:val="zh-CN"/>
        </w:rPr>
        <w:t xml:space="preserve">）根据国家和省、市《粮油仓储设施管理办法》，拟定全县粮食仓储、加工和物流体系建设规划并组织实施并指导粮食批发市场建设；指导粮食企业科技进步、技术改造和新技术推广应用。 </w:t>
      </w:r>
    </w:p>
    <w:p w14:paraId="44BED6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lang w:val="zh-CN"/>
        </w:rPr>
        <w:t>）承担培育、发展和完善粮食市场体系，协助行政职能部门维护正常的粮食流通秩序；协助农业、物价、统计等部门对全县粮食市场供求形势进行监测和预警分析。</w:t>
      </w:r>
    </w:p>
    <w:p w14:paraId="103744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lang w:val="zh-CN"/>
        </w:rPr>
        <w:t>）承担职责范围内的安全生产和职业健康、生态环境保护等工作。</w:t>
      </w:r>
    </w:p>
    <w:p w14:paraId="122F4D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承担县政府公布的有关行政审批事项。</w:t>
      </w:r>
    </w:p>
    <w:p w14:paraId="061A77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（10）职责调整：将原县粮食局（县粮食和物资储备中心）的行政职责划入县发展改革局。</w:t>
      </w:r>
    </w:p>
    <w:p w14:paraId="319C41E5">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（二）当年取得的主要事业成效。</w:t>
      </w:r>
    </w:p>
    <w:p w14:paraId="663F8E17">
      <w:pPr>
        <w:pStyle w:val="2"/>
        <w:pageBreakBefore w:val="0"/>
        <w:kinsoku/>
        <w:wordWrap/>
        <w:overflowPunct/>
        <w:topLinePunct w:val="0"/>
        <w:bidi w:val="0"/>
        <w:spacing w:line="60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1.</w:t>
      </w:r>
      <w:r>
        <w:rPr>
          <w:rFonts w:hint="eastAsia" w:ascii="楷体" w:hAnsi="楷体" w:eastAsia="楷体" w:cs="楷体"/>
          <w:sz w:val="32"/>
          <w:szCs w:val="32"/>
        </w:rPr>
        <w:t>强化储备能力，夯实</w:t>
      </w:r>
      <w:r>
        <w:rPr>
          <w:rFonts w:hint="eastAsia" w:ascii="楷体" w:hAnsi="楷体" w:eastAsia="楷体" w:cs="楷体"/>
          <w:sz w:val="32"/>
          <w:szCs w:val="32"/>
          <w:lang w:val="en-US" w:eastAsia="zh-CN"/>
        </w:rPr>
        <w:t>粮食</w:t>
      </w:r>
      <w:r>
        <w:rPr>
          <w:rFonts w:hint="eastAsia" w:ascii="楷体" w:hAnsi="楷体" w:eastAsia="楷体" w:cs="楷体"/>
          <w:sz w:val="32"/>
          <w:szCs w:val="32"/>
        </w:rPr>
        <w:t>安全保障</w:t>
      </w:r>
      <w:r>
        <w:rPr>
          <w:rFonts w:hint="eastAsia" w:ascii="楷体" w:hAnsi="楷体" w:eastAsia="楷体" w:cs="楷体"/>
          <w:sz w:val="32"/>
          <w:szCs w:val="32"/>
          <w:lang w:val="en-US" w:eastAsia="zh-CN"/>
        </w:rPr>
        <w:t>基础。</w:t>
      </w:r>
    </w:p>
    <w:p w14:paraId="0B1ECD6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 w:hAnsi="仿宋" w:eastAsia="仿宋" w:cs="仿宋"/>
          <w:kern w:val="0"/>
          <w:sz w:val="32"/>
          <w:szCs w:val="32"/>
          <w:shd w:val="clear" w:color="auto" w:fill="FFFFFF"/>
          <w:lang w:val="en-US" w:eastAsia="zh-CN" w:bidi="ar"/>
        </w:rPr>
      </w:pPr>
      <w:r>
        <w:rPr>
          <w:rFonts w:hint="eastAsia" w:ascii="仿宋" w:hAnsi="仿宋" w:eastAsia="仿宋" w:cs="仿宋"/>
          <w:kern w:val="0"/>
          <w:sz w:val="32"/>
          <w:szCs w:val="32"/>
          <w:shd w:val="clear" w:color="auto" w:fill="FFFFFF"/>
          <w:lang w:val="en-US" w:eastAsia="zh-CN" w:bidi="ar"/>
        </w:rPr>
        <w:t>坚持以习近平总书记关于粮食安全的重要论述为指导思想，坚定扛牢维护粮食安全的政治责任，认真抓好粮食安全党政同责。2025年圆满完成市上下达我县</w:t>
      </w:r>
      <w:r>
        <w:rPr>
          <w:rFonts w:hint="eastAsia" w:ascii="仿宋" w:hAnsi="仿宋" w:eastAsia="仿宋" w:cs="仿宋"/>
          <w:sz w:val="32"/>
          <w:szCs w:val="32"/>
        </w:rPr>
        <w:t>储备粮</w:t>
      </w:r>
      <w:r>
        <w:rPr>
          <w:rFonts w:hint="eastAsia" w:ascii="仿宋" w:hAnsi="仿宋" w:eastAsia="仿宋" w:cs="仿宋"/>
          <w:sz w:val="32"/>
          <w:szCs w:val="32"/>
          <w:lang w:val="en-US" w:eastAsia="zh-CN"/>
        </w:rPr>
        <w:t>储备</w:t>
      </w:r>
      <w:r>
        <w:rPr>
          <w:rFonts w:hint="eastAsia" w:ascii="仿宋" w:hAnsi="仿宋" w:eastAsia="仿宋" w:cs="仿宋"/>
          <w:sz w:val="32"/>
          <w:szCs w:val="32"/>
        </w:rPr>
        <w:t>任务，目前储备规模达</w:t>
      </w:r>
      <w:r>
        <w:rPr>
          <w:rFonts w:hint="eastAsia" w:ascii="仿宋" w:hAnsi="仿宋" w:eastAsia="仿宋" w:cs="仿宋"/>
          <w:sz w:val="32"/>
          <w:szCs w:val="32"/>
          <w:lang w:val="en-US" w:eastAsia="zh-CN"/>
        </w:rPr>
        <w:t>4335</w:t>
      </w:r>
      <w:r>
        <w:rPr>
          <w:rFonts w:hint="eastAsia" w:ascii="仿宋" w:hAnsi="仿宋" w:eastAsia="仿宋" w:cs="仿宋"/>
          <w:sz w:val="32"/>
          <w:szCs w:val="32"/>
        </w:rPr>
        <w:t>吨，其中稻谷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原粮</w:t>
      </w:r>
      <w:r>
        <w:rPr>
          <w:rFonts w:hint="eastAsia" w:ascii="仿宋" w:hAnsi="仿宋" w:eastAsia="仿宋" w:cs="仿宋"/>
          <w:sz w:val="32"/>
          <w:szCs w:val="32"/>
          <w:lang w:eastAsia="zh-CN"/>
        </w:rPr>
        <w:t>）</w:t>
      </w:r>
      <w:r>
        <w:rPr>
          <w:rFonts w:hint="eastAsia" w:ascii="仿宋" w:hAnsi="仿宋" w:eastAsia="仿宋" w:cs="仿宋"/>
          <w:kern w:val="0"/>
          <w:sz w:val="32"/>
          <w:szCs w:val="32"/>
          <w:shd w:val="clear" w:color="auto" w:fill="FFFFFF"/>
          <w:lang w:val="en-US" w:eastAsia="zh-CN" w:bidi="ar"/>
        </w:rPr>
        <w:t>4005吨、成品粮大米300吨、菜籽油30吨。</w:t>
      </w:r>
    </w:p>
    <w:p w14:paraId="763F7E77">
      <w:pPr>
        <w:pStyle w:val="2"/>
        <w:pageBreakBefore w:val="0"/>
        <w:kinsoku/>
        <w:wordWrap/>
        <w:overflowPunct/>
        <w:topLinePunct w:val="0"/>
        <w:bidi w:val="0"/>
        <w:spacing w:line="600" w:lineRule="exact"/>
        <w:textAlignment w:val="auto"/>
        <w:rPr>
          <w:rFonts w:hint="eastAsia" w:ascii="楷体" w:hAnsi="楷体" w:eastAsia="楷体" w:cs="楷体"/>
          <w:sz w:val="32"/>
          <w:szCs w:val="32"/>
          <w:lang w:val="en-US" w:eastAsia="zh-CN"/>
        </w:rPr>
      </w:pPr>
      <w:r>
        <w:rPr>
          <w:rFonts w:hint="eastAsia" w:ascii="楷体" w:hAnsi="楷体" w:eastAsia="楷体" w:cs="楷体"/>
          <w:kern w:val="0"/>
          <w:sz w:val="32"/>
          <w:szCs w:val="32"/>
          <w:shd w:val="clear" w:color="auto" w:fill="FFFFFF"/>
          <w:lang w:val="en-US" w:eastAsia="zh-CN" w:bidi="ar"/>
        </w:rPr>
        <w:t>2.</w:t>
      </w:r>
      <w:r>
        <w:rPr>
          <w:rFonts w:hint="eastAsia" w:ascii="楷体" w:hAnsi="楷体" w:eastAsia="楷体" w:cs="楷体"/>
          <w:sz w:val="32"/>
          <w:szCs w:val="32"/>
          <w:lang w:val="en-US" w:eastAsia="zh-CN"/>
        </w:rPr>
        <w:t>筑牢储备根基，完成储备粮轮换工作。</w:t>
      </w:r>
    </w:p>
    <w:p w14:paraId="0A52CEE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 w:hAnsi="仿宋" w:eastAsia="仿宋" w:cs="仿宋"/>
          <w:kern w:val="0"/>
          <w:sz w:val="32"/>
          <w:szCs w:val="32"/>
          <w:shd w:val="clear" w:color="auto" w:fill="FFFFFF"/>
          <w:lang w:val="en-US" w:eastAsia="zh-CN" w:bidi="ar"/>
        </w:rPr>
      </w:pPr>
      <w:r>
        <w:rPr>
          <w:rFonts w:hint="eastAsia" w:ascii="仿宋" w:hAnsi="仿宋" w:eastAsia="仿宋" w:cs="仿宋"/>
          <w:kern w:val="2"/>
          <w:sz w:val="32"/>
          <w:szCs w:val="32"/>
          <w:lang w:val="en-US" w:eastAsia="zh-CN" w:bidi="ar-SA"/>
        </w:rPr>
        <w:t>开展好储备粮动态轮换工作，于</w:t>
      </w:r>
      <w:r>
        <w:rPr>
          <w:rFonts w:hint="eastAsia" w:ascii="仿宋_GB2312" w:hAnsi="仿宋_GB2312" w:eastAsia="仿宋_GB2312" w:cs="仿宋_GB2312"/>
          <w:b w:val="0"/>
          <w:bCs w:val="0"/>
          <w:kern w:val="0"/>
          <w:sz w:val="32"/>
          <w:szCs w:val="32"/>
          <w:shd w:val="clear" w:color="auto" w:fill="FFFFFF"/>
          <w:lang w:val="en-US" w:eastAsia="zh-CN" w:bidi="ar"/>
        </w:rPr>
        <w:t>2025年1月完成了2800吨原粮（稻谷）轮换验收工作；2025年5月完成300吨大米轮换验收工作</w:t>
      </w:r>
      <w:r>
        <w:rPr>
          <w:rFonts w:hint="eastAsia" w:ascii="仿宋_GB2312" w:hAnsi="仿宋_GB2312" w:cs="仿宋_GB2312"/>
          <w:b w:val="0"/>
          <w:bCs w:val="0"/>
          <w:kern w:val="0"/>
          <w:sz w:val="32"/>
          <w:szCs w:val="32"/>
          <w:shd w:val="clear" w:color="auto" w:fill="FFFFFF"/>
          <w:lang w:val="en-US" w:eastAsia="zh-CN" w:bidi="ar"/>
        </w:rPr>
        <w:t>，11</w:t>
      </w:r>
      <w:r>
        <w:rPr>
          <w:rFonts w:hint="eastAsia" w:ascii="仿宋" w:hAnsi="仿宋" w:eastAsia="仿宋" w:cs="仿宋"/>
          <w:kern w:val="2"/>
          <w:sz w:val="32"/>
          <w:szCs w:val="32"/>
          <w:lang w:val="en-US" w:eastAsia="zh-CN" w:bidi="ar-SA"/>
        </w:rPr>
        <w:t>月完成300吨成品粮大米、</w:t>
      </w:r>
      <w:r>
        <w:rPr>
          <w:rFonts w:hint="eastAsia" w:ascii="仿宋" w:hAnsi="仿宋" w:eastAsia="仿宋" w:cs="仿宋"/>
          <w:kern w:val="0"/>
          <w:sz w:val="32"/>
          <w:szCs w:val="32"/>
          <w:shd w:val="clear" w:color="auto" w:fill="FFFFFF"/>
          <w:lang w:val="en-US" w:eastAsia="zh-CN" w:bidi="ar"/>
        </w:rPr>
        <w:t>30吨菜籽油</w:t>
      </w:r>
      <w:r>
        <w:rPr>
          <w:rFonts w:hint="eastAsia" w:ascii="仿宋" w:hAnsi="仿宋" w:eastAsia="仿宋" w:cs="仿宋"/>
          <w:kern w:val="2"/>
          <w:sz w:val="32"/>
          <w:szCs w:val="32"/>
          <w:lang w:val="en-US" w:eastAsia="zh-CN" w:bidi="ar-SA"/>
        </w:rPr>
        <w:t>轮换工作</w:t>
      </w:r>
      <w:r>
        <w:rPr>
          <w:rFonts w:hint="eastAsia" w:ascii="仿宋" w:hAnsi="仿宋" w:eastAsia="仿宋" w:cs="仿宋"/>
          <w:kern w:val="0"/>
          <w:sz w:val="32"/>
          <w:szCs w:val="32"/>
          <w:shd w:val="clear" w:color="auto" w:fill="FFFFFF"/>
          <w:lang w:val="en-US" w:eastAsia="zh-CN" w:bidi="ar"/>
        </w:rPr>
        <w:t>。确保4005吨原粮、300吨成品粮大米、30吨菜籽油县级储备粮油储备任务，保障我县粮食储备安全。</w:t>
      </w:r>
    </w:p>
    <w:p w14:paraId="1DB9D65B">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3.</w:t>
      </w:r>
      <w:r>
        <w:rPr>
          <w:rFonts w:hint="eastAsia" w:ascii="楷体" w:hAnsi="楷体" w:eastAsia="楷体" w:cs="楷体"/>
          <w:sz w:val="32"/>
          <w:szCs w:val="32"/>
        </w:rPr>
        <w:t>加强</w:t>
      </w:r>
      <w:r>
        <w:rPr>
          <w:rFonts w:hint="eastAsia" w:ascii="楷体" w:hAnsi="楷体" w:eastAsia="楷体" w:cs="楷体"/>
          <w:sz w:val="32"/>
          <w:szCs w:val="32"/>
          <w:lang w:val="en-US" w:eastAsia="zh-CN"/>
        </w:rPr>
        <w:t>粮食安全普法</w:t>
      </w:r>
      <w:r>
        <w:rPr>
          <w:rFonts w:hint="eastAsia" w:ascii="楷体" w:hAnsi="楷体" w:eastAsia="楷体" w:cs="楷体"/>
          <w:sz w:val="32"/>
          <w:szCs w:val="32"/>
        </w:rPr>
        <w:t>宣传</w:t>
      </w:r>
      <w:r>
        <w:rPr>
          <w:rFonts w:hint="eastAsia" w:ascii="楷体" w:hAnsi="楷体" w:eastAsia="楷体" w:cs="楷体"/>
          <w:sz w:val="32"/>
          <w:szCs w:val="32"/>
          <w:lang w:eastAsia="zh-CN"/>
        </w:rPr>
        <w:t>，</w:t>
      </w:r>
      <w:r>
        <w:rPr>
          <w:rFonts w:hint="eastAsia" w:ascii="楷体" w:hAnsi="楷体" w:eastAsia="楷体" w:cs="楷体"/>
          <w:kern w:val="0"/>
          <w:sz w:val="32"/>
          <w:szCs w:val="32"/>
          <w:shd w:val="clear" w:color="auto" w:fill="FFFFFF"/>
          <w:lang w:val="en-US" w:eastAsia="zh-CN" w:bidi="ar"/>
        </w:rPr>
        <w:t>提高知识储备能力。</w:t>
      </w:r>
    </w:p>
    <w:p w14:paraId="3C7179BA">
      <w:pPr>
        <w:pStyle w:val="38"/>
        <w:pageBreakBefore w:val="0"/>
        <w:kinsoku/>
        <w:wordWrap/>
        <w:overflowPunct/>
        <w:topLinePunct w:val="0"/>
        <w:bidi w:val="0"/>
        <w:adjustRightInd w:val="0"/>
        <w:snapToGrid w:val="0"/>
        <w:spacing w:line="600" w:lineRule="exact"/>
        <w:ind w:left="0" w:leftChars="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     充分利用世界粮食日、全国粮食宣传周、安全宣传月等多种形式宣传粮食安全知识，</w:t>
      </w:r>
      <w:r>
        <w:rPr>
          <w:rFonts w:hint="eastAsia" w:ascii="仿宋" w:hAnsi="仿宋" w:eastAsia="仿宋" w:cs="仿宋"/>
          <w:sz w:val="32"/>
          <w:szCs w:val="32"/>
        </w:rPr>
        <w:t>组织人员在粮食购销企业</w:t>
      </w:r>
      <w:r>
        <w:rPr>
          <w:rFonts w:hint="eastAsia" w:ascii="仿宋" w:hAnsi="仿宋" w:eastAsia="仿宋" w:cs="仿宋"/>
          <w:sz w:val="32"/>
          <w:szCs w:val="32"/>
          <w:lang w:val="en-US" w:eastAsia="zh-CN"/>
        </w:rPr>
        <w:t>等</w:t>
      </w:r>
      <w:r>
        <w:rPr>
          <w:rFonts w:hint="eastAsia" w:ascii="仿宋" w:hAnsi="仿宋" w:eastAsia="仿宋" w:cs="仿宋"/>
          <w:sz w:val="32"/>
          <w:szCs w:val="32"/>
        </w:rPr>
        <w:t>张贴《粮食流通管理条例》宣传画，扩大条例宣传力度，提高社会认同度。并向农民朋友宣讲和发放《科学储粮知识与虫害防治方法》宣传单，以增强农民安全储粮意识，做到家喻户晓、人人皆知。在“</w:t>
      </w:r>
      <w:r>
        <w:rPr>
          <w:rFonts w:hint="eastAsia" w:ascii="仿宋" w:hAnsi="仿宋" w:eastAsia="仿宋" w:cs="仿宋"/>
          <w:sz w:val="32"/>
          <w:szCs w:val="32"/>
          <w:lang w:val="en-US" w:eastAsia="zh-CN"/>
        </w:rPr>
        <w:t>转转酒</w:t>
      </w:r>
      <w:r>
        <w:rPr>
          <w:rFonts w:hint="eastAsia" w:ascii="仿宋" w:hAnsi="仿宋" w:eastAsia="仿宋" w:cs="仿宋"/>
          <w:sz w:val="32"/>
          <w:szCs w:val="32"/>
        </w:rPr>
        <w:t>”广场等人群集中地设点开展宣传活动</w:t>
      </w:r>
      <w:r>
        <w:rPr>
          <w:rFonts w:hint="eastAsia" w:ascii="仿宋" w:hAnsi="仿宋" w:eastAsia="仿宋" w:cs="仿宋"/>
          <w:sz w:val="32"/>
          <w:szCs w:val="32"/>
          <w:lang w:eastAsia="zh-CN"/>
        </w:rPr>
        <w:t>，</w:t>
      </w:r>
      <w:r>
        <w:rPr>
          <w:rFonts w:hint="eastAsia" w:ascii="仿宋" w:hAnsi="仿宋" w:eastAsia="仿宋" w:cs="仿宋"/>
          <w:sz w:val="32"/>
          <w:szCs w:val="32"/>
        </w:rPr>
        <w:t>发放《粮食流通管理条例》宣传单，组织中心机关</w:t>
      </w:r>
      <w:r>
        <w:rPr>
          <w:rFonts w:hint="eastAsia" w:ascii="仿宋" w:hAnsi="仿宋" w:eastAsia="仿宋" w:cs="仿宋"/>
          <w:sz w:val="32"/>
          <w:szCs w:val="32"/>
          <w:lang w:val="en-US" w:eastAsia="zh-CN"/>
        </w:rPr>
        <w:t>干部职工</w:t>
      </w:r>
      <w:r>
        <w:rPr>
          <w:rFonts w:hint="eastAsia" w:ascii="仿宋" w:hAnsi="仿宋" w:eastAsia="仿宋" w:cs="仿宋"/>
          <w:sz w:val="32"/>
          <w:szCs w:val="32"/>
        </w:rPr>
        <w:t>现场进行《条例》知识解答、粮食质量相关政策宣讲、科学保粮知识咨询，现场咨询的群众达</w:t>
      </w:r>
      <w:r>
        <w:rPr>
          <w:rFonts w:hint="eastAsia" w:ascii="仿宋" w:hAnsi="仿宋" w:eastAsia="仿宋" w:cs="仿宋"/>
          <w:sz w:val="32"/>
          <w:szCs w:val="32"/>
          <w:lang w:eastAsia="zh-CN"/>
        </w:rPr>
        <w:t>二</w:t>
      </w:r>
      <w:r>
        <w:rPr>
          <w:rFonts w:hint="eastAsia" w:ascii="仿宋" w:hAnsi="仿宋" w:eastAsia="仿宋" w:cs="仿宋"/>
          <w:sz w:val="32"/>
          <w:szCs w:val="32"/>
        </w:rPr>
        <w:t>百余人。</w:t>
      </w:r>
    </w:p>
    <w:p w14:paraId="2C109D15">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kern w:val="0"/>
          <w:sz w:val="32"/>
          <w:szCs w:val="32"/>
          <w:shd w:val="clear" w:color="auto" w:fill="FFFFFF"/>
          <w:lang w:val="en-US" w:eastAsia="zh-CN" w:bidi="ar"/>
        </w:rPr>
      </w:pPr>
      <w:r>
        <w:rPr>
          <w:rFonts w:hint="eastAsia" w:ascii="楷体" w:hAnsi="楷体" w:eastAsia="楷体" w:cs="楷体"/>
          <w:kern w:val="0"/>
          <w:sz w:val="32"/>
          <w:szCs w:val="32"/>
          <w:shd w:val="clear" w:color="auto" w:fill="FFFFFF"/>
          <w:lang w:val="en-US" w:eastAsia="zh-CN" w:bidi="ar"/>
        </w:rPr>
        <w:t>4.强化监督检查，</w:t>
      </w:r>
      <w:r>
        <w:rPr>
          <w:rFonts w:hint="eastAsia" w:ascii="楷体" w:hAnsi="楷体" w:eastAsia="楷体" w:cs="楷体"/>
          <w:sz w:val="32"/>
          <w:szCs w:val="32"/>
        </w:rPr>
        <w:t>筑牢储备安全防线</w:t>
      </w:r>
      <w:r>
        <w:rPr>
          <w:rFonts w:hint="eastAsia" w:ascii="楷体" w:hAnsi="楷体" w:eastAsia="楷体" w:cs="楷体"/>
          <w:kern w:val="0"/>
          <w:sz w:val="32"/>
          <w:szCs w:val="32"/>
          <w:shd w:val="clear" w:color="auto" w:fill="FFFFFF"/>
          <w:lang w:val="en-US" w:eastAsia="zh-CN" w:bidi="ar"/>
        </w:rPr>
        <w:t>。</w:t>
      </w:r>
    </w:p>
    <w:p w14:paraId="715913AE">
      <w:pPr>
        <w:pStyle w:val="38"/>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依据《安全生产治本攻坚三年行动方案》文件要求，对照粮食安全检查有关规定逐仓逐库对照检查，截止目前已</w:t>
      </w:r>
      <w:r>
        <w:rPr>
          <w:rFonts w:hint="eastAsia" w:ascii="仿宋" w:hAnsi="仿宋" w:eastAsia="仿宋" w:cs="仿宋"/>
          <w:sz w:val="32"/>
          <w:szCs w:val="32"/>
        </w:rPr>
        <w:t>开展粮食</w:t>
      </w:r>
      <w:r>
        <w:rPr>
          <w:rFonts w:hint="eastAsia" w:ascii="仿宋" w:hAnsi="仿宋" w:eastAsia="仿宋" w:cs="仿宋"/>
          <w:sz w:val="32"/>
          <w:szCs w:val="32"/>
          <w:lang w:val="en-US" w:eastAsia="zh-CN"/>
        </w:rPr>
        <w:t>仓储</w:t>
      </w:r>
      <w:r>
        <w:rPr>
          <w:rFonts w:hint="eastAsia" w:ascii="仿宋" w:hAnsi="仿宋" w:eastAsia="仿宋" w:cs="仿宋"/>
          <w:sz w:val="32"/>
          <w:szCs w:val="32"/>
        </w:rPr>
        <w:t>检查</w:t>
      </w:r>
      <w:r>
        <w:rPr>
          <w:rFonts w:hint="eastAsia" w:ascii="仿宋" w:hAnsi="仿宋" w:eastAsia="仿宋" w:cs="仿宋"/>
          <w:sz w:val="32"/>
          <w:szCs w:val="32"/>
          <w:lang w:val="en-US" w:eastAsia="zh-CN"/>
        </w:rPr>
        <w:t>16</w:t>
      </w:r>
      <w:r>
        <w:rPr>
          <w:rFonts w:hint="eastAsia" w:ascii="仿宋" w:hAnsi="仿宋" w:eastAsia="仿宋" w:cs="仿宋"/>
          <w:sz w:val="32"/>
          <w:szCs w:val="32"/>
        </w:rPr>
        <w:t>次，确保了存粮质量安全。完善制度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科学保粮，</w:t>
      </w:r>
      <w:r>
        <w:rPr>
          <w:rFonts w:hint="eastAsia" w:ascii="仿宋" w:hAnsi="仿宋" w:eastAsia="仿宋" w:cs="仿宋"/>
          <w:sz w:val="32"/>
          <w:szCs w:val="32"/>
        </w:rPr>
        <w:t>严格落实《中华人民共和国粮食安全保障法》要求，在仓储管理中，以县储备粮管理为中心，把落实岗位责任制、完善各项仓储制度，贯彻《粮油储存技术规范》和《县储备粮管理办法》以及改善仓储条件作为提高仓储质量工作的有力手段。</w:t>
      </w:r>
      <w:r>
        <w:rPr>
          <w:rFonts w:hint="eastAsia" w:ascii="仿宋" w:hAnsi="仿宋" w:eastAsia="仿宋" w:cs="仿宋"/>
          <w:sz w:val="32"/>
          <w:szCs w:val="32"/>
          <w:lang w:val="en-US" w:eastAsia="zh-CN"/>
        </w:rPr>
        <w:t>充分发挥好</w:t>
      </w:r>
      <w:r>
        <w:rPr>
          <w:rFonts w:hint="eastAsia" w:ascii="仿宋" w:hAnsi="仿宋" w:eastAsia="仿宋" w:cs="仿宋"/>
          <w:sz w:val="32"/>
          <w:szCs w:val="32"/>
        </w:rPr>
        <w:t>粮食购销领域监管信息化</w:t>
      </w:r>
      <w:r>
        <w:rPr>
          <w:rFonts w:hint="eastAsia" w:ascii="仿宋" w:hAnsi="仿宋" w:eastAsia="仿宋" w:cs="仿宋"/>
          <w:sz w:val="32"/>
          <w:szCs w:val="32"/>
          <w:lang w:val="en-US" w:eastAsia="zh-CN"/>
        </w:rPr>
        <w:t>平台监管作用</w:t>
      </w:r>
      <w:r>
        <w:rPr>
          <w:rFonts w:hint="eastAsia" w:ascii="仿宋" w:hAnsi="仿宋" w:eastAsia="仿宋" w:cs="仿宋"/>
          <w:sz w:val="32"/>
          <w:szCs w:val="32"/>
        </w:rPr>
        <w:t>，实现储备粮轮换、检验、出入库等环节全程可追溯，提升管理数字化水平。</w:t>
      </w:r>
    </w:p>
    <w:p w14:paraId="01C61CEB">
      <w:pPr>
        <w:pStyle w:val="38"/>
        <w:pageBreakBefore w:val="0"/>
        <w:kinsoku/>
        <w:wordWrap/>
        <w:overflowPunct/>
        <w:topLinePunct w:val="0"/>
        <w:bidi w:val="0"/>
        <w:adjustRightInd w:val="0"/>
        <w:snapToGrid w:val="0"/>
        <w:spacing w:line="60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5.</w:t>
      </w:r>
      <w:r>
        <w:rPr>
          <w:rFonts w:hint="eastAsia" w:ascii="楷体" w:hAnsi="楷体" w:eastAsia="楷体" w:cs="楷体"/>
          <w:sz w:val="32"/>
          <w:szCs w:val="32"/>
        </w:rPr>
        <w:t>强化储备能力建设</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加快粮食仓储项目推进速度。</w:t>
      </w:r>
    </w:p>
    <w:p w14:paraId="22DA5A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加快《马边彝族自治县粮食仓储基础设施及应急综合保障项目》建设进度，截至目前，完</w:t>
      </w:r>
      <w:r>
        <w:rPr>
          <w:rFonts w:hint="eastAsia" w:ascii="仿宋" w:hAnsi="仿宋" w:eastAsia="仿宋" w:cs="仿宋"/>
          <w:b w:val="0"/>
          <w:bCs w:val="0"/>
          <w:sz w:val="32"/>
          <w:szCs w:val="32"/>
          <w:lang w:val="en-US" w:eastAsia="zh-CN"/>
        </w:rPr>
        <w:t>成进场道路路基换填和道路边坡网喷工作，完成边坡截排水沟工程，完成混泥土挡墙500米浇筑工作。开展总平土石方开挖弃土外运4万方等工作，服务楼及消防地下室基坑挖掘50%工作。开展边坡支护桩挖掘14根，完成边坡支护桩浇筑工作11根、完成平房仓、机械罩棚基础桩84根旋挖桩栽桩、低应变、声测两项检测工作，正在开展静载检测和基础地梁施工，完成电力杆线全部建设工作。力争于2026年4月项目全面完工。</w:t>
      </w:r>
    </w:p>
    <w:p w14:paraId="3C5730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二、机构设置</w:t>
      </w:r>
      <w:bookmarkEnd w:id="14"/>
      <w:bookmarkEnd w:id="15"/>
    </w:p>
    <w:p w14:paraId="5FBDF3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县粮食和物资储备中心下属二级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sz w:val="32"/>
          <w:szCs w:val="32"/>
          <w:lang w:val="en-US" w:eastAsia="zh-CN"/>
        </w:rPr>
        <w:t>0个，</w:t>
      </w:r>
      <w:r>
        <w:rPr>
          <w:rFonts w:hint="eastAsia" w:ascii="仿宋_GB2312" w:hAnsi="仿宋_GB2312" w:eastAsia="仿宋_GB2312" w:cs="仿宋_GB2312"/>
          <w:sz w:val="32"/>
          <w:szCs w:val="32"/>
        </w:rPr>
        <w:t>其他事业单位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p>
    <w:p w14:paraId="18E1BE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县粮食和物资储备中心</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1个，</w:t>
      </w:r>
      <w:r>
        <w:rPr>
          <w:rFonts w:hint="eastAsia" w:ascii="仿宋_GB2312" w:hAnsi="仿宋_GB2312" w:eastAsia="仿宋_GB2312" w:cs="仿宋_GB2312"/>
          <w:sz w:val="32"/>
          <w:szCs w:val="32"/>
          <w:lang w:eastAsia="zh-CN"/>
        </w:rPr>
        <w:t>属</w:t>
      </w:r>
      <w:r>
        <w:rPr>
          <w:rFonts w:hint="eastAsia" w:ascii="仿宋_GB2312" w:hAnsi="仿宋_GB2312" w:eastAsia="仿宋_GB2312" w:cs="仿宋_GB2312"/>
          <w:sz w:val="32"/>
          <w:szCs w:val="32"/>
        </w:rPr>
        <w:t>参照公务员法管理的事业单位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内设办公室（群众和信访工作办公室）、业务安全股、财务统计股</w:t>
      </w:r>
      <w:r>
        <w:rPr>
          <w:rFonts w:hint="eastAsia" w:ascii="仿宋_GB2312" w:hAnsi="仿宋_GB2312" w:eastAsia="仿宋_GB2312" w:cs="仿宋_GB2312"/>
          <w:sz w:val="32"/>
          <w:szCs w:val="32"/>
          <w:lang w:val="en-US" w:eastAsia="zh-CN"/>
        </w:rPr>
        <w:t>3个股室</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县粮食和物资储备中心</w:t>
      </w:r>
      <w:r>
        <w:rPr>
          <w:rFonts w:hint="eastAsia" w:ascii="仿宋_GB2312" w:hAnsi="仿宋_GB2312" w:eastAsia="仿宋_GB2312" w:cs="仿宋_GB2312"/>
          <w:color w:val="000000"/>
          <w:sz w:val="32"/>
          <w:szCs w:val="32"/>
          <w:lang w:eastAsia="zh-CN"/>
        </w:rPr>
        <w:t>属</w:t>
      </w:r>
      <w:r>
        <w:rPr>
          <w:rFonts w:hint="eastAsia" w:ascii="仿宋_GB2312" w:hAnsi="仿宋_GB2312" w:eastAsia="仿宋_GB2312" w:cs="仿宋_GB2312"/>
          <w:color w:val="000000"/>
          <w:sz w:val="32"/>
          <w:szCs w:val="32"/>
        </w:rPr>
        <w:t>参照公务员法管理事业</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编制8名。其中：主任1名，副主任2名，中层职数3名。年末在职人员</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参照公务员法管理</w:t>
      </w:r>
      <w:r>
        <w:rPr>
          <w:rFonts w:hint="eastAsia" w:ascii="仿宋_GB2312" w:hAnsi="仿宋_GB2312" w:eastAsia="仿宋_GB2312" w:cs="仿宋_GB2312"/>
          <w:color w:val="000000"/>
          <w:sz w:val="32"/>
          <w:szCs w:val="32"/>
          <w:lang w:eastAsia="zh-CN"/>
        </w:rPr>
        <w:t>事业人员</w:t>
      </w:r>
      <w:r>
        <w:rPr>
          <w:rFonts w:hint="eastAsia" w:ascii="仿宋_GB2312" w:hAnsi="仿宋_GB2312" w:eastAsia="仿宋_GB2312" w:cs="仿宋_GB2312"/>
          <w:color w:val="000000"/>
          <w:sz w:val="32"/>
          <w:szCs w:val="32"/>
          <w:lang w:val="en-US" w:eastAsia="zh-CN"/>
        </w:rPr>
        <w:t>5人，机关</w:t>
      </w:r>
      <w:r>
        <w:rPr>
          <w:rFonts w:hint="eastAsia" w:ascii="仿宋_GB2312" w:hAnsi="仿宋_GB2312" w:eastAsia="仿宋_GB2312" w:cs="仿宋_GB2312"/>
          <w:color w:val="000000"/>
          <w:sz w:val="32"/>
          <w:szCs w:val="32"/>
        </w:rPr>
        <w:t>工勤人员2人。</w:t>
      </w:r>
    </w:p>
    <w:p w14:paraId="43855936">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14:paraId="184A7525">
      <w:pPr>
        <w:pStyle w:val="4"/>
        <w:ind w:right="440"/>
        <w:jc w:val="center"/>
        <w:rPr>
          <w:rStyle w:val="30"/>
          <w:rFonts w:ascii="黑体" w:hAnsi="黑体" w:eastAsia="黑体"/>
          <w:b w:val="0"/>
          <w:bCs/>
          <w:color w:val="auto"/>
          <w:highlight w:val="none"/>
        </w:rPr>
      </w:pPr>
      <w:bookmarkStart w:id="16" w:name="_Toc15396602"/>
      <w:bookmarkStart w:id="17" w:name="_Toc15377204"/>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30"/>
          <w:rFonts w:hint="eastAsia" w:ascii="黑体" w:hAnsi="黑体" w:eastAsia="黑体"/>
          <w:b w:val="0"/>
          <w:bCs/>
          <w:color w:val="auto"/>
          <w:highlight w:val="none"/>
        </w:rPr>
        <w:t>部门决算情况说明</w:t>
      </w:r>
      <w:bookmarkEnd w:id="16"/>
      <w:bookmarkEnd w:id="17"/>
    </w:p>
    <w:p w14:paraId="1FB45A7A">
      <w:pPr>
        <w:rPr>
          <w:color w:val="auto"/>
          <w:highlight w:val="none"/>
        </w:rPr>
      </w:pPr>
    </w:p>
    <w:p w14:paraId="5BB7EF85">
      <w:pPr>
        <w:pStyle w:val="29"/>
        <w:numPr>
          <w:ilvl w:val="0"/>
          <w:numId w:val="0"/>
        </w:numPr>
        <w:spacing w:line="600" w:lineRule="exact"/>
        <w:ind w:left="640" w:leftChars="0"/>
        <w:outlineLvl w:val="1"/>
        <w:rPr>
          <w:rStyle w:val="31"/>
          <w:rFonts w:ascii="黑体" w:hAnsi="黑体" w:eastAsia="黑体"/>
          <w:b w:val="0"/>
          <w:color w:val="auto"/>
          <w:highlight w:val="none"/>
        </w:rPr>
      </w:pPr>
      <w:bookmarkStart w:id="18" w:name="_Toc15377205"/>
      <w:bookmarkStart w:id="19" w:name="_Toc15396603"/>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入支出决算总体情况说明</w:t>
      </w:r>
      <w:bookmarkEnd w:id="18"/>
      <w:bookmarkEnd w:id="19"/>
    </w:p>
    <w:p w14:paraId="2D01EB83">
      <w:pPr>
        <w:spacing w:line="600" w:lineRule="exact"/>
        <w:ind w:firstLine="640" w:firstLineChars="200"/>
        <w:rPr>
          <w:rFonts w:hint="eastAsia" w:ascii="仿宋" w:hAnsi="仿宋" w:eastAsia="仿宋"/>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年度收、支总计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年相比，收、支总计各</w:t>
      </w:r>
      <w:r>
        <w:rPr>
          <w:rFonts w:hint="eastAsia" w:ascii="仿宋_GB2312" w:hAnsi="仿宋_GB2312" w:eastAsia="仿宋_GB2312" w:cs="仿宋_GB2312"/>
          <w:color w:val="auto"/>
          <w:sz w:val="32"/>
          <w:szCs w:val="32"/>
          <w:highlight w:val="none"/>
          <w:lang w:eastAsia="zh-CN"/>
        </w:rPr>
        <w:t>减少</w:t>
      </w:r>
      <w:r>
        <w:rPr>
          <w:rFonts w:hint="eastAsia" w:ascii="仿宋_GB2312" w:hAnsi="仿宋_GB2312" w:eastAsia="仿宋_GB2312" w:cs="仿宋_GB2312"/>
          <w:color w:val="auto"/>
          <w:sz w:val="32"/>
          <w:szCs w:val="32"/>
          <w:highlight w:val="none"/>
          <w:lang w:val="en-US" w:eastAsia="zh-CN"/>
        </w:rPr>
        <w:t>886.82</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下降</w:t>
      </w:r>
      <w:r>
        <w:rPr>
          <w:rFonts w:hint="eastAsia" w:ascii="仿宋_GB2312" w:hAnsi="仿宋_GB2312" w:eastAsia="仿宋_GB2312" w:cs="仿宋_GB2312"/>
          <w:color w:val="auto"/>
          <w:sz w:val="32"/>
          <w:szCs w:val="32"/>
          <w:highlight w:val="none"/>
          <w:lang w:val="en-US" w:eastAsia="zh-CN"/>
        </w:rPr>
        <w:t>33.01</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一般公共预算财政拨款收入和基金减少</w:t>
      </w:r>
      <w:r>
        <w:rPr>
          <w:rFonts w:hint="eastAsia" w:ascii="仿宋_GB2312" w:hAnsi="仿宋_GB2312" w:eastAsia="仿宋_GB2312" w:cs="仿宋_GB2312"/>
          <w:sz w:val="32"/>
          <w:szCs w:val="32"/>
          <w:lang w:val="en-US" w:eastAsia="zh-CN"/>
        </w:rPr>
        <w:t>。</w:t>
      </w:r>
    </w:p>
    <w:p w14:paraId="03F584DA">
      <w:pPr>
        <w:pStyle w:val="7"/>
        <w:rPr>
          <w:rFonts w:hint="eastAsia" w:ascii="仿宋" w:hAnsi="仿宋" w:eastAsia="仿宋"/>
          <w:color w:val="auto"/>
          <w:sz w:val="32"/>
          <w:szCs w:val="32"/>
          <w:highlight w:val="none"/>
          <w:lang w:eastAsia="zh-CN"/>
        </w:rPr>
      </w:pPr>
      <w:r>
        <w:drawing>
          <wp:inline distT="0" distB="0" distL="114300" distR="114300">
            <wp:extent cx="4553585" cy="2571750"/>
            <wp:effectExtent l="4445" t="4445" r="13970"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CEFC4DF">
      <w:pPr>
        <w:spacing w:line="600" w:lineRule="exact"/>
        <w:ind w:firstLine="960" w:firstLineChars="300"/>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14:paraId="57A30368">
      <w:pPr>
        <w:pStyle w:val="29"/>
        <w:numPr>
          <w:ilvl w:val="0"/>
          <w:numId w:val="0"/>
        </w:numPr>
        <w:spacing w:line="600" w:lineRule="exact"/>
        <w:ind w:left="640" w:leftChars="0"/>
        <w:outlineLvl w:val="1"/>
        <w:rPr>
          <w:rStyle w:val="31"/>
          <w:rFonts w:ascii="黑体" w:hAnsi="黑体" w:eastAsia="黑体"/>
          <w:b w:val="0"/>
          <w:color w:val="auto"/>
          <w:highlight w:val="none"/>
        </w:rPr>
      </w:pPr>
      <w:bookmarkStart w:id="20" w:name="_Toc15396604"/>
      <w:bookmarkStart w:id="21" w:name="_Toc15377206"/>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入决算情况说明</w:t>
      </w:r>
      <w:bookmarkEnd w:id="20"/>
      <w:bookmarkEnd w:id="21"/>
    </w:p>
    <w:p w14:paraId="69CFE15C">
      <w:pPr>
        <w:spacing w:line="600" w:lineRule="exact"/>
        <w:ind w:firstLine="640" w:firstLineChars="200"/>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年本年收入合计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color w:val="auto"/>
          <w:sz w:val="32"/>
          <w:szCs w:val="32"/>
          <w:highlight w:val="none"/>
        </w:rPr>
        <w:t>万元，其中：一般公共预算财政拨款收入</w:t>
      </w:r>
      <w:r>
        <w:rPr>
          <w:rFonts w:hint="eastAsia" w:ascii="仿宋_GB2312" w:hAnsi="仿宋_GB2312" w:eastAsia="仿宋_GB2312" w:cs="仿宋_GB2312"/>
          <w:color w:val="auto"/>
          <w:sz w:val="32"/>
          <w:szCs w:val="32"/>
          <w:highlight w:val="none"/>
          <w:lang w:val="en-US" w:eastAsia="zh-CN"/>
        </w:rPr>
        <w:t>337.64</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18.76</w:t>
      </w:r>
      <w:r>
        <w:rPr>
          <w:rFonts w:hint="eastAsia" w:ascii="仿宋_GB2312" w:hAnsi="仿宋_GB2312" w:eastAsia="仿宋_GB2312" w:cs="仿宋_GB2312"/>
          <w:color w:val="auto"/>
          <w:sz w:val="32"/>
          <w:szCs w:val="32"/>
          <w:highlight w:val="none"/>
        </w:rPr>
        <w:t>%；政府性基金预算财政拨款收入</w:t>
      </w:r>
      <w:r>
        <w:rPr>
          <w:rFonts w:hint="eastAsia" w:ascii="仿宋_GB2312" w:hAnsi="仿宋_GB2312" w:eastAsia="仿宋_GB2312" w:cs="仿宋_GB2312"/>
          <w:color w:val="auto"/>
          <w:sz w:val="32"/>
          <w:szCs w:val="32"/>
          <w:highlight w:val="none"/>
          <w:lang w:val="en-US" w:eastAsia="zh-CN"/>
        </w:rPr>
        <w:t>1,461.98</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81.24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%；上级补助收入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%；事业收入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%；经营收入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%；附属单位上缴收入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%；其他收入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p>
    <w:p w14:paraId="7644CD19">
      <w:pPr>
        <w:pStyle w:val="7"/>
        <w:rPr>
          <w:rFonts w:hint="eastAsia" w:ascii="仿宋" w:hAnsi="仿宋" w:eastAsia="仿宋"/>
          <w:b/>
          <w:color w:val="auto"/>
          <w:sz w:val="32"/>
          <w:szCs w:val="32"/>
          <w:highlight w:val="none"/>
          <w:lang w:eastAsia="zh-CN"/>
        </w:rPr>
      </w:pPr>
      <w:r>
        <w:drawing>
          <wp:inline distT="0" distB="0" distL="114300" distR="114300">
            <wp:extent cx="4695825" cy="3123565"/>
            <wp:effectExtent l="4445" t="4445" r="5080" b="1524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8BA2155">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（图2：收入决算结构图）（饼状图）</w:t>
      </w:r>
    </w:p>
    <w:p w14:paraId="764AB09F">
      <w:pPr>
        <w:pStyle w:val="29"/>
        <w:numPr>
          <w:ilvl w:val="0"/>
          <w:numId w:val="0"/>
        </w:numPr>
        <w:spacing w:line="600" w:lineRule="exact"/>
        <w:ind w:left="640" w:leftChars="0"/>
        <w:outlineLvl w:val="1"/>
        <w:rPr>
          <w:rStyle w:val="31"/>
          <w:rFonts w:ascii="黑体" w:hAnsi="黑体" w:eastAsia="黑体"/>
          <w:b w:val="0"/>
          <w:color w:val="auto"/>
          <w:highlight w:val="none"/>
        </w:rPr>
      </w:pPr>
      <w:bookmarkStart w:id="22" w:name="_Toc15396605"/>
      <w:bookmarkStart w:id="23" w:name="_Toc15377207"/>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31"/>
          <w:rFonts w:hint="eastAsia" w:ascii="黑体" w:hAnsi="黑体" w:eastAsia="黑体"/>
          <w:b w:val="0"/>
          <w:color w:val="auto"/>
          <w:highlight w:val="none"/>
        </w:rPr>
        <w:t>出决算情况说明</w:t>
      </w:r>
      <w:bookmarkEnd w:id="22"/>
      <w:bookmarkEnd w:id="23"/>
    </w:p>
    <w:p w14:paraId="75E755C5">
      <w:pPr>
        <w:spacing w:line="600" w:lineRule="exact"/>
        <w:ind w:firstLine="640" w:firstLineChars="200"/>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年本年支出合计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color w:val="auto"/>
          <w:sz w:val="32"/>
          <w:szCs w:val="32"/>
          <w:highlight w:val="none"/>
        </w:rPr>
        <w:t>万元，其中：基本支出</w:t>
      </w:r>
      <w:r>
        <w:rPr>
          <w:rFonts w:hint="eastAsia" w:ascii="仿宋_GB2312" w:hAnsi="仿宋_GB2312" w:eastAsia="仿宋_GB2312" w:cs="仿宋_GB2312"/>
          <w:color w:val="auto"/>
          <w:sz w:val="32"/>
          <w:szCs w:val="32"/>
          <w:highlight w:val="none"/>
          <w:lang w:val="en-US" w:eastAsia="zh-CN"/>
        </w:rPr>
        <w:t>2291.21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sz w:val="32"/>
          <w:szCs w:val="32"/>
          <w:lang w:val="en-US" w:eastAsia="zh-CN"/>
        </w:rPr>
        <w:t>12.74</w:t>
      </w:r>
      <w:r>
        <w:rPr>
          <w:rFonts w:hint="eastAsia" w:ascii="仿宋_GB2312" w:hAnsi="仿宋_GB2312" w:eastAsia="仿宋_GB2312" w:cs="仿宋_GB2312"/>
          <w:color w:val="auto"/>
          <w:sz w:val="32"/>
          <w:szCs w:val="32"/>
          <w:highlight w:val="none"/>
        </w:rPr>
        <w:t>%；项目支出</w:t>
      </w:r>
      <w:r>
        <w:rPr>
          <w:rFonts w:hint="eastAsia" w:ascii="仿宋_GB2312" w:hAnsi="仿宋_GB2312" w:eastAsia="仿宋_GB2312" w:cs="仿宋_GB2312"/>
          <w:color w:val="auto"/>
          <w:sz w:val="32"/>
          <w:szCs w:val="32"/>
          <w:highlight w:val="none"/>
          <w:lang w:val="en-US" w:eastAsia="zh-CN"/>
        </w:rPr>
        <w:t>1570.41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sz w:val="32"/>
          <w:szCs w:val="32"/>
          <w:lang w:val="en-US" w:eastAsia="zh-CN"/>
        </w:rPr>
        <w:t>87.26</w:t>
      </w:r>
      <w:r>
        <w:rPr>
          <w:rFonts w:hint="eastAsia" w:ascii="仿宋_GB2312" w:hAnsi="仿宋_GB2312" w:eastAsia="仿宋_GB2312" w:cs="仿宋_GB2312"/>
          <w:color w:val="auto"/>
          <w:sz w:val="32"/>
          <w:szCs w:val="32"/>
          <w:highlight w:val="none"/>
        </w:rPr>
        <w:t>%；上缴上级支出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%；经营支出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%；对附属单位补助支出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p>
    <w:p w14:paraId="4537B9F1">
      <w:pPr>
        <w:spacing w:line="600" w:lineRule="exact"/>
        <w:ind w:firstLine="640"/>
        <w:rPr>
          <w:rFonts w:ascii="仿宋" w:hAnsi="仿宋" w:eastAsia="仿宋"/>
          <w:color w:val="auto"/>
          <w:sz w:val="32"/>
          <w:szCs w:val="32"/>
          <w:highlight w:val="none"/>
          <w:shd w:val="pct10" w:color="auto" w:fill="FFFFFF"/>
        </w:rPr>
      </w:pPr>
    </w:p>
    <w:p w14:paraId="3BE22747">
      <w:pPr>
        <w:spacing w:line="600" w:lineRule="exact"/>
        <w:ind w:firstLine="640" w:firstLineChars="200"/>
        <w:rPr>
          <w:rFonts w:hint="eastAsia" w:ascii="仿宋" w:hAnsi="仿宋" w:eastAsia="仿宋"/>
          <w:color w:val="auto"/>
          <w:sz w:val="32"/>
          <w:szCs w:val="32"/>
          <w:highlight w:val="none"/>
        </w:rPr>
      </w:pPr>
    </w:p>
    <w:p w14:paraId="081F2E50">
      <w:pPr>
        <w:spacing w:line="600" w:lineRule="exact"/>
        <w:ind w:firstLine="640" w:firstLineChars="200"/>
        <w:rPr>
          <w:rFonts w:hint="eastAsia" w:ascii="仿宋" w:hAnsi="仿宋" w:eastAsia="仿宋"/>
          <w:color w:val="auto"/>
          <w:sz w:val="32"/>
          <w:szCs w:val="32"/>
          <w:highlight w:val="none"/>
        </w:rPr>
      </w:pPr>
    </w:p>
    <w:p w14:paraId="3F1D3C56">
      <w:pPr>
        <w:spacing w:line="600" w:lineRule="exact"/>
        <w:ind w:firstLine="640" w:firstLineChars="200"/>
        <w:rPr>
          <w:rFonts w:hint="eastAsia" w:ascii="仿宋" w:hAnsi="仿宋" w:eastAsia="仿宋"/>
          <w:color w:val="auto"/>
          <w:sz w:val="32"/>
          <w:szCs w:val="32"/>
          <w:highlight w:val="none"/>
        </w:rPr>
      </w:pPr>
    </w:p>
    <w:p w14:paraId="2063A538">
      <w:pPr>
        <w:spacing w:line="600" w:lineRule="exact"/>
        <w:ind w:firstLine="640" w:firstLineChars="200"/>
        <w:rPr>
          <w:rFonts w:hint="eastAsia" w:ascii="仿宋" w:hAnsi="仿宋" w:eastAsia="仿宋"/>
          <w:color w:val="auto"/>
          <w:sz w:val="32"/>
          <w:szCs w:val="32"/>
          <w:highlight w:val="none"/>
        </w:rPr>
      </w:pPr>
    </w:p>
    <w:p w14:paraId="082E800C">
      <w:pPr>
        <w:spacing w:line="600" w:lineRule="exact"/>
        <w:ind w:firstLine="420" w:firstLineChars="200"/>
        <w:rPr>
          <w:rFonts w:hint="eastAsia" w:ascii="仿宋" w:hAnsi="仿宋" w:eastAsia="仿宋"/>
          <w:color w:val="auto"/>
          <w:sz w:val="32"/>
          <w:szCs w:val="32"/>
          <w:highlight w:val="none"/>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-1862455</wp:posOffset>
            </wp:positionV>
            <wp:extent cx="4168140" cy="2557145"/>
            <wp:effectExtent l="4445" t="4445" r="18415" b="10160"/>
            <wp:wrapNone/>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D1122FD">
      <w:pPr>
        <w:spacing w:line="600" w:lineRule="exact"/>
        <w:ind w:firstLine="640" w:firstLineChars="200"/>
        <w:rPr>
          <w:rFonts w:hint="eastAsia" w:ascii="仿宋" w:hAnsi="仿宋" w:eastAsia="仿宋"/>
          <w:color w:val="auto"/>
          <w:sz w:val="32"/>
          <w:szCs w:val="32"/>
          <w:highlight w:val="none"/>
        </w:rPr>
      </w:pPr>
    </w:p>
    <w:p w14:paraId="51C5DBC9">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（图3：支出决算结构图）（饼状图）</w:t>
      </w:r>
    </w:p>
    <w:p w14:paraId="369AB2CF">
      <w:pPr>
        <w:spacing w:line="600" w:lineRule="exact"/>
        <w:ind w:firstLine="640" w:firstLineChars="200"/>
        <w:outlineLvl w:val="1"/>
        <w:rPr>
          <w:rStyle w:val="31"/>
          <w:rFonts w:ascii="黑体" w:hAnsi="黑体" w:eastAsia="黑体"/>
          <w:b w:val="0"/>
          <w:color w:val="auto"/>
          <w:highlight w:val="none"/>
        </w:rPr>
      </w:pPr>
      <w:bookmarkStart w:id="24" w:name="_Toc15396606"/>
      <w:bookmarkStart w:id="25" w:name="_Toc15377208"/>
      <w:r>
        <w:rPr>
          <w:rFonts w:hint="eastAsia" w:ascii="黑体" w:hAnsi="黑体" w:eastAsia="黑体"/>
          <w:color w:val="auto"/>
          <w:sz w:val="32"/>
          <w:szCs w:val="32"/>
          <w:highlight w:val="none"/>
        </w:rPr>
        <w:t>四、财</w:t>
      </w:r>
      <w:r>
        <w:rPr>
          <w:rStyle w:val="31"/>
          <w:rFonts w:hint="eastAsia" w:ascii="黑体" w:hAnsi="黑体" w:eastAsia="黑体"/>
          <w:b w:val="0"/>
          <w:color w:val="auto"/>
          <w:highlight w:val="none"/>
        </w:rPr>
        <w:t>政拨款收入支出决算总体情况说明</w:t>
      </w:r>
      <w:bookmarkEnd w:id="24"/>
      <w:bookmarkEnd w:id="25"/>
    </w:p>
    <w:p w14:paraId="54AC5EC3">
      <w:pPr>
        <w:spacing w:line="600" w:lineRule="exact"/>
        <w:ind w:firstLine="640" w:firstLineChars="200"/>
        <w:rPr>
          <w:rFonts w:ascii="仿宋" w:hAnsi="仿宋" w:eastAsia="仿宋"/>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年财政拨款收、支总计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年相比，财政拨款收、支总计各</w:t>
      </w:r>
      <w:r>
        <w:rPr>
          <w:rFonts w:hint="eastAsia" w:ascii="仿宋_GB2312" w:hAnsi="仿宋_GB2312" w:eastAsia="仿宋_GB2312" w:cs="仿宋_GB2312"/>
          <w:color w:val="auto"/>
          <w:sz w:val="32"/>
          <w:szCs w:val="32"/>
          <w:highlight w:val="none"/>
          <w:lang w:eastAsia="zh-CN"/>
        </w:rPr>
        <w:t>减少</w:t>
      </w:r>
      <w:r>
        <w:rPr>
          <w:rFonts w:hint="eastAsia" w:ascii="仿宋_GB2312" w:hAnsi="仿宋_GB2312" w:eastAsia="仿宋_GB2312" w:cs="仿宋_GB2312"/>
          <w:color w:val="auto"/>
          <w:sz w:val="32"/>
          <w:szCs w:val="32"/>
          <w:highlight w:val="none"/>
          <w:lang w:val="en-US" w:eastAsia="zh-CN"/>
        </w:rPr>
        <w:t>886.82</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下降</w:t>
      </w:r>
      <w:r>
        <w:rPr>
          <w:rFonts w:hint="eastAsia" w:ascii="仿宋_GB2312" w:hAnsi="仿宋_GB2312" w:eastAsia="仿宋_GB2312" w:cs="仿宋_GB2312"/>
          <w:color w:val="auto"/>
          <w:sz w:val="32"/>
          <w:szCs w:val="32"/>
          <w:highlight w:val="none"/>
          <w:lang w:val="en-US" w:eastAsia="zh-CN"/>
        </w:rPr>
        <w:t>33.01</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一般公共预算财政拨款收入和基金减少</w:t>
      </w:r>
      <w:r>
        <w:rPr>
          <w:rFonts w:hint="eastAsia" w:ascii="仿宋_GB2312" w:hAnsi="仿宋_GB2312" w:eastAsia="仿宋_GB2312" w:cs="仿宋_GB2312"/>
          <w:sz w:val="32"/>
          <w:szCs w:val="32"/>
          <w:lang w:val="en-US" w:eastAsia="zh-CN"/>
        </w:rPr>
        <w:t>。</w:t>
      </w:r>
    </w:p>
    <w:p w14:paraId="269F9E43">
      <w:pPr>
        <w:pStyle w:val="7"/>
        <w:rPr>
          <w:rFonts w:hint="eastAsia" w:eastAsia="仿宋"/>
          <w:lang w:eastAsia="zh-CN"/>
        </w:rPr>
      </w:pPr>
      <w:r>
        <w:drawing>
          <wp:inline distT="0" distB="0" distL="114300" distR="114300">
            <wp:extent cx="5118735" cy="3444875"/>
            <wp:effectExtent l="4445" t="4445" r="20320" b="1778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FCDD15">
      <w:pPr>
        <w:spacing w:line="600" w:lineRule="exact"/>
        <w:ind w:firstLine="640" w:firstLineChars="200"/>
        <w:rPr>
          <w:rFonts w:hint="eastAsia" w:ascii="黑体" w:hAnsi="黑体" w:eastAsia="黑体"/>
          <w:color w:val="auto"/>
          <w:sz w:val="32"/>
          <w:szCs w:val="32"/>
          <w:highlight w:val="none"/>
        </w:rPr>
      </w:pPr>
      <w:r>
        <w:rPr>
          <w:rFonts w:hint="eastAsia" w:ascii="仿宋" w:hAnsi="仿宋" w:eastAsia="仿宋"/>
          <w:color w:val="auto"/>
          <w:sz w:val="32"/>
          <w:szCs w:val="32"/>
          <w:highlight w:val="none"/>
        </w:rPr>
        <w:t>（图4：财政拨款收、支决算总计变动情况）（柱状图）</w:t>
      </w:r>
      <w:bookmarkStart w:id="26" w:name="_Toc15396607"/>
      <w:bookmarkStart w:id="27" w:name="_Toc15377209"/>
    </w:p>
    <w:p w14:paraId="226944E8">
      <w:pPr>
        <w:spacing w:line="600" w:lineRule="exact"/>
        <w:ind w:firstLine="640" w:firstLineChars="200"/>
        <w:outlineLvl w:val="1"/>
        <w:rPr>
          <w:rStyle w:val="31"/>
          <w:rFonts w:ascii="黑体" w:hAnsi="黑体" w:eastAsia="黑体"/>
          <w:b w:val="0"/>
          <w:color w:val="auto"/>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1"/>
          <w:rFonts w:hint="eastAsia" w:ascii="黑体" w:hAnsi="黑体" w:eastAsia="黑体"/>
          <w:b w:val="0"/>
          <w:color w:val="auto"/>
          <w:highlight w:val="none"/>
        </w:rPr>
        <w:t>般公共预算财政拨款支出决算情况说明</w:t>
      </w:r>
      <w:bookmarkEnd w:id="26"/>
      <w:bookmarkEnd w:id="27"/>
    </w:p>
    <w:p w14:paraId="27E27EE0">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28" w:name="_Toc15377210"/>
      <w:r>
        <w:rPr>
          <w:rFonts w:hint="eastAsia" w:ascii="仿宋_GB2312" w:hAnsi="仿宋_GB2312" w:eastAsia="仿宋_GB2312" w:cs="仿宋_GB2312"/>
          <w:b/>
          <w:color w:val="auto"/>
          <w:sz w:val="32"/>
          <w:szCs w:val="32"/>
          <w:highlight w:val="none"/>
        </w:rPr>
        <w:t>（一）一般公共预算财政拨款支出决算总体情况</w:t>
      </w:r>
      <w:bookmarkEnd w:id="28"/>
    </w:p>
    <w:p w14:paraId="6D4F0C3A">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年一般公共预算财政拨款支出</w:t>
      </w:r>
      <w:r>
        <w:rPr>
          <w:rFonts w:hint="eastAsia" w:ascii="仿宋_GB2312" w:hAnsi="仿宋_GB2312" w:eastAsia="仿宋_GB2312" w:cs="仿宋_GB2312"/>
          <w:color w:val="auto"/>
          <w:sz w:val="32"/>
          <w:szCs w:val="32"/>
          <w:highlight w:val="none"/>
          <w:lang w:val="en-US" w:eastAsia="zh-CN"/>
        </w:rPr>
        <w:t>337.64</w:t>
      </w:r>
      <w:r>
        <w:rPr>
          <w:rFonts w:hint="eastAsia" w:ascii="仿宋_GB2312" w:hAnsi="仿宋_GB2312" w:eastAsia="仿宋_GB2312" w:cs="仿宋_GB2312"/>
          <w:color w:val="auto"/>
          <w:sz w:val="32"/>
          <w:szCs w:val="32"/>
          <w:highlight w:val="none"/>
        </w:rPr>
        <w:t>万元，占本年支出合计的</w:t>
      </w:r>
      <w:r>
        <w:rPr>
          <w:rFonts w:hint="eastAsia" w:ascii="仿宋_GB2312" w:hAnsi="仿宋_GB2312" w:eastAsia="仿宋_GB2312" w:cs="仿宋_GB2312"/>
          <w:color w:val="auto"/>
          <w:sz w:val="32"/>
          <w:szCs w:val="32"/>
          <w:highlight w:val="none"/>
          <w:lang w:val="en-US" w:eastAsia="zh-CN"/>
        </w:rPr>
        <w:t>18.62</w:t>
      </w:r>
      <w:r>
        <w:rPr>
          <w:rFonts w:hint="eastAsia" w:ascii="仿宋_GB2312" w:hAnsi="仿宋_GB2312" w:eastAsia="仿宋_GB2312" w:cs="仿宋_GB2312"/>
          <w:color w:val="auto"/>
          <w:sz w:val="32"/>
          <w:szCs w:val="32"/>
          <w:highlight w:val="none"/>
        </w:rPr>
        <w:t>%。与</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年相比，一般公共预算财政拨款</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lang w:val="en-US" w:eastAsia="zh-CN"/>
        </w:rPr>
        <w:t>减少457.86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减少57.56</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项目经费减少</w:t>
      </w:r>
      <w:r>
        <w:rPr>
          <w:rFonts w:hint="eastAsia" w:ascii="仿宋_GB2312" w:hAnsi="仿宋_GB2312" w:eastAsia="仿宋_GB2312" w:cs="仿宋_GB2312"/>
          <w:sz w:val="32"/>
          <w:szCs w:val="32"/>
          <w:lang w:val="en-US" w:eastAsia="zh-CN"/>
        </w:rPr>
        <w:t>。</w:t>
      </w:r>
    </w:p>
    <w:p w14:paraId="72D87F00">
      <w:pPr>
        <w:pStyle w:val="7"/>
        <w:rPr>
          <w:rFonts w:hint="eastAsia" w:ascii="仿宋" w:hAnsi="仿宋" w:eastAsia="仿宋"/>
          <w:color w:val="auto"/>
          <w:sz w:val="32"/>
          <w:szCs w:val="32"/>
          <w:highlight w:val="none"/>
        </w:rPr>
      </w:pPr>
      <w:r>
        <w:drawing>
          <wp:inline distT="0" distB="0" distL="114300" distR="114300">
            <wp:extent cx="5273675" cy="3016250"/>
            <wp:effectExtent l="4445" t="4445" r="17780" b="825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60A38A">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14:paraId="198217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仿宋_GB2312" w:hAnsi="仿宋_GB2312" w:eastAsia="仿宋_GB2312" w:cs="仿宋_GB2312"/>
          <w:b/>
          <w:color w:val="auto"/>
          <w:sz w:val="32"/>
          <w:szCs w:val="32"/>
          <w:highlight w:val="none"/>
        </w:rPr>
      </w:pPr>
      <w:bookmarkStart w:id="29" w:name="_Toc15377211"/>
      <w:r>
        <w:rPr>
          <w:rFonts w:hint="eastAsia" w:ascii="仿宋_GB2312" w:hAnsi="仿宋_GB2312" w:eastAsia="仿宋_GB2312" w:cs="仿宋_GB2312"/>
          <w:b/>
          <w:color w:val="auto"/>
          <w:sz w:val="32"/>
          <w:szCs w:val="32"/>
          <w:highlight w:val="none"/>
        </w:rPr>
        <w:t>（二）一般公共预算财政拨款支出决算结构情况</w:t>
      </w:r>
      <w:bookmarkEnd w:id="29"/>
    </w:p>
    <w:p w14:paraId="459BCCDF">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仿宋" w:hAnsi="仿宋" w:eastAsia="仿宋"/>
          <w:color w:val="auto"/>
          <w:sz w:val="32"/>
          <w:szCs w:val="32"/>
          <w:highlight w:val="none"/>
        </w:rPr>
      </w:pPr>
      <w:r>
        <w:drawing>
          <wp:anchor distT="0" distB="0" distL="114300" distR="114300" simplePos="0" relativeHeight="251660288" behindDoc="0" locked="0" layoutInCell="1" allowOverlap="1">
            <wp:simplePos x="0" y="0"/>
            <wp:positionH relativeFrom="column">
              <wp:posOffset>207010</wp:posOffset>
            </wp:positionH>
            <wp:positionV relativeFrom="paragraph">
              <wp:posOffset>1899920</wp:posOffset>
            </wp:positionV>
            <wp:extent cx="4991735" cy="2633345"/>
            <wp:effectExtent l="4445" t="4445" r="13970" b="10160"/>
            <wp:wrapNone/>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年一般公共预算财政拨款支出</w:t>
      </w:r>
      <w:r>
        <w:rPr>
          <w:rFonts w:hint="eastAsia" w:ascii="仿宋_GB2312" w:hAnsi="仿宋_GB2312" w:eastAsia="仿宋_GB2312" w:cs="仿宋_GB2312"/>
          <w:color w:val="auto"/>
          <w:sz w:val="32"/>
          <w:szCs w:val="32"/>
          <w:highlight w:val="none"/>
          <w:lang w:val="en-US" w:eastAsia="zh-CN"/>
        </w:rPr>
        <w:t>337.64</w:t>
      </w:r>
      <w:r>
        <w:rPr>
          <w:rFonts w:hint="eastAsia" w:ascii="仿宋_GB2312" w:hAnsi="仿宋_GB2312" w:eastAsia="仿宋_GB2312" w:cs="仿宋_GB2312"/>
          <w:color w:val="auto"/>
          <w:sz w:val="32"/>
          <w:szCs w:val="32"/>
          <w:highlight w:val="none"/>
        </w:rPr>
        <w:t>万元，主要用于以下方面:</w:t>
      </w:r>
      <w:r>
        <w:rPr>
          <w:rFonts w:hint="eastAsia" w:ascii="仿宋_GB2312" w:hAnsi="仿宋_GB2312" w:eastAsia="仿宋_GB2312" w:cs="仿宋_GB2312"/>
          <w:sz w:val="32"/>
          <w:szCs w:val="32"/>
        </w:rPr>
        <w:t>社会保障和就业支出（类）</w:t>
      </w:r>
      <w:r>
        <w:rPr>
          <w:rFonts w:hint="eastAsia" w:ascii="仿宋_GB2312" w:hAnsi="仿宋_GB2312" w:eastAsia="仿宋_GB2312" w:cs="仿宋_GB2312"/>
          <w:sz w:val="32"/>
          <w:szCs w:val="32"/>
          <w:lang w:val="en-US" w:eastAsia="zh-CN"/>
        </w:rPr>
        <w:t>77.62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22.99</w:t>
      </w:r>
      <w:r>
        <w:rPr>
          <w:rFonts w:hint="eastAsia" w:ascii="仿宋_GB2312" w:hAnsi="仿宋_GB2312" w:eastAsia="仿宋_GB2312" w:cs="仿宋_GB2312"/>
          <w:sz w:val="32"/>
          <w:szCs w:val="32"/>
        </w:rPr>
        <w:t>%；卫生健康支出（类）</w:t>
      </w:r>
      <w:r>
        <w:rPr>
          <w:rFonts w:hint="eastAsia" w:ascii="仿宋_GB2312" w:hAnsi="仿宋_GB2312" w:eastAsia="仿宋_GB2312" w:cs="仿宋_GB2312"/>
          <w:sz w:val="32"/>
          <w:szCs w:val="32"/>
          <w:lang w:val="en-US" w:eastAsia="zh-CN"/>
        </w:rPr>
        <w:t>5.73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eastAsia="zh-CN"/>
        </w:rPr>
        <w:t>（类）</w:t>
      </w:r>
      <w:r>
        <w:rPr>
          <w:rFonts w:hint="eastAsia" w:ascii="仿宋_GB2312" w:hAnsi="仿宋_GB2312" w:eastAsia="仿宋_GB2312" w:cs="仿宋_GB2312"/>
          <w:sz w:val="32"/>
          <w:szCs w:val="32"/>
          <w:lang w:val="en-US" w:eastAsia="zh-CN"/>
        </w:rPr>
        <w:t>11.77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3.49</w:t>
      </w:r>
      <w:r>
        <w:rPr>
          <w:rFonts w:hint="eastAsia" w:ascii="仿宋_GB2312" w:hAnsi="仿宋_GB2312" w:eastAsia="仿宋_GB2312" w:cs="仿宋_GB2312"/>
          <w:sz w:val="32"/>
          <w:szCs w:val="32"/>
        </w:rPr>
        <w:t>%；粮油物资储备支出（类）</w:t>
      </w:r>
      <w:r>
        <w:rPr>
          <w:rFonts w:hint="eastAsia" w:ascii="仿宋_GB2312" w:hAnsi="仿宋_GB2312" w:eastAsia="仿宋_GB2312" w:cs="仿宋_GB2312"/>
          <w:sz w:val="32"/>
          <w:szCs w:val="32"/>
          <w:lang w:val="en-US" w:eastAsia="zh-CN"/>
        </w:rPr>
        <w:t>242.52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71.83</w:t>
      </w:r>
      <w:r>
        <w:rPr>
          <w:rFonts w:hint="eastAsia" w:ascii="仿宋_GB2312" w:hAnsi="仿宋_GB2312" w:eastAsia="仿宋_GB2312" w:cs="仿宋_GB2312"/>
          <w:sz w:val="32"/>
          <w:szCs w:val="32"/>
        </w:rPr>
        <w:t>%。</w:t>
      </w:r>
    </w:p>
    <w:p w14:paraId="40CE5D5A">
      <w:pPr>
        <w:spacing w:line="600" w:lineRule="exact"/>
        <w:ind w:firstLine="420" w:firstLineChars="200"/>
      </w:pPr>
    </w:p>
    <w:p w14:paraId="5D54B82D">
      <w:pPr>
        <w:spacing w:line="600" w:lineRule="exact"/>
        <w:ind w:firstLine="420" w:firstLineChars="200"/>
      </w:pPr>
    </w:p>
    <w:p w14:paraId="30A0B859">
      <w:pPr>
        <w:spacing w:line="600" w:lineRule="exact"/>
        <w:ind w:firstLine="420" w:firstLineChars="200"/>
      </w:pPr>
    </w:p>
    <w:p w14:paraId="714997C7">
      <w:pPr>
        <w:spacing w:line="600" w:lineRule="exact"/>
        <w:ind w:firstLine="420" w:firstLineChars="200"/>
      </w:pPr>
    </w:p>
    <w:p w14:paraId="4AD23FA0">
      <w:pPr>
        <w:spacing w:line="600" w:lineRule="exact"/>
        <w:ind w:firstLine="420" w:firstLineChars="200"/>
      </w:pPr>
    </w:p>
    <w:p w14:paraId="7047B052">
      <w:pPr>
        <w:spacing w:line="600" w:lineRule="exact"/>
        <w:ind w:firstLine="640" w:firstLineChars="200"/>
        <w:rPr>
          <w:rFonts w:hint="eastAsia" w:ascii="仿宋" w:hAnsi="仿宋" w:eastAsia="仿宋"/>
          <w:color w:val="auto"/>
          <w:sz w:val="32"/>
          <w:szCs w:val="32"/>
          <w:highlight w:val="none"/>
        </w:rPr>
      </w:pPr>
    </w:p>
    <w:p w14:paraId="41D3B70B">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235C093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仿宋_GB2312" w:hAnsi="仿宋_GB2312" w:eastAsia="仿宋_GB2312" w:cs="仿宋_GB2312"/>
          <w:b/>
          <w:color w:val="auto"/>
          <w:sz w:val="32"/>
          <w:szCs w:val="32"/>
          <w:highlight w:val="none"/>
        </w:rPr>
      </w:pPr>
      <w:bookmarkStart w:id="30" w:name="_Toc15377212"/>
      <w:r>
        <w:rPr>
          <w:rFonts w:hint="eastAsia" w:ascii="仿宋_GB2312" w:hAnsi="仿宋_GB2312" w:eastAsia="仿宋_GB2312" w:cs="仿宋_GB2312"/>
          <w:b/>
          <w:color w:val="auto"/>
          <w:sz w:val="32"/>
          <w:szCs w:val="32"/>
          <w:highlight w:val="none"/>
        </w:rPr>
        <w:t>（三）一般公共预算财政拨款支出决算具体情况</w:t>
      </w:r>
      <w:bookmarkEnd w:id="30"/>
    </w:p>
    <w:p w14:paraId="58444ECC">
      <w:pPr>
        <w:spacing w:line="600" w:lineRule="exact"/>
        <w:ind w:firstLine="640" w:firstLineChars="200"/>
        <w:outlineLvl w:val="2"/>
        <w:rPr>
          <w:rFonts w:hint="eastAsia" w:ascii="仿宋_GB2312" w:hAnsi="仿宋_GB2312" w:eastAsia="仿宋_GB2312" w:cs="仿宋_GB2312"/>
          <w:b w:val="0"/>
          <w:bCs/>
          <w:color w:val="auto"/>
          <w:sz w:val="32"/>
          <w:szCs w:val="32"/>
          <w:highlight w:val="none"/>
        </w:rPr>
      </w:pPr>
      <w:bookmarkStart w:id="31" w:name="_Toc15377444"/>
      <w:bookmarkStart w:id="32" w:name="_Toc15378460"/>
      <w:bookmarkStart w:id="33" w:name="_Toc15377213"/>
      <w:r>
        <w:rPr>
          <w:rFonts w:hint="eastAsia" w:ascii="仿宋_GB2312" w:hAnsi="仿宋_GB2312" w:eastAsia="仿宋_GB2312" w:cs="仿宋_GB2312"/>
          <w:b w:val="0"/>
          <w:bCs/>
          <w:color w:val="auto"/>
          <w:sz w:val="32"/>
          <w:szCs w:val="32"/>
          <w:highlight w:val="none"/>
          <w:lang w:eastAsia="zh-CN"/>
        </w:rPr>
        <w:t>2025</w:t>
      </w:r>
      <w:r>
        <w:rPr>
          <w:rFonts w:hint="eastAsia" w:ascii="仿宋_GB2312" w:hAnsi="仿宋_GB2312" w:eastAsia="仿宋_GB2312" w:cs="仿宋_GB2312"/>
          <w:b w:val="0"/>
          <w:bCs/>
          <w:color w:val="auto"/>
          <w:sz w:val="32"/>
          <w:szCs w:val="32"/>
          <w:highlight w:val="none"/>
        </w:rPr>
        <w:t>年</w:t>
      </w:r>
      <w:r>
        <w:rPr>
          <w:rFonts w:hint="eastAsia" w:ascii="仿宋_GB2312" w:hAnsi="仿宋_GB2312" w:eastAsia="仿宋_GB2312" w:cs="仿宋_GB2312"/>
          <w:b w:val="0"/>
          <w:bCs/>
          <w:color w:val="auto"/>
          <w:sz w:val="32"/>
          <w:szCs w:val="32"/>
          <w:highlight w:val="none"/>
          <w:lang w:eastAsia="zh-CN"/>
        </w:rPr>
        <w:t>一</w:t>
      </w:r>
      <w:r>
        <w:rPr>
          <w:rFonts w:hint="eastAsia" w:ascii="仿宋_GB2312" w:hAnsi="仿宋_GB2312" w:eastAsia="仿宋_GB2312" w:cs="仿宋_GB2312"/>
          <w:b w:val="0"/>
          <w:bCs/>
          <w:color w:val="auto"/>
          <w:sz w:val="32"/>
          <w:szCs w:val="32"/>
          <w:highlight w:val="none"/>
        </w:rPr>
        <w:t>般公共预算支出决算数为</w:t>
      </w:r>
      <w:r>
        <w:rPr>
          <w:rFonts w:hint="eastAsia" w:ascii="仿宋_GB2312" w:hAnsi="仿宋_GB2312" w:eastAsia="仿宋_GB2312" w:cs="仿宋_GB2312"/>
          <w:color w:val="auto"/>
          <w:sz w:val="32"/>
          <w:szCs w:val="32"/>
          <w:highlight w:val="none"/>
          <w:lang w:val="en-US" w:eastAsia="zh-CN"/>
        </w:rPr>
        <w:t>337.64</w:t>
      </w:r>
      <w:r>
        <w:rPr>
          <w:rFonts w:hint="eastAsia" w:ascii="仿宋_GB2312" w:hAnsi="仿宋_GB2312" w:eastAsia="仿宋_GB2312" w:cs="仿宋_GB2312"/>
          <w:b w:val="0"/>
          <w:bCs/>
          <w:color w:val="auto"/>
          <w:sz w:val="32"/>
          <w:szCs w:val="32"/>
          <w:highlight w:val="none"/>
        </w:rPr>
        <w:t>万元，</w:t>
      </w:r>
      <w:r>
        <w:rPr>
          <w:rStyle w:val="19"/>
          <w:rFonts w:hint="eastAsia" w:ascii="仿宋_GB2312" w:hAnsi="仿宋_GB2312" w:eastAsia="仿宋_GB2312" w:cs="仿宋_GB2312"/>
          <w:b w:val="0"/>
          <w:bCs/>
          <w:color w:val="auto"/>
          <w:sz w:val="32"/>
          <w:szCs w:val="32"/>
          <w:highlight w:val="none"/>
        </w:rPr>
        <w:t>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%。其中：</w:t>
      </w:r>
      <w:bookmarkEnd w:id="31"/>
      <w:bookmarkEnd w:id="32"/>
      <w:bookmarkEnd w:id="33"/>
    </w:p>
    <w:p w14:paraId="62CC2A0D">
      <w:pPr>
        <w:numPr>
          <w:ilvl w:val="0"/>
          <w:numId w:val="1"/>
        </w:numPr>
        <w:spacing w:line="600" w:lineRule="exact"/>
        <w:ind w:firstLine="640" w:firstLineChars="200"/>
        <w:rPr>
          <w:rStyle w:val="19"/>
          <w:rFonts w:hint="eastAsia" w:ascii="仿宋_GB2312" w:hAnsi="仿宋_GB2312" w:eastAsia="仿宋_GB2312" w:cs="仿宋_GB2312"/>
          <w:b w:val="0"/>
          <w:bCs w:val="0"/>
          <w:color w:val="auto"/>
          <w:sz w:val="32"/>
          <w:szCs w:val="32"/>
          <w:highlight w:val="none"/>
        </w:rPr>
      </w:pPr>
      <w:r>
        <w:rPr>
          <w:rStyle w:val="19"/>
          <w:rFonts w:hint="eastAsia" w:ascii="仿宋_GB2312" w:hAnsi="仿宋_GB2312" w:eastAsia="仿宋_GB2312" w:cs="仿宋_GB2312"/>
          <w:b w:val="0"/>
          <w:bCs w:val="0"/>
          <w:color w:val="auto"/>
          <w:sz w:val="32"/>
          <w:szCs w:val="32"/>
          <w:highlight w:val="none"/>
        </w:rPr>
        <w:t>社会保障和就业</w:t>
      </w:r>
      <w:r>
        <w:rPr>
          <w:rStyle w:val="19"/>
          <w:rFonts w:hint="eastAsia" w:ascii="仿宋_GB2312" w:hAnsi="仿宋_GB2312" w:eastAsia="仿宋_GB2312" w:cs="仿宋_GB2312"/>
          <w:b w:val="0"/>
          <w:bCs w:val="0"/>
          <w:color w:val="auto"/>
          <w:sz w:val="32"/>
          <w:szCs w:val="32"/>
          <w:highlight w:val="none"/>
          <w:lang w:eastAsia="zh-CN"/>
        </w:rPr>
        <w:t>支出</w:t>
      </w:r>
      <w:r>
        <w:rPr>
          <w:rStyle w:val="19"/>
          <w:rFonts w:hint="eastAsia" w:ascii="仿宋_GB2312" w:hAnsi="仿宋_GB2312" w:eastAsia="仿宋_GB2312" w:cs="仿宋_GB2312"/>
          <w:b w:val="0"/>
          <w:bCs w:val="0"/>
          <w:color w:val="auto"/>
          <w:sz w:val="32"/>
          <w:szCs w:val="32"/>
          <w:highlight w:val="none"/>
        </w:rPr>
        <w:t>（类）行政事业单位养老支出（款）机关事业单位基本养老保险缴费支出（项）: 支出决算为</w:t>
      </w:r>
      <w:r>
        <w:rPr>
          <w:rStyle w:val="19"/>
          <w:rFonts w:hint="eastAsia" w:ascii="仿宋_GB2312" w:hAnsi="仿宋_GB2312" w:eastAsia="仿宋_GB2312" w:cs="仿宋_GB2312"/>
          <w:b w:val="0"/>
          <w:bCs w:val="0"/>
          <w:color w:val="auto"/>
          <w:sz w:val="32"/>
          <w:szCs w:val="32"/>
          <w:highlight w:val="none"/>
          <w:lang w:val="en-US" w:eastAsia="zh-CN"/>
        </w:rPr>
        <w:t>14.15</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089CD85E">
      <w:pPr>
        <w:numPr>
          <w:ilvl w:val="0"/>
          <w:numId w:val="0"/>
        </w:numPr>
        <w:spacing w:line="600" w:lineRule="exact"/>
        <w:ind w:firstLine="640" w:firstLineChars="200"/>
        <w:rPr>
          <w:rStyle w:val="19"/>
          <w:rFonts w:hint="eastAsia" w:ascii="仿宋_GB2312" w:hAnsi="仿宋_GB2312" w:eastAsia="仿宋_GB2312" w:cs="仿宋_GB2312"/>
          <w:b w:val="0"/>
          <w:bCs w:val="0"/>
          <w:color w:val="auto"/>
          <w:sz w:val="32"/>
          <w:szCs w:val="32"/>
          <w:highlight w:val="none"/>
        </w:rPr>
      </w:pPr>
      <w:r>
        <w:rPr>
          <w:rStyle w:val="19"/>
          <w:rFonts w:hint="eastAsia" w:ascii="仿宋_GB2312" w:hAnsi="仿宋_GB2312" w:eastAsia="仿宋_GB2312" w:cs="仿宋_GB2312"/>
          <w:b w:val="0"/>
          <w:bCs w:val="0"/>
          <w:color w:val="auto"/>
          <w:sz w:val="32"/>
          <w:szCs w:val="32"/>
          <w:highlight w:val="none"/>
        </w:rPr>
        <w:t>社会保障和就业</w:t>
      </w:r>
      <w:r>
        <w:rPr>
          <w:rStyle w:val="19"/>
          <w:rFonts w:hint="eastAsia" w:ascii="仿宋_GB2312" w:hAnsi="仿宋_GB2312" w:eastAsia="仿宋_GB2312" w:cs="仿宋_GB2312"/>
          <w:b w:val="0"/>
          <w:bCs w:val="0"/>
          <w:color w:val="auto"/>
          <w:sz w:val="32"/>
          <w:szCs w:val="32"/>
          <w:highlight w:val="none"/>
          <w:lang w:eastAsia="zh-CN"/>
        </w:rPr>
        <w:t>支出</w:t>
      </w:r>
      <w:r>
        <w:rPr>
          <w:rStyle w:val="19"/>
          <w:rFonts w:hint="eastAsia" w:ascii="仿宋_GB2312" w:hAnsi="仿宋_GB2312" w:eastAsia="仿宋_GB2312" w:cs="仿宋_GB2312"/>
          <w:b w:val="0"/>
          <w:bCs w:val="0"/>
          <w:color w:val="auto"/>
          <w:sz w:val="32"/>
          <w:szCs w:val="32"/>
          <w:highlight w:val="none"/>
        </w:rPr>
        <w:t>（类）行政事业单位养老支出（款）机关事业单位职业年金缴费支出（项）: 支出决算为</w:t>
      </w:r>
      <w:r>
        <w:rPr>
          <w:rStyle w:val="19"/>
          <w:rFonts w:hint="eastAsia" w:ascii="仿宋_GB2312" w:hAnsi="仿宋_GB2312" w:eastAsia="仿宋_GB2312" w:cs="仿宋_GB2312"/>
          <w:b w:val="0"/>
          <w:bCs w:val="0"/>
          <w:color w:val="auto"/>
          <w:sz w:val="32"/>
          <w:szCs w:val="32"/>
          <w:highlight w:val="none"/>
          <w:lang w:val="en-US" w:eastAsia="zh-CN"/>
        </w:rPr>
        <w:t>16.28</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3AB56CBD">
      <w:pPr>
        <w:numPr>
          <w:ilvl w:val="0"/>
          <w:numId w:val="0"/>
        </w:numPr>
        <w:spacing w:line="600" w:lineRule="exact"/>
        <w:ind w:firstLine="640" w:firstLineChars="200"/>
        <w:rPr>
          <w:rStyle w:val="19"/>
          <w:rFonts w:hint="eastAsia" w:ascii="仿宋_GB2312" w:hAnsi="仿宋_GB2312" w:eastAsia="仿宋_GB2312" w:cs="仿宋_GB2312"/>
          <w:b w:val="0"/>
          <w:bCs w:val="0"/>
          <w:color w:val="auto"/>
          <w:sz w:val="32"/>
          <w:szCs w:val="32"/>
          <w:highlight w:val="none"/>
        </w:rPr>
      </w:pPr>
      <w:r>
        <w:rPr>
          <w:rStyle w:val="19"/>
          <w:rFonts w:hint="eastAsia" w:ascii="仿宋_GB2312" w:hAnsi="仿宋_GB2312" w:eastAsia="仿宋_GB2312" w:cs="仿宋_GB2312"/>
          <w:b w:val="0"/>
          <w:bCs w:val="0"/>
          <w:color w:val="auto"/>
          <w:sz w:val="32"/>
          <w:szCs w:val="32"/>
          <w:highlight w:val="none"/>
        </w:rPr>
        <w:t>社会保障和就业</w:t>
      </w:r>
      <w:r>
        <w:rPr>
          <w:rStyle w:val="19"/>
          <w:rFonts w:hint="eastAsia" w:ascii="仿宋_GB2312" w:hAnsi="仿宋_GB2312" w:eastAsia="仿宋_GB2312" w:cs="仿宋_GB2312"/>
          <w:b w:val="0"/>
          <w:bCs w:val="0"/>
          <w:color w:val="auto"/>
          <w:sz w:val="32"/>
          <w:szCs w:val="32"/>
          <w:highlight w:val="none"/>
          <w:lang w:eastAsia="zh-CN"/>
        </w:rPr>
        <w:t>支出</w:t>
      </w:r>
      <w:r>
        <w:rPr>
          <w:rStyle w:val="19"/>
          <w:rFonts w:hint="eastAsia" w:ascii="仿宋_GB2312" w:hAnsi="仿宋_GB2312" w:eastAsia="仿宋_GB2312" w:cs="仿宋_GB2312"/>
          <w:b w:val="0"/>
          <w:bCs w:val="0"/>
          <w:color w:val="auto"/>
          <w:sz w:val="32"/>
          <w:szCs w:val="32"/>
          <w:highlight w:val="none"/>
        </w:rPr>
        <w:t>（类）</w:t>
      </w:r>
      <w:r>
        <w:rPr>
          <w:rStyle w:val="19"/>
          <w:rFonts w:hint="eastAsia" w:ascii="仿宋_GB2312" w:hAnsi="仿宋_GB2312" w:eastAsia="仿宋_GB2312" w:cs="仿宋_GB2312"/>
          <w:b w:val="0"/>
          <w:bCs w:val="0"/>
          <w:color w:val="auto"/>
          <w:sz w:val="32"/>
          <w:szCs w:val="32"/>
          <w:highlight w:val="none"/>
        </w:rPr>
        <w:tab/>
      </w:r>
      <w:r>
        <w:rPr>
          <w:rStyle w:val="19"/>
          <w:rFonts w:hint="eastAsia" w:ascii="仿宋_GB2312" w:hAnsi="仿宋_GB2312" w:eastAsia="仿宋_GB2312" w:cs="仿宋_GB2312"/>
          <w:b w:val="0"/>
          <w:bCs w:val="0"/>
          <w:color w:val="auto"/>
          <w:sz w:val="32"/>
          <w:szCs w:val="32"/>
          <w:highlight w:val="none"/>
        </w:rPr>
        <w:t>抚恤（款）</w:t>
      </w:r>
      <w:r>
        <w:rPr>
          <w:rStyle w:val="19"/>
          <w:rFonts w:hint="eastAsia" w:ascii="仿宋_GB2312" w:hAnsi="仿宋_GB2312" w:eastAsia="仿宋_GB2312" w:cs="仿宋_GB2312"/>
          <w:b w:val="0"/>
          <w:bCs w:val="0"/>
          <w:color w:val="auto"/>
          <w:sz w:val="32"/>
          <w:szCs w:val="32"/>
          <w:highlight w:val="none"/>
        </w:rPr>
        <w:tab/>
      </w:r>
      <w:r>
        <w:rPr>
          <w:rStyle w:val="19"/>
          <w:rFonts w:hint="eastAsia" w:ascii="仿宋_GB2312" w:hAnsi="仿宋_GB2312" w:eastAsia="仿宋_GB2312" w:cs="仿宋_GB2312"/>
          <w:b w:val="0"/>
          <w:bCs w:val="0"/>
          <w:color w:val="auto"/>
          <w:sz w:val="32"/>
          <w:szCs w:val="32"/>
          <w:highlight w:val="none"/>
        </w:rPr>
        <w:t>死亡抚恤（项）: 支出决算为</w:t>
      </w:r>
      <w:r>
        <w:rPr>
          <w:rStyle w:val="19"/>
          <w:rFonts w:hint="eastAsia" w:ascii="仿宋_GB2312" w:hAnsi="仿宋_GB2312" w:eastAsia="仿宋_GB2312" w:cs="仿宋_GB2312"/>
          <w:b w:val="0"/>
          <w:bCs w:val="0"/>
          <w:color w:val="auto"/>
          <w:sz w:val="32"/>
          <w:szCs w:val="32"/>
          <w:highlight w:val="none"/>
          <w:lang w:val="en-US" w:eastAsia="zh-CN"/>
        </w:rPr>
        <w:t>45.85</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07F64CDD">
      <w:p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Style w:val="19"/>
          <w:rFonts w:hint="eastAsia" w:ascii="仿宋_GB2312" w:hAnsi="仿宋_GB2312" w:eastAsia="仿宋_GB2312" w:cs="仿宋_GB2312"/>
          <w:b w:val="0"/>
          <w:bCs w:val="0"/>
          <w:color w:val="auto"/>
          <w:sz w:val="32"/>
          <w:szCs w:val="32"/>
          <w:highlight w:val="none"/>
        </w:rPr>
        <w:t>社会保障和就业</w:t>
      </w:r>
      <w:r>
        <w:rPr>
          <w:rStyle w:val="19"/>
          <w:rFonts w:hint="eastAsia" w:ascii="仿宋_GB2312" w:hAnsi="仿宋_GB2312" w:eastAsia="仿宋_GB2312" w:cs="仿宋_GB2312"/>
          <w:b w:val="0"/>
          <w:bCs w:val="0"/>
          <w:color w:val="auto"/>
          <w:sz w:val="32"/>
          <w:szCs w:val="32"/>
          <w:highlight w:val="none"/>
          <w:lang w:eastAsia="zh-CN"/>
        </w:rPr>
        <w:t>支出</w:t>
      </w:r>
      <w:r>
        <w:rPr>
          <w:rStyle w:val="19"/>
          <w:rFonts w:hint="eastAsia" w:ascii="仿宋_GB2312" w:hAnsi="仿宋_GB2312" w:eastAsia="仿宋_GB2312" w:cs="仿宋_GB2312"/>
          <w:b w:val="0"/>
          <w:bCs w:val="0"/>
          <w:color w:val="auto"/>
          <w:sz w:val="32"/>
          <w:szCs w:val="32"/>
          <w:highlight w:val="none"/>
        </w:rPr>
        <w:t>（类）其他社会保障和就业支出（款）其他社会保障和就业支出（项）: 支出决算为</w:t>
      </w:r>
      <w:r>
        <w:rPr>
          <w:rStyle w:val="19"/>
          <w:rFonts w:hint="eastAsia" w:ascii="仿宋_GB2312" w:hAnsi="仿宋_GB2312" w:eastAsia="仿宋_GB2312" w:cs="仿宋_GB2312"/>
          <w:b w:val="0"/>
          <w:bCs w:val="0"/>
          <w:color w:val="auto"/>
          <w:sz w:val="32"/>
          <w:szCs w:val="32"/>
          <w:highlight w:val="none"/>
          <w:lang w:val="en-US" w:eastAsia="zh-CN"/>
        </w:rPr>
        <w:t>1.33</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610E240C">
      <w:pPr>
        <w:numPr>
          <w:ilvl w:val="0"/>
          <w:numId w:val="1"/>
        </w:numPr>
        <w:spacing w:line="600" w:lineRule="exact"/>
        <w:ind w:left="0" w:leftChars="0" w:firstLine="640" w:firstLineChars="200"/>
        <w:rPr>
          <w:rStyle w:val="19"/>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9"/>
          <w:rFonts w:hint="eastAsia" w:ascii="仿宋_GB2312" w:hAnsi="仿宋_GB2312" w:eastAsia="仿宋_GB2312" w:cs="仿宋_GB2312"/>
          <w:b w:val="0"/>
          <w:bCs w:val="0"/>
          <w:color w:val="auto"/>
          <w:sz w:val="32"/>
          <w:szCs w:val="32"/>
          <w:highlight w:val="none"/>
          <w:lang w:eastAsia="zh-CN"/>
        </w:rPr>
        <w:t>支出</w:t>
      </w:r>
      <w:r>
        <w:rPr>
          <w:rStyle w:val="19"/>
          <w:rFonts w:hint="eastAsia" w:ascii="仿宋_GB2312" w:hAnsi="仿宋_GB2312" w:eastAsia="仿宋_GB2312" w:cs="仿宋_GB2312"/>
          <w:b w:val="0"/>
          <w:bCs w:val="0"/>
          <w:color w:val="auto"/>
          <w:sz w:val="32"/>
          <w:szCs w:val="32"/>
          <w:highlight w:val="none"/>
        </w:rPr>
        <w:t>（类）行政事业单位医疗（款）行政单位医疗（项）:支出决算为</w:t>
      </w:r>
      <w:r>
        <w:rPr>
          <w:rStyle w:val="19"/>
          <w:rFonts w:hint="eastAsia" w:ascii="仿宋_GB2312" w:hAnsi="仿宋_GB2312" w:eastAsia="仿宋_GB2312" w:cs="仿宋_GB2312"/>
          <w:b w:val="0"/>
          <w:bCs w:val="0"/>
          <w:color w:val="auto"/>
          <w:sz w:val="32"/>
          <w:szCs w:val="32"/>
          <w:highlight w:val="none"/>
          <w:lang w:val="en-US" w:eastAsia="zh-CN"/>
        </w:rPr>
        <w:t>2.98</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0D587F4A">
      <w:pPr>
        <w:numPr>
          <w:ilvl w:val="0"/>
          <w:numId w:val="0"/>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Fonts w:hint="eastAsia" w:ascii="仿宋_GB2312" w:hAnsi="仿宋_GB2312" w:eastAsia="仿宋_GB2312" w:cs="仿宋_GB2312"/>
          <w:b w:val="0"/>
          <w:bCs w:val="0"/>
          <w:sz w:val="32"/>
          <w:szCs w:val="32"/>
        </w:rPr>
        <w:t>支出</w:t>
      </w:r>
      <w:r>
        <w:rPr>
          <w:rStyle w:val="19"/>
          <w:rFonts w:hint="eastAsia" w:ascii="仿宋_GB2312" w:hAnsi="仿宋_GB2312" w:eastAsia="仿宋_GB2312" w:cs="仿宋_GB2312"/>
          <w:b w:val="0"/>
          <w:bCs w:val="0"/>
          <w:color w:val="auto"/>
          <w:sz w:val="32"/>
          <w:szCs w:val="32"/>
          <w:highlight w:val="none"/>
        </w:rPr>
        <w:t>（类）行政事业单位医疗（款） 事业单位医疗（项）:支出决算为</w:t>
      </w:r>
      <w:r>
        <w:rPr>
          <w:rStyle w:val="19"/>
          <w:rFonts w:hint="eastAsia" w:ascii="仿宋_GB2312" w:hAnsi="仿宋_GB2312" w:eastAsia="仿宋_GB2312" w:cs="仿宋_GB2312"/>
          <w:b w:val="0"/>
          <w:bCs w:val="0"/>
          <w:color w:val="auto"/>
          <w:sz w:val="32"/>
          <w:szCs w:val="32"/>
          <w:highlight w:val="none"/>
          <w:lang w:val="en-US" w:eastAsia="zh-CN"/>
        </w:rPr>
        <w:t>0.97</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69136C21">
      <w:pPr>
        <w:spacing w:line="600" w:lineRule="exact"/>
        <w:ind w:firstLine="640" w:firstLineChars="200"/>
        <w:rPr>
          <w:rStyle w:val="19"/>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Fonts w:hint="eastAsia" w:ascii="仿宋_GB2312" w:hAnsi="仿宋_GB2312" w:eastAsia="仿宋_GB2312" w:cs="仿宋_GB2312"/>
          <w:b w:val="0"/>
          <w:bCs w:val="0"/>
          <w:sz w:val="32"/>
          <w:szCs w:val="32"/>
        </w:rPr>
        <w:t>支出</w:t>
      </w:r>
      <w:r>
        <w:rPr>
          <w:rStyle w:val="19"/>
          <w:rFonts w:hint="eastAsia" w:ascii="仿宋_GB2312" w:hAnsi="仿宋_GB2312" w:eastAsia="仿宋_GB2312" w:cs="仿宋_GB2312"/>
          <w:b w:val="0"/>
          <w:bCs w:val="0"/>
          <w:color w:val="auto"/>
          <w:sz w:val="32"/>
          <w:szCs w:val="32"/>
          <w:highlight w:val="none"/>
        </w:rPr>
        <w:t>（类）行政事业单位医疗（款） 公务员医疗补助（项）:支出决算为</w:t>
      </w:r>
      <w:r>
        <w:rPr>
          <w:rStyle w:val="19"/>
          <w:rFonts w:hint="eastAsia" w:ascii="仿宋_GB2312" w:hAnsi="仿宋_GB2312" w:eastAsia="仿宋_GB2312" w:cs="仿宋_GB2312"/>
          <w:b w:val="0"/>
          <w:bCs w:val="0"/>
          <w:color w:val="auto"/>
          <w:sz w:val="32"/>
          <w:szCs w:val="32"/>
          <w:highlight w:val="none"/>
          <w:lang w:val="en-US" w:eastAsia="zh-CN"/>
        </w:rPr>
        <w:t>1.65</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34454631">
      <w:pPr>
        <w:spacing w:line="600" w:lineRule="exact"/>
        <w:ind w:firstLine="640" w:firstLineChars="200"/>
        <w:rPr>
          <w:rFonts w:hint="eastAsia"/>
        </w:rPr>
      </w:pPr>
      <w:r>
        <w:rPr>
          <w:rFonts w:hint="eastAsia" w:ascii="仿宋_GB2312" w:hAnsi="仿宋_GB2312" w:eastAsia="仿宋_GB2312" w:cs="仿宋_GB2312"/>
          <w:b w:val="0"/>
          <w:bCs w:val="0"/>
          <w:color w:val="auto"/>
          <w:sz w:val="32"/>
          <w:szCs w:val="32"/>
          <w:highlight w:val="none"/>
        </w:rPr>
        <w:t>卫生健康</w:t>
      </w:r>
      <w:r>
        <w:rPr>
          <w:rFonts w:hint="eastAsia" w:ascii="仿宋_GB2312" w:hAnsi="仿宋_GB2312" w:eastAsia="仿宋_GB2312" w:cs="仿宋_GB2312"/>
          <w:b w:val="0"/>
          <w:bCs w:val="0"/>
          <w:sz w:val="32"/>
          <w:szCs w:val="32"/>
        </w:rPr>
        <w:t>支出</w:t>
      </w:r>
      <w:r>
        <w:rPr>
          <w:rStyle w:val="19"/>
          <w:rFonts w:hint="eastAsia" w:ascii="仿宋_GB2312" w:hAnsi="仿宋_GB2312" w:eastAsia="仿宋_GB2312" w:cs="仿宋_GB2312"/>
          <w:b w:val="0"/>
          <w:bCs w:val="0"/>
          <w:color w:val="auto"/>
          <w:sz w:val="32"/>
          <w:szCs w:val="32"/>
          <w:highlight w:val="none"/>
        </w:rPr>
        <w:t>（类）行政事业单位医疗（款） 其他行政事业单位医疗支出（项）:支出决算为</w:t>
      </w:r>
      <w:r>
        <w:rPr>
          <w:rStyle w:val="19"/>
          <w:rFonts w:hint="eastAsia" w:ascii="仿宋_GB2312" w:hAnsi="仿宋_GB2312" w:eastAsia="仿宋_GB2312" w:cs="仿宋_GB2312"/>
          <w:b w:val="0"/>
          <w:bCs w:val="0"/>
          <w:color w:val="auto"/>
          <w:sz w:val="32"/>
          <w:szCs w:val="32"/>
          <w:highlight w:val="none"/>
          <w:lang w:val="en-US" w:eastAsia="zh-CN"/>
        </w:rPr>
        <w:t>0.13</w:t>
      </w:r>
      <w:r>
        <w:rPr>
          <w:rStyle w:val="19"/>
          <w:rFonts w:hint="eastAsia" w:ascii="仿宋_GB2312" w:hAnsi="仿宋_GB2312" w:eastAsia="仿宋_GB2312" w:cs="仿宋_GB2312"/>
          <w:b w:val="0"/>
          <w:bCs w:val="0"/>
          <w:color w:val="auto"/>
          <w:sz w:val="32"/>
          <w:szCs w:val="32"/>
          <w:highlight w:val="none"/>
        </w:rPr>
        <w:t>万元，完成预算</w:t>
      </w:r>
      <w:r>
        <w:rPr>
          <w:rStyle w:val="19"/>
          <w:rFonts w:hint="eastAsia" w:ascii="仿宋_GB2312" w:hAnsi="仿宋_GB2312" w:eastAsia="仿宋_GB2312" w:cs="仿宋_GB2312"/>
          <w:b w:val="0"/>
          <w:bCs w:val="0"/>
          <w:color w:val="auto"/>
          <w:sz w:val="32"/>
          <w:szCs w:val="32"/>
          <w:highlight w:val="none"/>
          <w:lang w:val="en-US" w:eastAsia="zh-CN"/>
        </w:rPr>
        <w:t>100</w:t>
      </w:r>
      <w:r>
        <w:rPr>
          <w:rStyle w:val="19"/>
          <w:rFonts w:hint="eastAsia" w:ascii="仿宋_GB2312" w:hAnsi="仿宋_GB2312" w:eastAsia="仿宋_GB2312" w:cs="仿宋_GB2312"/>
          <w:b w:val="0"/>
          <w:bCs w:val="0"/>
          <w:color w:val="auto"/>
          <w:sz w:val="32"/>
          <w:szCs w:val="32"/>
          <w:highlight w:val="none"/>
        </w:rPr>
        <w:t>%，决算数等于预算数。</w:t>
      </w:r>
    </w:p>
    <w:p w14:paraId="62135C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住房保障</w:t>
      </w:r>
      <w:r>
        <w:rPr>
          <w:rStyle w:val="19"/>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sz w:val="32"/>
          <w:szCs w:val="32"/>
        </w:rPr>
        <w:t>（类）住房改革</w:t>
      </w:r>
      <w:r>
        <w:rPr>
          <w:rStyle w:val="19"/>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sz w:val="32"/>
          <w:szCs w:val="32"/>
        </w:rPr>
        <w:t>（款）住房公积金（项）：支出决算为</w:t>
      </w:r>
      <w:r>
        <w:rPr>
          <w:rFonts w:hint="eastAsia" w:ascii="仿宋_GB2312" w:hAnsi="仿宋_GB2312" w:eastAsia="仿宋_GB2312" w:cs="仿宋_GB2312"/>
          <w:b w:val="0"/>
          <w:bCs w:val="0"/>
          <w:sz w:val="32"/>
          <w:szCs w:val="32"/>
          <w:lang w:val="en-US" w:eastAsia="zh-CN"/>
        </w:rPr>
        <w:t>11.77</w:t>
      </w:r>
      <w:r>
        <w:rPr>
          <w:rFonts w:hint="eastAsia" w:ascii="仿宋_GB2312" w:hAnsi="仿宋_GB2312" w:eastAsia="仿宋_GB2312" w:cs="仿宋_GB2312"/>
          <w:b w:val="0"/>
          <w:bCs w:val="0"/>
          <w:sz w:val="32"/>
          <w:szCs w:val="32"/>
        </w:rPr>
        <w:t>万元，完成预算100%，决算数等于预算数</w:t>
      </w:r>
      <w:r>
        <w:rPr>
          <w:rFonts w:hint="eastAsia" w:ascii="仿宋_GB2312" w:hAnsi="仿宋_GB2312" w:eastAsia="仿宋_GB2312" w:cs="仿宋_GB2312"/>
          <w:b w:val="0"/>
          <w:bCs w:val="0"/>
          <w:sz w:val="32"/>
          <w:szCs w:val="32"/>
          <w:lang w:eastAsia="zh-CN"/>
        </w:rPr>
        <w:t>。</w:t>
      </w:r>
    </w:p>
    <w:p w14:paraId="2F6103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粮油物资储备</w:t>
      </w:r>
      <w:r>
        <w:rPr>
          <w:rStyle w:val="19"/>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sz w:val="32"/>
          <w:szCs w:val="32"/>
        </w:rPr>
        <w:t>（类）粮油物资事务（款）行政运行（项）：支出决算为</w:t>
      </w:r>
      <w:r>
        <w:rPr>
          <w:rFonts w:hint="eastAsia" w:ascii="仿宋_GB2312" w:hAnsi="仿宋_GB2312" w:eastAsia="仿宋_GB2312" w:cs="仿宋_GB2312"/>
          <w:b w:val="0"/>
          <w:bCs w:val="0"/>
          <w:sz w:val="32"/>
          <w:szCs w:val="32"/>
          <w:lang w:val="en-US" w:eastAsia="zh-CN"/>
        </w:rPr>
        <w:t>108.13</w:t>
      </w:r>
      <w:r>
        <w:rPr>
          <w:rFonts w:hint="eastAsia" w:ascii="仿宋_GB2312" w:hAnsi="仿宋_GB2312" w:eastAsia="仿宋_GB2312" w:cs="仿宋_GB2312"/>
          <w:b w:val="0"/>
          <w:bCs w:val="0"/>
          <w:sz w:val="32"/>
          <w:szCs w:val="32"/>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%，决算数等于预算数</w:t>
      </w:r>
      <w:r>
        <w:rPr>
          <w:rFonts w:hint="eastAsia" w:ascii="仿宋_GB2312" w:hAnsi="仿宋_GB2312" w:eastAsia="仿宋_GB2312" w:cs="仿宋_GB2312"/>
          <w:b w:val="0"/>
          <w:bCs w:val="0"/>
          <w:sz w:val="32"/>
          <w:szCs w:val="32"/>
          <w:lang w:eastAsia="zh-CN"/>
        </w:rPr>
        <w:t>。</w:t>
      </w:r>
    </w:p>
    <w:p w14:paraId="10433F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粮油物资储备</w:t>
      </w:r>
      <w:r>
        <w:rPr>
          <w:rStyle w:val="19"/>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sz w:val="32"/>
          <w:szCs w:val="32"/>
        </w:rPr>
        <w:t>（类）粮油物资事务（款）事业运行（项）：支出决算为</w:t>
      </w:r>
      <w:r>
        <w:rPr>
          <w:rFonts w:hint="eastAsia" w:ascii="仿宋_GB2312" w:hAnsi="仿宋_GB2312" w:eastAsia="仿宋_GB2312" w:cs="仿宋_GB2312"/>
          <w:b w:val="0"/>
          <w:bCs w:val="0"/>
          <w:sz w:val="32"/>
          <w:szCs w:val="32"/>
          <w:lang w:val="en-US" w:eastAsia="zh-CN"/>
        </w:rPr>
        <w:t>25.95</w:t>
      </w:r>
      <w:r>
        <w:rPr>
          <w:rFonts w:hint="eastAsia" w:ascii="仿宋_GB2312" w:hAnsi="仿宋_GB2312" w:eastAsia="仿宋_GB2312" w:cs="仿宋_GB2312"/>
          <w:b w:val="0"/>
          <w:bCs w:val="0"/>
          <w:sz w:val="32"/>
          <w:szCs w:val="32"/>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%，决算数等于预算数</w:t>
      </w:r>
      <w:r>
        <w:rPr>
          <w:rFonts w:hint="eastAsia" w:ascii="仿宋_GB2312" w:hAnsi="仿宋_GB2312" w:eastAsia="仿宋_GB2312" w:cs="仿宋_GB2312"/>
          <w:b w:val="0"/>
          <w:bCs w:val="0"/>
          <w:sz w:val="32"/>
          <w:szCs w:val="32"/>
          <w:lang w:eastAsia="zh-CN"/>
        </w:rPr>
        <w:t>。</w:t>
      </w:r>
    </w:p>
    <w:p w14:paraId="7DF0EF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粮油物资储备</w:t>
      </w:r>
      <w:r>
        <w:rPr>
          <w:rStyle w:val="19"/>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sz w:val="32"/>
          <w:szCs w:val="32"/>
        </w:rPr>
        <w:t>（类）粮油物资事务（款）其他粮油物资事务支出（项）：支出决算为</w:t>
      </w:r>
      <w:r>
        <w:rPr>
          <w:rFonts w:hint="eastAsia" w:ascii="仿宋_GB2312" w:hAnsi="仿宋_GB2312" w:eastAsia="仿宋_GB2312" w:cs="仿宋_GB2312"/>
          <w:b w:val="0"/>
          <w:bCs w:val="0"/>
          <w:sz w:val="32"/>
          <w:szCs w:val="32"/>
          <w:lang w:val="en-US" w:eastAsia="zh-CN"/>
        </w:rPr>
        <w:t>108.43</w:t>
      </w:r>
      <w:r>
        <w:rPr>
          <w:rFonts w:hint="eastAsia" w:ascii="仿宋_GB2312" w:hAnsi="仿宋_GB2312" w:eastAsia="仿宋_GB2312" w:cs="仿宋_GB2312"/>
          <w:b w:val="0"/>
          <w:bCs w:val="0"/>
          <w:sz w:val="32"/>
          <w:szCs w:val="32"/>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%，决算数等于预算数</w:t>
      </w:r>
      <w:r>
        <w:rPr>
          <w:rFonts w:hint="eastAsia" w:ascii="仿宋_GB2312" w:hAnsi="仿宋_GB2312" w:eastAsia="仿宋_GB2312" w:cs="仿宋_GB2312"/>
          <w:b w:val="0"/>
          <w:bCs w:val="0"/>
          <w:sz w:val="32"/>
          <w:szCs w:val="32"/>
          <w:lang w:eastAsia="zh-CN"/>
        </w:rPr>
        <w:t>。</w:t>
      </w:r>
    </w:p>
    <w:p w14:paraId="560B8E89">
      <w:pPr>
        <w:tabs>
          <w:tab w:val="right" w:pos="8306"/>
        </w:tabs>
        <w:spacing w:line="600" w:lineRule="exact"/>
        <w:ind w:firstLine="640"/>
        <w:outlineLvl w:val="1"/>
        <w:rPr>
          <w:rStyle w:val="31"/>
          <w:rFonts w:hint="eastAsia" w:ascii="仿宋_GB2312" w:hAnsi="仿宋_GB2312" w:eastAsia="仿宋_GB2312" w:cs="仿宋_GB2312"/>
          <w:color w:val="auto"/>
          <w:highlight w:val="none"/>
        </w:rPr>
      </w:pPr>
      <w:bookmarkStart w:id="34" w:name="_Toc15396608"/>
      <w:bookmarkStart w:id="35" w:name="_Toc15377214"/>
      <w:r>
        <w:rPr>
          <w:rFonts w:hint="eastAsia" w:ascii="黑体" w:hAnsi="黑体" w:eastAsia="黑体" w:cs="黑体"/>
          <w:color w:val="auto"/>
          <w:sz w:val="32"/>
          <w:szCs w:val="32"/>
          <w:highlight w:val="none"/>
        </w:rPr>
        <w:t>六</w:t>
      </w:r>
      <w:r>
        <w:rPr>
          <w:rFonts w:hint="eastAsia" w:ascii="黑体" w:hAnsi="黑体" w:eastAsia="黑体" w:cs="黑体"/>
          <w:b/>
          <w:color w:val="auto"/>
          <w:sz w:val="32"/>
          <w:szCs w:val="32"/>
          <w:highlight w:val="none"/>
        </w:rPr>
        <w:t>、一</w:t>
      </w:r>
      <w:r>
        <w:rPr>
          <w:rStyle w:val="31"/>
          <w:rFonts w:hint="eastAsia" w:ascii="黑体" w:hAnsi="黑体" w:eastAsia="黑体" w:cs="黑体"/>
          <w:b w:val="0"/>
          <w:color w:val="auto"/>
          <w:highlight w:val="none"/>
        </w:rPr>
        <w:t>般公共预算财政拨款基本支出决算情况说明</w:t>
      </w:r>
      <w:bookmarkEnd w:id="34"/>
      <w:bookmarkEnd w:id="35"/>
      <w:r>
        <w:rPr>
          <w:rStyle w:val="31"/>
          <w:rFonts w:hint="eastAsia" w:ascii="仿宋_GB2312" w:hAnsi="仿宋_GB2312" w:eastAsia="仿宋_GB2312" w:cs="仿宋_GB2312"/>
          <w:b w:val="0"/>
          <w:color w:val="auto"/>
          <w:highlight w:val="none"/>
        </w:rPr>
        <w:tab/>
      </w:r>
    </w:p>
    <w:p w14:paraId="00BD333A">
      <w:pPr>
        <w:spacing w:line="600" w:lineRule="exact"/>
        <w:ind w:firstLine="645"/>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年一般公共预算财政拨款基本支出229.21万元，其中：</w:t>
      </w:r>
    </w:p>
    <w:p w14:paraId="62B69E98">
      <w:pPr>
        <w:spacing w:line="600" w:lineRule="exact"/>
        <w:ind w:firstLine="645"/>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rPr>
        <w:t>人员经费</w:t>
      </w:r>
      <w:r>
        <w:rPr>
          <w:rFonts w:hint="eastAsia" w:ascii="仿宋_GB2312" w:hAnsi="仿宋_GB2312" w:eastAsia="仿宋_GB2312" w:cs="仿宋_GB2312"/>
          <w:color w:val="auto"/>
          <w:sz w:val="32"/>
          <w:szCs w:val="32"/>
          <w:highlight w:val="none"/>
          <w:lang w:val="en-US" w:eastAsia="zh-CN"/>
        </w:rPr>
        <w:t>208.77</w:t>
      </w:r>
      <w:r>
        <w:rPr>
          <w:rFonts w:hint="eastAsia" w:ascii="仿宋_GB2312" w:hAnsi="仿宋_GB2312" w:eastAsia="仿宋_GB2312" w:cs="仿宋_GB2312"/>
          <w:color w:val="auto"/>
          <w:sz w:val="32"/>
          <w:szCs w:val="32"/>
          <w:highlight w:val="none"/>
        </w:rPr>
        <w:t>万元，主要包括：</w:t>
      </w:r>
      <w:r>
        <w:rPr>
          <w:rFonts w:hint="eastAsia" w:ascii="仿宋_GB2312" w:hAnsi="仿宋_GB2312" w:eastAsia="仿宋_GB2312" w:cs="仿宋_GB2312"/>
          <w:b w:val="0"/>
          <w:bCs w:val="0"/>
          <w:color w:val="auto"/>
          <w:sz w:val="32"/>
          <w:szCs w:val="32"/>
          <w:highlight w:val="none"/>
        </w:rPr>
        <w:t>基本工资、津贴补贴、奖金、伙食补助费、绩效工资、机关事业单位基本养老保险缴费、其他社会保障缴费、其他工资福利支出</w:t>
      </w:r>
      <w:r>
        <w:rPr>
          <w:rFonts w:hint="eastAsia" w:ascii="仿宋_GB2312" w:hAnsi="仿宋_GB2312" w:eastAsia="仿宋_GB2312" w:cs="仿宋_GB2312"/>
          <w:color w:val="auto"/>
          <w:sz w:val="32"/>
          <w:szCs w:val="32"/>
          <w:highlight w:val="none"/>
        </w:rPr>
        <w:t>、抚恤金、生活补助、</w:t>
      </w:r>
      <w:r>
        <w:rPr>
          <w:rFonts w:hint="eastAsia" w:ascii="仿宋_GB2312" w:hAnsi="仿宋_GB2312" w:eastAsia="仿宋_GB2312" w:cs="仿宋_GB2312"/>
          <w:b w:val="0"/>
          <w:bCs w:val="0"/>
          <w:color w:val="auto"/>
          <w:sz w:val="32"/>
          <w:szCs w:val="32"/>
          <w:highlight w:val="none"/>
        </w:rPr>
        <w:t>医疗费补助</w:t>
      </w:r>
      <w:r>
        <w:rPr>
          <w:rFonts w:hint="eastAsia" w:ascii="仿宋_GB2312" w:hAnsi="仿宋_GB2312" w:eastAsia="仿宋_GB2312" w:cs="仿宋_GB2312"/>
          <w:color w:val="auto"/>
          <w:sz w:val="32"/>
          <w:szCs w:val="32"/>
          <w:highlight w:val="none"/>
        </w:rPr>
        <w:t>、奖励金、</w:t>
      </w:r>
      <w:r>
        <w:rPr>
          <w:rFonts w:hint="eastAsia" w:ascii="仿宋_GB2312" w:hAnsi="仿宋_GB2312" w:eastAsia="仿宋_GB2312" w:cs="仿宋_GB2312"/>
          <w:b w:val="0"/>
          <w:bCs w:val="0"/>
          <w:color w:val="auto"/>
          <w:sz w:val="32"/>
          <w:szCs w:val="32"/>
          <w:highlight w:val="none"/>
        </w:rPr>
        <w:t>住房公积金等。</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rPr>
        <w:t>　　公用经费</w:t>
      </w:r>
      <w:r>
        <w:rPr>
          <w:rFonts w:hint="eastAsia" w:ascii="仿宋_GB2312" w:hAnsi="仿宋_GB2312" w:eastAsia="仿宋_GB2312" w:cs="仿宋_GB2312"/>
          <w:color w:val="auto"/>
          <w:sz w:val="32"/>
          <w:szCs w:val="32"/>
          <w:highlight w:val="none"/>
          <w:lang w:val="en-US" w:eastAsia="zh-CN"/>
        </w:rPr>
        <w:t>20.45</w:t>
      </w:r>
      <w:r>
        <w:rPr>
          <w:rFonts w:hint="eastAsia" w:ascii="仿宋_GB2312" w:hAnsi="仿宋_GB2312" w:eastAsia="仿宋_GB2312" w:cs="仿宋_GB2312"/>
          <w:color w:val="auto"/>
          <w:sz w:val="32"/>
          <w:szCs w:val="32"/>
          <w:highlight w:val="none"/>
        </w:rPr>
        <w:t>万元，主要包括：</w:t>
      </w:r>
      <w:r>
        <w:rPr>
          <w:rFonts w:hint="eastAsia" w:ascii="仿宋_GB2312" w:hAnsi="仿宋_GB2312" w:eastAsia="仿宋_GB2312" w:cs="仿宋_GB2312"/>
          <w:b w:val="0"/>
          <w:bCs w:val="0"/>
          <w:color w:val="auto"/>
          <w:sz w:val="32"/>
          <w:szCs w:val="32"/>
          <w:highlight w:val="none"/>
        </w:rPr>
        <w:t>办公费、水费、邮电费、物业管理费、差旅费、维修（护）费、公务接待费、劳务费、委托业务费、工会经费、福利费、其他交通费、其他商品和服务支出等。</w:t>
      </w:r>
    </w:p>
    <w:p w14:paraId="7B69DAC2">
      <w:pPr>
        <w:spacing w:line="600" w:lineRule="exact"/>
        <w:ind w:firstLine="640"/>
        <w:outlineLvl w:val="1"/>
        <w:rPr>
          <w:rStyle w:val="31"/>
          <w:rFonts w:hint="eastAsia" w:ascii="黑体" w:hAnsi="黑体" w:eastAsia="黑体" w:cs="黑体"/>
          <w:b w:val="0"/>
          <w:color w:val="auto"/>
          <w:highlight w:val="none"/>
        </w:rPr>
      </w:pPr>
      <w:bookmarkStart w:id="36" w:name="_Toc15396609"/>
      <w:bookmarkStart w:id="37" w:name="_Toc15377215"/>
      <w:r>
        <w:rPr>
          <w:rFonts w:hint="eastAsia" w:ascii="黑体" w:hAnsi="黑体" w:eastAsia="黑体" w:cs="黑体"/>
          <w:color w:val="auto"/>
          <w:sz w:val="32"/>
          <w:szCs w:val="32"/>
          <w:highlight w:val="none"/>
        </w:rPr>
        <w:t>七、</w:t>
      </w:r>
      <w:r>
        <w:rPr>
          <w:rStyle w:val="31"/>
          <w:rFonts w:hint="eastAsia" w:ascii="黑体" w:hAnsi="黑体" w:eastAsia="黑体" w:cs="黑体"/>
          <w:b w:val="0"/>
          <w:color w:val="auto"/>
          <w:highlight w:val="none"/>
        </w:rPr>
        <w:t>财政拨款</w:t>
      </w:r>
      <w:r>
        <w:rPr>
          <w:rStyle w:val="31"/>
          <w:rFonts w:hint="eastAsia" w:ascii="黑体" w:hAnsi="黑体" w:eastAsia="黑体" w:cs="黑体"/>
          <w:color w:val="auto"/>
          <w:highlight w:val="none"/>
        </w:rPr>
        <w:t>“</w:t>
      </w:r>
      <w:r>
        <w:rPr>
          <w:rStyle w:val="31"/>
          <w:rFonts w:hint="eastAsia" w:ascii="黑体" w:hAnsi="黑体" w:eastAsia="黑体" w:cs="黑体"/>
          <w:b w:val="0"/>
          <w:color w:val="auto"/>
          <w:highlight w:val="none"/>
        </w:rPr>
        <w:t>三公”经费支出决算情况说明</w:t>
      </w:r>
      <w:bookmarkEnd w:id="36"/>
      <w:bookmarkEnd w:id="37"/>
    </w:p>
    <w:p w14:paraId="6B30A297">
      <w:pPr>
        <w:spacing w:line="600" w:lineRule="exact"/>
        <w:ind w:firstLine="640"/>
        <w:outlineLvl w:val="2"/>
        <w:rPr>
          <w:rFonts w:hint="eastAsia" w:ascii="仿宋_GB2312" w:hAnsi="仿宋_GB2312" w:eastAsia="仿宋_GB2312" w:cs="仿宋_GB2312"/>
          <w:b/>
          <w:color w:val="auto"/>
          <w:sz w:val="32"/>
          <w:szCs w:val="32"/>
          <w:highlight w:val="none"/>
        </w:rPr>
      </w:pPr>
      <w:bookmarkStart w:id="38" w:name="_Toc15377216"/>
      <w:r>
        <w:rPr>
          <w:rFonts w:hint="eastAsia" w:ascii="仿宋_GB2312" w:hAnsi="仿宋_GB2312" w:eastAsia="仿宋_GB2312" w:cs="仿宋_GB2312"/>
          <w:b/>
          <w:color w:val="auto"/>
          <w:sz w:val="32"/>
          <w:szCs w:val="32"/>
          <w:highlight w:val="none"/>
        </w:rPr>
        <w:t>（一）“三公”经费财政拨款支出决算总体情况说明</w:t>
      </w:r>
      <w:bookmarkEnd w:id="38"/>
    </w:p>
    <w:p w14:paraId="7882A31A">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年“三公”经费财政拨款支出决算为</w:t>
      </w:r>
      <w:r>
        <w:rPr>
          <w:rFonts w:hint="eastAsia" w:ascii="仿宋_GB2312" w:hAnsi="仿宋_GB2312" w:eastAsia="仿宋_GB2312" w:cs="仿宋_GB2312"/>
          <w:color w:val="auto"/>
          <w:sz w:val="32"/>
          <w:szCs w:val="32"/>
          <w:highlight w:val="none"/>
          <w:lang w:val="en-US" w:eastAsia="zh-CN"/>
        </w:rPr>
        <w:t>0.08</w:t>
      </w:r>
      <w:r>
        <w:rPr>
          <w:rFonts w:hint="eastAsia" w:ascii="仿宋_GB2312" w:hAnsi="仿宋_GB2312" w:eastAsia="仿宋_GB2312" w:cs="仿宋_GB2312"/>
          <w:color w:val="auto"/>
          <w:sz w:val="32"/>
          <w:szCs w:val="32"/>
          <w:highlight w:val="none"/>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较上年减少</w:t>
      </w:r>
      <w:r>
        <w:rPr>
          <w:rFonts w:hint="eastAsia" w:ascii="仿宋_GB2312" w:hAnsi="仿宋_GB2312" w:eastAsia="仿宋_GB2312" w:cs="仿宋_GB2312"/>
          <w:color w:val="auto"/>
          <w:sz w:val="32"/>
          <w:szCs w:val="32"/>
          <w:highlight w:val="none"/>
          <w:lang w:val="en-US" w:eastAsia="zh-CN"/>
        </w:rPr>
        <w:t>0.07万元，减少46.67%。</w:t>
      </w:r>
      <w:r>
        <w:rPr>
          <w:rFonts w:hint="eastAsia" w:ascii="仿宋_GB2312" w:hAnsi="仿宋_GB2312" w:eastAsia="仿宋_GB2312" w:cs="仿宋_GB2312"/>
          <w:color w:val="auto"/>
          <w:sz w:val="32"/>
          <w:szCs w:val="32"/>
          <w:highlight w:val="none"/>
        </w:rPr>
        <w:t>决算数与预算数持平。</w:t>
      </w:r>
    </w:p>
    <w:p w14:paraId="43EE1287">
      <w:pPr>
        <w:spacing w:line="600" w:lineRule="exact"/>
        <w:ind w:firstLine="640"/>
        <w:outlineLvl w:val="2"/>
        <w:rPr>
          <w:rFonts w:hint="eastAsia" w:ascii="仿宋_GB2312" w:hAnsi="仿宋_GB2312" w:eastAsia="仿宋_GB2312" w:cs="仿宋_GB2312"/>
          <w:b/>
          <w:color w:val="auto"/>
          <w:sz w:val="32"/>
          <w:szCs w:val="32"/>
          <w:highlight w:val="none"/>
        </w:rPr>
      </w:pPr>
      <w:bookmarkStart w:id="39" w:name="_Toc15377217"/>
      <w:r>
        <w:rPr>
          <w:rFonts w:hint="eastAsia" w:ascii="仿宋_GB2312" w:hAnsi="仿宋_GB2312" w:eastAsia="仿宋_GB2312" w:cs="仿宋_GB2312"/>
          <w:b/>
          <w:color w:val="auto"/>
          <w:sz w:val="32"/>
          <w:szCs w:val="32"/>
          <w:highlight w:val="none"/>
        </w:rPr>
        <w:t>（二）“三公”经费财政拨款支出决算具体情况说明</w:t>
      </w:r>
      <w:bookmarkEnd w:id="39"/>
    </w:p>
    <w:p w14:paraId="41486629">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年“三公”经费财政拨款支出决算中，因公出国（境）费支出决算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%；公务用车购置及运行维护费支出决算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%；公务接待费支出决算</w:t>
      </w:r>
      <w:r>
        <w:rPr>
          <w:rFonts w:hint="eastAsia" w:ascii="仿宋_GB2312" w:hAnsi="仿宋_GB2312" w:eastAsia="仿宋_GB2312" w:cs="仿宋_GB2312"/>
          <w:color w:val="auto"/>
          <w:sz w:val="32"/>
          <w:szCs w:val="32"/>
          <w:highlight w:val="none"/>
          <w:lang w:val="en-US" w:eastAsia="zh-CN"/>
        </w:rPr>
        <w:t>0.08</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%。具体情况如下：</w:t>
      </w:r>
    </w:p>
    <w:p w14:paraId="5A86A10E">
      <w:pPr>
        <w:pStyle w:val="7"/>
        <w:rPr>
          <w:rFonts w:hint="eastAsia" w:eastAsia="仿宋"/>
          <w:lang w:eastAsia="zh-CN"/>
        </w:rPr>
      </w:pPr>
      <w:r>
        <w:drawing>
          <wp:inline distT="0" distB="0" distL="114300" distR="114300">
            <wp:extent cx="5039995" cy="2452370"/>
            <wp:effectExtent l="4445" t="4445" r="22860" b="1968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0DA33B">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（图7：“三公”经费财政拨款支出结构）（饼状图）</w:t>
      </w:r>
    </w:p>
    <w:p w14:paraId="7B053E33">
      <w:pPr>
        <w:spacing w:line="600" w:lineRule="exact"/>
        <w:ind w:firstLine="640"/>
        <w:rPr>
          <w:rFonts w:hint="eastAsia" w:ascii="仿宋_GB2312" w:hAnsi="仿宋_GB2312" w:eastAsia="仿宋_GB2312" w:cs="仿宋_GB2312"/>
          <w:b/>
          <w:color w:val="auto"/>
          <w:sz w:val="32"/>
          <w:szCs w:val="32"/>
          <w:highlight w:val="none"/>
        </w:rPr>
      </w:pPr>
    </w:p>
    <w:p w14:paraId="244D3CEE">
      <w:pPr>
        <w:spacing w:line="60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val="0"/>
          <w:color w:val="auto"/>
          <w:sz w:val="32"/>
          <w:szCs w:val="32"/>
          <w:highlight w:val="none"/>
        </w:rPr>
        <w:t>1.因公出国（境）经费支出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r>
        <w:rPr>
          <w:rStyle w:val="19"/>
          <w:rFonts w:hint="eastAsia" w:ascii="仿宋_GB2312" w:hAnsi="仿宋_GB2312" w:eastAsia="仿宋_GB2312" w:cs="仿宋_GB2312"/>
          <w:b w:val="0"/>
          <w:bCs/>
          <w:color w:val="auto"/>
          <w:sz w:val="32"/>
          <w:szCs w:val="32"/>
          <w:highlight w:val="none"/>
        </w:rPr>
        <w:t>完成预算</w:t>
      </w:r>
      <w:r>
        <w:rPr>
          <w:rStyle w:val="19"/>
          <w:rFonts w:hint="eastAsia" w:ascii="仿宋_GB2312" w:hAnsi="仿宋_GB2312" w:eastAsia="仿宋_GB2312" w:cs="仿宋_GB2312"/>
          <w:b w:val="0"/>
          <w:bCs/>
          <w:color w:val="auto"/>
          <w:sz w:val="32"/>
          <w:szCs w:val="32"/>
          <w:highlight w:val="none"/>
          <w:lang w:val="en-US" w:eastAsia="zh-CN"/>
        </w:rPr>
        <w:t>0</w:t>
      </w:r>
      <w:r>
        <w:rPr>
          <w:rStyle w:val="19"/>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color w:val="auto"/>
          <w:sz w:val="32"/>
          <w:szCs w:val="32"/>
          <w:highlight w:val="none"/>
        </w:rPr>
        <w:t>全年安排因公出国（境）团组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次，出国（境）</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人。因公出国（境）支出决算比20</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年增加/减少</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万元，增长/下降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p>
    <w:p w14:paraId="04FE0075">
      <w:pPr>
        <w:spacing w:line="60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val="0"/>
          <w:color w:val="auto"/>
          <w:sz w:val="32"/>
          <w:szCs w:val="32"/>
          <w:highlight w:val="none"/>
        </w:rPr>
        <w:t>2.公务用车购置及运行维护费支出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b w:val="0"/>
          <w:bCs/>
          <w:color w:val="auto"/>
          <w:sz w:val="32"/>
          <w:szCs w:val="32"/>
          <w:highlight w:val="none"/>
        </w:rPr>
        <w:t>万</w:t>
      </w:r>
      <w:r>
        <w:rPr>
          <w:rFonts w:hint="eastAsia" w:ascii="仿宋_GB2312" w:hAnsi="仿宋_GB2312" w:eastAsia="仿宋_GB2312" w:cs="仿宋_GB2312"/>
          <w:color w:val="auto"/>
          <w:sz w:val="32"/>
          <w:szCs w:val="32"/>
          <w:highlight w:val="none"/>
        </w:rPr>
        <w:t>元,</w:t>
      </w:r>
      <w:r>
        <w:rPr>
          <w:rStyle w:val="19"/>
          <w:rFonts w:hint="eastAsia" w:ascii="仿宋_GB2312" w:hAnsi="仿宋_GB2312" w:eastAsia="仿宋_GB2312" w:cs="仿宋_GB2312"/>
          <w:b w:val="0"/>
          <w:bCs/>
          <w:color w:val="auto"/>
          <w:sz w:val="32"/>
          <w:szCs w:val="32"/>
          <w:highlight w:val="none"/>
        </w:rPr>
        <w:t>完成预算</w:t>
      </w:r>
      <w:r>
        <w:rPr>
          <w:rStyle w:val="19"/>
          <w:rFonts w:hint="eastAsia" w:ascii="仿宋_GB2312" w:hAnsi="仿宋_GB2312" w:eastAsia="仿宋_GB2312" w:cs="仿宋_GB2312"/>
          <w:b w:val="0"/>
          <w:bCs/>
          <w:color w:val="auto"/>
          <w:sz w:val="32"/>
          <w:szCs w:val="32"/>
          <w:highlight w:val="none"/>
          <w:lang w:val="en-US" w:eastAsia="zh-CN"/>
        </w:rPr>
        <w:t>0</w:t>
      </w:r>
      <w:r>
        <w:rPr>
          <w:rStyle w:val="19"/>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color w:val="auto"/>
          <w:sz w:val="32"/>
          <w:szCs w:val="32"/>
          <w:highlight w:val="none"/>
        </w:rPr>
        <w:t>公务用车购置及运行维护费支出决算比</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年增加/减少</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万元，增长/下降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p>
    <w:p w14:paraId="7CE39E58">
      <w:pPr>
        <w:spacing w:line="600" w:lineRule="exact"/>
        <w:ind w:firstLine="640"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其中：</w:t>
      </w:r>
      <w:r>
        <w:rPr>
          <w:rFonts w:hint="eastAsia" w:ascii="仿宋_GB2312" w:hAnsi="仿宋_GB2312" w:eastAsia="仿宋_GB2312" w:cs="仿宋_GB2312"/>
          <w:b/>
          <w:bCs w:val="0"/>
          <w:color w:val="auto"/>
          <w:sz w:val="32"/>
          <w:szCs w:val="32"/>
          <w:highlight w:val="none"/>
        </w:rPr>
        <w:t>公务用车购置支出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万元。全年按规定更新购置公务用车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color w:val="auto"/>
          <w:sz w:val="32"/>
          <w:szCs w:val="32"/>
          <w:highlight w:val="none"/>
        </w:rPr>
        <w:t>截至</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年12月底，单位共有公务用车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p>
    <w:p w14:paraId="42218584">
      <w:pPr>
        <w:spacing w:line="600" w:lineRule="exact"/>
        <w:ind w:firstLine="640"/>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bCs w:val="0"/>
          <w:color w:val="auto"/>
          <w:sz w:val="32"/>
          <w:szCs w:val="32"/>
          <w:highlight w:val="none"/>
        </w:rPr>
        <w:t>公务用车运行维护费</w:t>
      </w:r>
      <w:r>
        <w:rPr>
          <w:rFonts w:hint="eastAsia" w:ascii="仿宋_GB2312" w:hAnsi="仿宋_GB2312" w:eastAsia="仿宋_GB2312" w:cs="仿宋_GB2312"/>
          <w:b w:val="0"/>
          <w:bCs/>
          <w:color w:val="auto"/>
          <w:sz w:val="32"/>
          <w:szCs w:val="32"/>
          <w:highlight w:val="none"/>
        </w:rPr>
        <w:t>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b w:val="0"/>
          <w:bCs/>
          <w:color w:val="auto"/>
          <w:sz w:val="32"/>
          <w:szCs w:val="32"/>
          <w:highlight w:val="none"/>
        </w:rPr>
        <w:t>万元。</w:t>
      </w:r>
    </w:p>
    <w:p w14:paraId="18F3C02F">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val="0"/>
          <w:color w:val="auto"/>
          <w:sz w:val="32"/>
          <w:szCs w:val="32"/>
          <w:highlight w:val="none"/>
        </w:rPr>
        <w:t>3.公务接待费支出</w:t>
      </w:r>
      <w:r>
        <w:rPr>
          <w:rFonts w:hint="eastAsia" w:ascii="仿宋_GB2312" w:hAnsi="仿宋_GB2312" w:eastAsia="仿宋_GB2312" w:cs="仿宋_GB2312"/>
          <w:b w:val="0"/>
          <w:bCs/>
          <w:color w:val="auto"/>
          <w:sz w:val="32"/>
          <w:szCs w:val="32"/>
          <w:highlight w:val="none"/>
          <w:lang w:val="en-US" w:eastAsia="zh-CN"/>
        </w:rPr>
        <w:t>0.08</w:t>
      </w:r>
      <w:r>
        <w:rPr>
          <w:rFonts w:hint="eastAsia" w:ascii="仿宋_GB2312" w:hAnsi="仿宋_GB2312" w:eastAsia="仿宋_GB2312" w:cs="仿宋_GB2312"/>
          <w:b w:val="0"/>
          <w:bCs/>
          <w:color w:val="auto"/>
          <w:sz w:val="32"/>
          <w:szCs w:val="32"/>
          <w:highlight w:val="none"/>
        </w:rPr>
        <w:t>万</w:t>
      </w:r>
      <w:r>
        <w:rPr>
          <w:rFonts w:hint="eastAsia" w:ascii="仿宋_GB2312" w:hAnsi="仿宋_GB2312" w:eastAsia="仿宋_GB2312" w:cs="仿宋_GB2312"/>
          <w:color w:val="auto"/>
          <w:sz w:val="32"/>
          <w:szCs w:val="32"/>
          <w:highlight w:val="none"/>
        </w:rPr>
        <w:t>元，</w:t>
      </w:r>
      <w:r>
        <w:rPr>
          <w:rStyle w:val="19"/>
          <w:rFonts w:hint="eastAsia" w:ascii="仿宋_GB2312" w:hAnsi="仿宋_GB2312" w:eastAsia="仿宋_GB2312" w:cs="仿宋_GB2312"/>
          <w:b w:val="0"/>
          <w:bCs/>
          <w:color w:val="auto"/>
          <w:sz w:val="32"/>
          <w:szCs w:val="32"/>
          <w:highlight w:val="none"/>
        </w:rPr>
        <w:t>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color w:val="auto"/>
          <w:sz w:val="32"/>
          <w:szCs w:val="32"/>
          <w:highlight w:val="none"/>
        </w:rPr>
        <w:t>公务接待费支出决算比</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较上年</w:t>
      </w:r>
      <w:r>
        <w:rPr>
          <w:rFonts w:hint="eastAsia" w:ascii="仿宋_GB2312" w:hAnsi="仿宋_GB2312" w:eastAsia="仿宋_GB2312" w:cs="仿宋_GB2312"/>
          <w:color w:val="auto"/>
          <w:sz w:val="32"/>
          <w:szCs w:val="32"/>
          <w:highlight w:val="none"/>
          <w:lang w:val="en-US" w:eastAsia="zh-CN"/>
        </w:rPr>
        <w:t>减少0.07万元，减少46.67%</w:t>
      </w:r>
      <w:r>
        <w:rPr>
          <w:rFonts w:hint="eastAsia" w:ascii="仿宋_GB2312" w:hAnsi="仿宋_GB2312" w:eastAsia="仿宋_GB2312" w:cs="仿宋_GB2312"/>
          <w:color w:val="auto"/>
          <w:sz w:val="32"/>
          <w:szCs w:val="32"/>
          <w:highlight w:val="none"/>
        </w:rPr>
        <w:t>。主要原因是</w:t>
      </w:r>
      <w:r>
        <w:rPr>
          <w:rFonts w:hint="eastAsia" w:ascii="仿宋_GB2312" w:hAnsi="仿宋_GB2312" w:eastAsia="仿宋_GB2312" w:cs="仿宋_GB2312"/>
          <w:sz w:val="32"/>
          <w:szCs w:val="32"/>
          <w:lang w:val="en-US" w:eastAsia="zh-CN"/>
        </w:rPr>
        <w:t>接待次数增加</w:t>
      </w:r>
      <w:r>
        <w:rPr>
          <w:rFonts w:hint="eastAsia" w:ascii="仿宋_GB2312" w:hAnsi="仿宋_GB2312" w:eastAsia="仿宋_GB2312" w:cs="仿宋_GB2312"/>
          <w:color w:val="auto"/>
          <w:sz w:val="32"/>
          <w:szCs w:val="32"/>
          <w:highlight w:val="none"/>
        </w:rPr>
        <w:t>。其中：</w:t>
      </w:r>
    </w:p>
    <w:p w14:paraId="55174133">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val="0"/>
          <w:color w:val="auto"/>
          <w:sz w:val="32"/>
          <w:szCs w:val="32"/>
          <w:highlight w:val="none"/>
        </w:rPr>
        <w:t>国内公务接待支出</w:t>
      </w:r>
      <w:r>
        <w:rPr>
          <w:rFonts w:hint="eastAsia" w:ascii="仿宋_GB2312" w:hAnsi="仿宋_GB2312" w:eastAsia="仿宋_GB2312" w:cs="仿宋_GB2312"/>
          <w:b w:val="0"/>
          <w:bCs/>
          <w:color w:val="auto"/>
          <w:sz w:val="32"/>
          <w:szCs w:val="32"/>
          <w:highlight w:val="none"/>
          <w:lang w:val="en-US" w:eastAsia="zh-CN"/>
        </w:rPr>
        <w:t>0.08</w:t>
      </w:r>
      <w:r>
        <w:rPr>
          <w:rFonts w:hint="eastAsia" w:ascii="仿宋_GB2312" w:hAnsi="仿宋_GB2312" w:eastAsia="仿宋_GB2312" w:cs="仿宋_GB2312"/>
          <w:b w:val="0"/>
          <w:bCs/>
          <w:color w:val="auto"/>
          <w:sz w:val="32"/>
          <w:szCs w:val="32"/>
          <w:highlight w:val="none"/>
        </w:rPr>
        <w:t>万元</w:t>
      </w:r>
      <w:r>
        <w:rPr>
          <w:rFonts w:hint="eastAsia" w:ascii="仿宋_GB2312" w:hAnsi="仿宋_GB2312" w:eastAsia="仿宋_GB2312" w:cs="仿宋_GB2312"/>
          <w:color w:val="auto"/>
          <w:sz w:val="32"/>
          <w:szCs w:val="32"/>
          <w:highlight w:val="none"/>
        </w:rPr>
        <w:t>，主要用于</w:t>
      </w:r>
      <w:r>
        <w:rPr>
          <w:rFonts w:hint="eastAsia" w:ascii="仿宋_GB2312" w:hAnsi="仿宋_GB2312" w:eastAsia="仿宋_GB2312" w:cs="仿宋_GB2312"/>
          <w:color w:val="auto"/>
          <w:sz w:val="32"/>
          <w:szCs w:val="32"/>
          <w:highlight w:val="none"/>
          <w:lang w:eastAsia="zh-CN"/>
        </w:rPr>
        <w:t>单位</w:t>
      </w:r>
      <w:r>
        <w:rPr>
          <w:rFonts w:hint="eastAsia" w:ascii="仿宋_GB2312" w:hAnsi="仿宋_GB2312" w:eastAsia="仿宋_GB2312" w:cs="仿宋_GB2312"/>
          <w:sz w:val="32"/>
          <w:szCs w:val="32"/>
        </w:rPr>
        <w:t>开展业务活动开支用餐费等</w:t>
      </w:r>
      <w:r>
        <w:rPr>
          <w:rFonts w:hint="eastAsia" w:ascii="仿宋_GB2312" w:hAnsi="仿宋_GB2312" w:eastAsia="仿宋_GB2312" w:cs="仿宋_GB2312"/>
          <w:color w:val="auto"/>
          <w:sz w:val="32"/>
          <w:szCs w:val="32"/>
          <w:highlight w:val="none"/>
        </w:rPr>
        <w:t>。国内公务接待</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批次，</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人次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共计支出</w:t>
      </w:r>
      <w:r>
        <w:rPr>
          <w:rFonts w:hint="eastAsia" w:ascii="仿宋_GB2312" w:hAnsi="仿宋_GB2312" w:eastAsia="仿宋_GB2312" w:cs="仿宋_GB2312"/>
          <w:color w:val="auto"/>
          <w:sz w:val="32"/>
          <w:szCs w:val="32"/>
          <w:highlight w:val="none"/>
          <w:lang w:val="en-US" w:eastAsia="zh-CN"/>
        </w:rPr>
        <w:t>0.08</w:t>
      </w:r>
      <w:r>
        <w:rPr>
          <w:rFonts w:hint="eastAsia" w:ascii="仿宋_GB2312" w:hAnsi="仿宋_GB2312" w:eastAsia="仿宋_GB2312" w:cs="仿宋_GB2312"/>
          <w:color w:val="auto"/>
          <w:sz w:val="32"/>
          <w:szCs w:val="32"/>
          <w:highlight w:val="none"/>
        </w:rPr>
        <w:t>万元，具体内容包括：</w:t>
      </w:r>
      <w:r>
        <w:rPr>
          <w:rFonts w:hint="eastAsia" w:ascii="仿宋_GB2312" w:hAnsi="仿宋_GB2312" w:eastAsia="仿宋_GB2312" w:cs="仿宋_GB2312"/>
          <w:color w:val="auto"/>
          <w:sz w:val="32"/>
          <w:szCs w:val="32"/>
          <w:highlight w:val="none"/>
          <w:lang w:eastAsia="zh-CN"/>
        </w:rPr>
        <w:t>市粮储中心安全生产检查</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接待</w:t>
      </w:r>
      <w:r>
        <w:rPr>
          <w:rFonts w:hint="eastAsia" w:ascii="仿宋_GB2312" w:hAnsi="仿宋_GB2312" w:eastAsia="仿宋_GB2312" w:cs="仿宋_GB2312"/>
          <w:sz w:val="32"/>
          <w:szCs w:val="32"/>
          <w:lang w:val="en-US" w:eastAsia="zh-CN"/>
        </w:rPr>
        <w:t>0.08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p>
    <w:p w14:paraId="5B1665C2">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val="0"/>
          <w:color w:val="auto"/>
          <w:sz w:val="32"/>
          <w:szCs w:val="32"/>
          <w:highlight w:val="none"/>
        </w:rPr>
        <w:t>外事接待支出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外事接待</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批次，</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人</w:t>
      </w:r>
      <w:r>
        <w:rPr>
          <w:rFonts w:hint="eastAsia" w:ascii="仿宋_GB2312" w:hAnsi="仿宋_GB2312" w:eastAsia="仿宋_GB2312" w:cs="仿宋_GB2312"/>
          <w:color w:val="auto"/>
          <w:sz w:val="32"/>
          <w:szCs w:val="32"/>
          <w:highlight w:val="none"/>
          <w:lang w:eastAsia="zh-CN"/>
        </w:rPr>
        <w:t>次，</w:t>
      </w:r>
      <w:r>
        <w:rPr>
          <w:rFonts w:hint="eastAsia" w:ascii="仿宋_GB2312" w:hAnsi="仿宋_GB2312" w:eastAsia="仿宋_GB2312" w:cs="仿宋_GB2312"/>
          <w:color w:val="auto"/>
          <w:sz w:val="32"/>
          <w:szCs w:val="32"/>
          <w:highlight w:val="none"/>
        </w:rPr>
        <w:t>共计支出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14:paraId="7E122B66">
      <w:pPr>
        <w:spacing w:line="600" w:lineRule="exact"/>
        <w:ind w:firstLine="640"/>
        <w:outlineLvl w:val="1"/>
        <w:rPr>
          <w:rStyle w:val="31"/>
          <w:rFonts w:hint="eastAsia" w:ascii="黑体" w:hAnsi="黑体" w:eastAsia="黑体" w:cs="黑体"/>
          <w:color w:val="auto"/>
          <w:sz w:val="32"/>
          <w:szCs w:val="32"/>
          <w:highlight w:val="none"/>
        </w:rPr>
      </w:pPr>
      <w:bookmarkStart w:id="40" w:name="_Toc15377218"/>
      <w:bookmarkStart w:id="41" w:name="_Toc15396610"/>
      <w:r>
        <w:rPr>
          <w:rFonts w:hint="eastAsia" w:ascii="黑体" w:hAnsi="黑体" w:eastAsia="黑体" w:cs="黑体"/>
          <w:color w:val="auto"/>
          <w:sz w:val="32"/>
          <w:szCs w:val="32"/>
          <w:highlight w:val="none"/>
        </w:rPr>
        <w:t>八、</w:t>
      </w:r>
      <w:r>
        <w:rPr>
          <w:rStyle w:val="31"/>
          <w:rFonts w:hint="eastAsia" w:ascii="黑体" w:hAnsi="黑体" w:eastAsia="黑体" w:cs="黑体"/>
          <w:b w:val="0"/>
          <w:color w:val="auto"/>
          <w:sz w:val="32"/>
          <w:szCs w:val="32"/>
          <w:highlight w:val="none"/>
        </w:rPr>
        <w:t>政府性基金预算支出决算情况说明</w:t>
      </w:r>
      <w:bookmarkEnd w:id="40"/>
      <w:bookmarkEnd w:id="41"/>
    </w:p>
    <w:p w14:paraId="4DC331D4">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年政府性基金预算</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拨款支出</w:t>
      </w:r>
      <w:r>
        <w:rPr>
          <w:rFonts w:hint="eastAsia" w:ascii="仿宋_GB2312" w:hAnsi="仿宋_GB2312" w:eastAsia="仿宋_GB2312" w:cs="仿宋_GB2312"/>
          <w:color w:val="auto"/>
          <w:sz w:val="32"/>
          <w:szCs w:val="32"/>
          <w:highlight w:val="none"/>
          <w:lang w:val="en-US" w:eastAsia="zh-CN"/>
        </w:rPr>
        <w:t>1,461.98</w:t>
      </w:r>
      <w:r>
        <w:rPr>
          <w:rFonts w:hint="eastAsia" w:ascii="仿宋_GB2312" w:hAnsi="仿宋_GB2312" w:eastAsia="仿宋_GB2312" w:cs="仿宋_GB2312"/>
          <w:color w:val="auto"/>
          <w:sz w:val="32"/>
          <w:szCs w:val="32"/>
          <w:highlight w:val="none"/>
        </w:rPr>
        <w:t>万元。</w:t>
      </w:r>
    </w:p>
    <w:p w14:paraId="7021843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黑体" w:hAnsi="黑体" w:eastAsia="黑体" w:cs="黑体"/>
          <w:b w:val="0"/>
          <w:color w:val="auto"/>
          <w:sz w:val="32"/>
          <w:szCs w:val="32"/>
          <w:highlight w:val="none"/>
        </w:rPr>
      </w:pPr>
      <w:bookmarkStart w:id="42" w:name="_Toc15396611"/>
      <w:bookmarkStart w:id="43" w:name="_Toc15377219"/>
      <w:r>
        <w:rPr>
          <w:rStyle w:val="31"/>
          <w:rFonts w:hint="eastAsia" w:ascii="黑体" w:hAnsi="黑体" w:eastAsia="黑体" w:cs="黑体"/>
          <w:b w:val="0"/>
          <w:color w:val="auto"/>
          <w:sz w:val="32"/>
          <w:szCs w:val="32"/>
          <w:highlight w:val="none"/>
          <w:lang w:eastAsia="zh-CN"/>
        </w:rPr>
        <w:t>九、</w:t>
      </w:r>
      <w:r>
        <w:rPr>
          <w:rStyle w:val="31"/>
          <w:rFonts w:hint="eastAsia" w:ascii="黑体" w:hAnsi="黑体" w:eastAsia="黑体" w:cs="黑体"/>
          <w:b w:val="0"/>
          <w:color w:val="auto"/>
          <w:sz w:val="32"/>
          <w:szCs w:val="32"/>
          <w:highlight w:val="none"/>
        </w:rPr>
        <w:t>国有资本经营预算支出决算情况说明</w:t>
      </w:r>
      <w:bookmarkEnd w:id="42"/>
      <w:bookmarkEnd w:id="43"/>
    </w:p>
    <w:p w14:paraId="6DAC2A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年国有资本经营预算</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拨款支出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14:paraId="312CBF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仿宋_GB2312" w:hAnsi="仿宋_GB2312" w:eastAsia="仿宋_GB2312" w:cs="仿宋_GB2312"/>
          <w:b w:val="0"/>
          <w:color w:val="auto"/>
          <w:sz w:val="32"/>
          <w:szCs w:val="32"/>
          <w:highlight w:val="none"/>
        </w:rPr>
      </w:pPr>
      <w:bookmarkStart w:id="44" w:name="_Toc15396612"/>
      <w:bookmarkStart w:id="45" w:name="_Toc15377221"/>
      <w:r>
        <w:rPr>
          <w:rStyle w:val="31"/>
          <w:rFonts w:hint="eastAsia" w:ascii="黑体" w:hAnsi="黑体" w:eastAsia="黑体" w:cs="黑体"/>
          <w:b w:val="0"/>
          <w:color w:val="auto"/>
          <w:sz w:val="32"/>
          <w:szCs w:val="32"/>
          <w:highlight w:val="none"/>
          <w:lang w:eastAsia="zh-CN"/>
        </w:rPr>
        <w:t>十、</w:t>
      </w:r>
      <w:r>
        <w:rPr>
          <w:rStyle w:val="31"/>
          <w:rFonts w:hint="eastAsia" w:ascii="黑体" w:hAnsi="黑体" w:eastAsia="黑体" w:cs="黑体"/>
          <w:b w:val="0"/>
          <w:color w:val="auto"/>
          <w:sz w:val="32"/>
          <w:szCs w:val="32"/>
          <w:highlight w:val="none"/>
        </w:rPr>
        <w:t>其他重要事项的情况说明</w:t>
      </w:r>
      <w:bookmarkEnd w:id="44"/>
      <w:bookmarkEnd w:id="45"/>
    </w:p>
    <w:p w14:paraId="12597F07">
      <w:pPr>
        <w:spacing w:line="600" w:lineRule="exact"/>
        <w:ind w:firstLine="643" w:firstLineChars="200"/>
        <w:outlineLvl w:val="2"/>
        <w:rPr>
          <w:rFonts w:hint="eastAsia" w:ascii="仿宋_GB2312" w:hAnsi="仿宋_GB2312" w:eastAsia="仿宋_GB2312" w:cs="仿宋_GB2312"/>
          <w:color w:val="auto"/>
          <w:sz w:val="32"/>
          <w:szCs w:val="32"/>
          <w:highlight w:val="none"/>
        </w:rPr>
      </w:pPr>
      <w:bookmarkStart w:id="46" w:name="_Toc15377222"/>
      <w:r>
        <w:rPr>
          <w:rFonts w:hint="eastAsia" w:ascii="仿宋_GB2312" w:hAnsi="仿宋_GB2312" w:eastAsia="仿宋_GB2312" w:cs="仿宋_GB2312"/>
          <w:b/>
          <w:color w:val="auto"/>
          <w:sz w:val="32"/>
          <w:szCs w:val="32"/>
          <w:highlight w:val="none"/>
        </w:rPr>
        <w:t>（一）机关运行经费支出情况</w:t>
      </w:r>
      <w:bookmarkEnd w:id="46"/>
    </w:p>
    <w:p w14:paraId="616CB61A">
      <w:pPr>
        <w:spacing w:line="60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sz w:val="32"/>
          <w:szCs w:val="32"/>
          <w:lang w:eastAsia="zh-CN"/>
        </w:rPr>
        <w:t>县粮储中心</w:t>
      </w:r>
      <w:r>
        <w:rPr>
          <w:rFonts w:hint="eastAsia" w:ascii="仿宋_GB2312" w:hAnsi="仿宋_GB2312" w:eastAsia="仿宋_GB2312" w:cs="仿宋_GB2312"/>
          <w:color w:val="auto"/>
          <w:sz w:val="32"/>
          <w:szCs w:val="32"/>
          <w:highlight w:val="none"/>
        </w:rPr>
        <w:t>机关运行经费支出</w:t>
      </w:r>
      <w:r>
        <w:rPr>
          <w:rFonts w:hint="eastAsia" w:ascii="仿宋_GB2312" w:hAnsi="仿宋_GB2312" w:eastAsia="仿宋_GB2312" w:cs="仿宋_GB2312"/>
          <w:color w:val="auto"/>
          <w:sz w:val="32"/>
          <w:szCs w:val="32"/>
          <w:highlight w:val="none"/>
          <w:lang w:val="en-US" w:eastAsia="zh-CN"/>
        </w:rPr>
        <w:t>20.45</w:t>
      </w:r>
      <w:r>
        <w:rPr>
          <w:rFonts w:hint="eastAsia" w:ascii="仿宋_GB2312" w:hAnsi="仿宋_GB2312" w:eastAsia="仿宋_GB2312" w:cs="仿宋_GB2312"/>
          <w:color w:val="auto"/>
          <w:sz w:val="32"/>
          <w:szCs w:val="32"/>
          <w:highlight w:val="none"/>
        </w:rPr>
        <w:t>万元，比</w:t>
      </w:r>
      <w:r>
        <w:rPr>
          <w:rFonts w:hint="eastAsia" w:ascii="仿宋_GB2312" w:hAnsi="仿宋_GB2312" w:eastAsia="仿宋_GB2312" w:cs="仿宋_GB2312"/>
          <w:color w:val="auto"/>
          <w:sz w:val="32"/>
          <w:szCs w:val="32"/>
          <w:highlight w:val="none"/>
          <w:lang w:eastAsia="zh-CN"/>
        </w:rPr>
        <w:t>2024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减少4.09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下降16.67</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p>
    <w:p w14:paraId="7967B945">
      <w:pPr>
        <w:autoSpaceDE w:val="0"/>
        <w:autoSpaceDN w:val="0"/>
        <w:adjustRightInd w:val="0"/>
        <w:spacing w:line="600" w:lineRule="exact"/>
        <w:ind w:firstLine="643" w:firstLineChars="200"/>
        <w:jc w:val="left"/>
        <w:outlineLvl w:val="2"/>
        <w:rPr>
          <w:rFonts w:hint="eastAsia" w:ascii="仿宋_GB2312" w:hAnsi="仿宋_GB2312" w:eastAsia="仿宋_GB2312" w:cs="仿宋_GB2312"/>
          <w:b/>
          <w:color w:val="auto"/>
          <w:sz w:val="32"/>
          <w:szCs w:val="32"/>
          <w:highlight w:val="none"/>
        </w:rPr>
      </w:pPr>
      <w:bookmarkStart w:id="47" w:name="_Toc15377223"/>
      <w:r>
        <w:rPr>
          <w:rFonts w:hint="eastAsia" w:ascii="仿宋_GB2312" w:hAnsi="仿宋_GB2312" w:eastAsia="仿宋_GB2312" w:cs="仿宋_GB2312"/>
          <w:b/>
          <w:color w:val="auto"/>
          <w:sz w:val="32"/>
          <w:szCs w:val="32"/>
          <w:highlight w:val="none"/>
        </w:rPr>
        <w:t>（二）政府采购支出情况</w:t>
      </w:r>
      <w:bookmarkEnd w:id="47"/>
    </w:p>
    <w:p w14:paraId="3D05DAE4">
      <w:p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sz w:val="32"/>
          <w:szCs w:val="32"/>
          <w:lang w:eastAsia="zh-CN"/>
        </w:rPr>
        <w:t>县粮储中心</w:t>
      </w:r>
      <w:r>
        <w:rPr>
          <w:rFonts w:hint="eastAsia" w:ascii="仿宋_GB2312" w:hAnsi="仿宋_GB2312" w:eastAsia="仿宋_GB2312" w:cs="仿宋_GB2312"/>
          <w:color w:val="auto"/>
          <w:sz w:val="32"/>
          <w:szCs w:val="32"/>
          <w:highlight w:val="none"/>
        </w:rPr>
        <w:t>政府采购支出总额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万元，其中：政府采购货物支出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万元、政府采购工程支出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万元、政府采购服务支出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14:paraId="62A21F89">
      <w:pPr>
        <w:autoSpaceDE w:val="0"/>
        <w:autoSpaceDN w:val="0"/>
        <w:adjustRightInd w:val="0"/>
        <w:spacing w:line="600" w:lineRule="exact"/>
        <w:ind w:firstLine="643" w:firstLineChars="200"/>
        <w:jc w:val="left"/>
        <w:outlineLvl w:val="2"/>
        <w:rPr>
          <w:rFonts w:hint="eastAsia" w:ascii="仿宋_GB2312" w:hAnsi="仿宋_GB2312" w:eastAsia="仿宋_GB2312" w:cs="仿宋_GB2312"/>
          <w:b/>
          <w:color w:val="auto"/>
          <w:sz w:val="32"/>
          <w:szCs w:val="32"/>
          <w:highlight w:val="none"/>
        </w:rPr>
      </w:pPr>
      <w:bookmarkStart w:id="48" w:name="_Toc15377224"/>
      <w:r>
        <w:rPr>
          <w:rFonts w:hint="eastAsia" w:ascii="仿宋_GB2312" w:hAnsi="仿宋_GB2312" w:eastAsia="仿宋_GB2312" w:cs="仿宋_GB2312"/>
          <w:b/>
          <w:color w:val="auto"/>
          <w:sz w:val="32"/>
          <w:szCs w:val="32"/>
          <w:highlight w:val="none"/>
        </w:rPr>
        <w:t>（三）国有资产占有使用情况</w:t>
      </w:r>
      <w:bookmarkEnd w:id="48"/>
    </w:p>
    <w:p w14:paraId="40350A4E">
      <w:pPr>
        <w:autoSpaceDE w:val="0"/>
        <w:autoSpaceDN w:val="0"/>
        <w:adjustRightInd w:val="0"/>
        <w:spacing w:line="60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截至</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年12月31日，</w:t>
      </w:r>
      <w:r>
        <w:rPr>
          <w:rFonts w:hint="eastAsia" w:ascii="仿宋_GB2312" w:hAnsi="仿宋_GB2312" w:eastAsia="仿宋_GB2312" w:cs="仿宋_GB2312"/>
          <w:sz w:val="32"/>
          <w:szCs w:val="32"/>
          <w:lang w:eastAsia="zh-CN"/>
        </w:rPr>
        <w:t>县粮储中心</w:t>
      </w:r>
      <w:r>
        <w:rPr>
          <w:rFonts w:hint="eastAsia" w:ascii="仿宋_GB2312" w:hAnsi="仿宋_GB2312" w:eastAsia="仿宋_GB2312" w:cs="仿宋_GB2312"/>
          <w:color w:val="auto"/>
          <w:sz w:val="32"/>
          <w:szCs w:val="32"/>
          <w:highlight w:val="none"/>
        </w:rPr>
        <w:t>共有车辆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辆，其中：主要领导干部用车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辆、机要通信用车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辆、应急保障用车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辆、其他用车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单价100万元以上专用设备</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台（套）。</w:t>
      </w:r>
    </w:p>
    <w:p w14:paraId="45C729EB">
      <w:pPr>
        <w:autoSpaceDE w:val="0"/>
        <w:autoSpaceDN w:val="0"/>
        <w:adjustRightInd w:val="0"/>
        <w:spacing w:line="600" w:lineRule="exact"/>
        <w:ind w:firstLine="643" w:firstLineChars="200"/>
        <w:jc w:val="left"/>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（四）预算绩效管理情况</w:t>
      </w:r>
    </w:p>
    <w:p w14:paraId="088395A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年度预算编制阶段，组织对</w:t>
      </w:r>
      <w:r>
        <w:rPr>
          <w:rFonts w:hint="eastAsia" w:ascii="仿宋_GB2312" w:hAnsi="仿宋_GB2312" w:eastAsia="仿宋_GB2312" w:cs="仿宋_GB2312"/>
          <w:sz w:val="32"/>
          <w:szCs w:val="32"/>
          <w:lang w:val="en-US" w:eastAsia="zh-CN"/>
        </w:rPr>
        <w:t>县级储备成品</w:t>
      </w:r>
      <w:r>
        <w:rPr>
          <w:rFonts w:hint="eastAsia" w:ascii="仿宋" w:hAnsi="仿宋" w:eastAsia="仿宋" w:cs="仿宋"/>
          <w:sz w:val="32"/>
          <w:szCs w:val="32"/>
        </w:rPr>
        <w:t>稻谷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原粮</w:t>
      </w:r>
      <w:r>
        <w:rPr>
          <w:rFonts w:hint="eastAsia" w:ascii="仿宋" w:hAnsi="仿宋" w:eastAsia="仿宋" w:cs="仿宋"/>
          <w:sz w:val="32"/>
          <w:szCs w:val="32"/>
          <w:lang w:eastAsia="zh-CN"/>
        </w:rPr>
        <w:t>）</w:t>
      </w:r>
      <w:r>
        <w:rPr>
          <w:rFonts w:hint="eastAsia" w:ascii="仿宋" w:hAnsi="仿宋" w:eastAsia="仿宋" w:cs="仿宋"/>
          <w:kern w:val="0"/>
          <w:sz w:val="32"/>
          <w:szCs w:val="32"/>
          <w:shd w:val="clear" w:color="auto" w:fill="FFFFFF"/>
          <w:lang w:val="en-US" w:eastAsia="zh-CN" w:bidi="ar"/>
        </w:rPr>
        <w:t>4005吨、成品粮大米300吨、菜籽油30吨，</w:t>
      </w:r>
      <w:r>
        <w:rPr>
          <w:rFonts w:hint="eastAsia" w:ascii="仿宋_GB2312" w:hAnsi="仿宋_GB2312" w:eastAsia="仿宋_GB2312" w:cs="仿宋_GB2312"/>
          <w:sz w:val="32"/>
          <w:szCs w:val="32"/>
          <w:lang w:val="en-US" w:eastAsia="zh-CN"/>
        </w:rPr>
        <w:t>轮换差价</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个项目开展绩效监控。</w:t>
      </w:r>
    </w:p>
    <w:p w14:paraId="21068FDD">
      <w:pPr>
        <w:widowControl/>
        <w:ind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highlight w:val="none"/>
          <w:lang w:eastAsia="zh-CN"/>
        </w:rPr>
        <w:t>马边彝族自治县粮食和物资储备中心</w:t>
      </w:r>
      <w:r>
        <w:rPr>
          <w:rFonts w:hint="eastAsia" w:ascii="仿宋_GB2312" w:hAnsi="仿宋_GB2312" w:eastAsia="仿宋_GB2312" w:cs="仿宋_GB2312"/>
          <w:color w:val="auto"/>
          <w:sz w:val="32"/>
          <w:szCs w:val="32"/>
          <w:highlight w:val="none"/>
        </w:rPr>
        <w:t>部门整体（含部门预算项目）绩效自评报告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其中，</w:t>
      </w:r>
      <w:r>
        <w:rPr>
          <w:rFonts w:hint="eastAsia" w:ascii="仿宋_GB2312" w:hAnsi="仿宋_GB2312" w:eastAsia="仿宋_GB2312" w:cs="仿宋_GB2312"/>
          <w:color w:val="auto"/>
          <w:sz w:val="32"/>
          <w:szCs w:val="32"/>
          <w:highlight w:val="none"/>
          <w:lang w:eastAsia="zh-CN"/>
        </w:rPr>
        <w:t>马边彝族自治县粮食和物资储备中心</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98</w:t>
      </w:r>
      <w:r>
        <w:rPr>
          <w:rFonts w:hint="eastAsia" w:ascii="仿宋_GB2312" w:hAnsi="仿宋_GB2312" w:eastAsia="仿宋_GB2312" w:cs="仿宋_GB2312"/>
          <w:color w:val="auto"/>
          <w:sz w:val="32"/>
          <w:szCs w:val="32"/>
          <w:highlight w:val="none"/>
        </w:rPr>
        <w:t>分，绩效自评报告详见附件。（</w:t>
      </w:r>
      <w:r>
        <w:rPr>
          <w:rFonts w:hint="eastAsia" w:ascii="仿宋_GB2312" w:hAnsi="仿宋_GB2312" w:eastAsia="仿宋_GB2312" w:cs="仿宋_GB2312"/>
          <w:sz w:val="32"/>
          <w:szCs w:val="32"/>
        </w:rPr>
        <w:t>第四部分</w:t>
      </w:r>
      <w:r>
        <w:rPr>
          <w:rFonts w:hint="eastAsia" w:ascii="仿宋_GB2312" w:hAnsi="仿宋_GB2312" w:eastAsia="仿宋_GB2312" w:cs="仿宋_GB2312"/>
          <w:color w:val="auto"/>
          <w:sz w:val="32"/>
          <w:szCs w:val="32"/>
          <w:highlight w:val="none"/>
        </w:rPr>
        <w:t>）</w:t>
      </w:r>
      <w:r>
        <w:rPr>
          <w:rFonts w:ascii="仿宋_GB2312" w:eastAsia="仿宋_GB2312"/>
          <w:b/>
          <w:color w:val="auto"/>
          <w:sz w:val="32"/>
          <w:szCs w:val="32"/>
          <w:highlight w:val="none"/>
        </w:rPr>
        <w:br w:type="page"/>
      </w:r>
    </w:p>
    <w:p w14:paraId="2A4119CB">
      <w:pPr>
        <w:numPr>
          <w:ilvl w:val="0"/>
          <w:numId w:val="2"/>
        </w:numPr>
        <w:spacing w:line="600" w:lineRule="exact"/>
        <w:ind w:firstLine="660" w:firstLineChars="150"/>
        <w:jc w:val="center"/>
        <w:outlineLvl w:val="0"/>
        <w:rPr>
          <w:rStyle w:val="30"/>
          <w:rFonts w:ascii="黑体" w:hAnsi="黑体" w:eastAsia="黑体"/>
          <w:b w:val="0"/>
          <w:color w:val="auto"/>
          <w:highlight w:val="none"/>
        </w:rPr>
      </w:pPr>
      <w:bookmarkStart w:id="49" w:name="_Toc15377225"/>
      <w:bookmarkStart w:id="50" w:name="_Toc15396613"/>
      <w:r>
        <w:rPr>
          <w:rFonts w:hint="eastAsia" w:ascii="黑体" w:hAnsi="黑体" w:eastAsia="黑体"/>
          <w:color w:val="auto"/>
          <w:sz w:val="44"/>
          <w:szCs w:val="44"/>
          <w:highlight w:val="none"/>
        </w:rPr>
        <w:t>名</w:t>
      </w:r>
      <w:r>
        <w:rPr>
          <w:rStyle w:val="30"/>
          <w:rFonts w:hint="eastAsia" w:ascii="黑体" w:hAnsi="黑体" w:eastAsia="黑体"/>
          <w:b w:val="0"/>
          <w:color w:val="auto"/>
          <w:highlight w:val="none"/>
        </w:rPr>
        <w:t>词解释</w:t>
      </w:r>
      <w:bookmarkEnd w:id="49"/>
      <w:bookmarkEnd w:id="50"/>
    </w:p>
    <w:p w14:paraId="347D7FE0">
      <w:pPr>
        <w:spacing w:line="600" w:lineRule="exact"/>
        <w:jc w:val="left"/>
        <w:rPr>
          <w:rFonts w:ascii="宋体"/>
          <w:b/>
          <w:color w:val="auto"/>
          <w:sz w:val="44"/>
          <w:szCs w:val="44"/>
          <w:highlight w:val="none"/>
        </w:rPr>
      </w:pPr>
    </w:p>
    <w:p w14:paraId="4BA5506A">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42DC22DD">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4DC1E3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ascii="仿宋_GB2312" w:eastAsia="仿宋_GB2312"/>
          <w:color w:val="auto"/>
          <w:sz w:val="32"/>
          <w:szCs w:val="32"/>
          <w:highlight w:val="none"/>
        </w:rPr>
        <w:t>3.</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（类）行政事业单位</w:t>
      </w:r>
      <w:r>
        <w:rPr>
          <w:rFonts w:hint="eastAsia" w:ascii="仿宋_GB2312" w:hAnsi="仿宋_GB2312" w:eastAsia="仿宋_GB2312" w:cs="仿宋_GB2312"/>
          <w:sz w:val="32"/>
          <w:szCs w:val="32"/>
          <w:lang w:eastAsia="zh-CN"/>
        </w:rPr>
        <w:t>养老</w:t>
      </w:r>
      <w:r>
        <w:rPr>
          <w:rFonts w:hint="eastAsia" w:ascii="仿宋_GB2312" w:hAnsi="仿宋_GB2312" w:eastAsia="仿宋_GB2312" w:cs="仿宋_GB2312"/>
          <w:b w:val="0"/>
          <w:bCs w:val="0"/>
          <w:sz w:val="32"/>
          <w:szCs w:val="32"/>
        </w:rPr>
        <w:t>支出</w:t>
      </w:r>
      <w:r>
        <w:rPr>
          <w:rFonts w:hint="eastAsia" w:ascii="仿宋_GB2312" w:hAnsi="仿宋_GB2312" w:eastAsia="仿宋_GB2312" w:cs="仿宋_GB2312"/>
          <w:sz w:val="32"/>
          <w:szCs w:val="32"/>
        </w:rPr>
        <w:t>（款）机关事业单位基本养老保险缴费</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（项）:指机关事业单位实施养老保险制度由单位缴纳的基本养老保险费支出。</w:t>
      </w:r>
    </w:p>
    <w:p w14:paraId="6179DD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ascii="仿宋_GB2312" w:eastAsia="仿宋_GB2312"/>
          <w:color w:val="auto"/>
          <w:sz w:val="32"/>
          <w:szCs w:val="32"/>
          <w:highlight w:val="none"/>
        </w:rPr>
        <w:t>4.</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（类）其他社会保障和就业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（款）其他社会保障和就业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（项）: 指其他用于社会保障和就业方面的支出。</w:t>
      </w:r>
    </w:p>
    <w:p w14:paraId="3F360F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ascii="仿宋_GB2312" w:eastAsia="仿宋_GB2312"/>
          <w:color w:val="auto"/>
          <w:sz w:val="32"/>
          <w:szCs w:val="32"/>
          <w:highlight w:val="none"/>
        </w:rPr>
        <w:t>5.</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（类）行政事业单位</w:t>
      </w:r>
      <w:r>
        <w:rPr>
          <w:rFonts w:hint="eastAsia" w:ascii="仿宋_GB2312" w:hAnsi="仿宋_GB2312" w:eastAsia="仿宋_GB2312" w:cs="仿宋_GB2312"/>
          <w:sz w:val="32"/>
          <w:szCs w:val="32"/>
          <w:lang w:eastAsia="zh-CN"/>
        </w:rPr>
        <w:t>医疗</w:t>
      </w:r>
      <w:r>
        <w:rPr>
          <w:rFonts w:hint="eastAsia" w:ascii="仿宋_GB2312" w:hAnsi="仿宋_GB2312" w:eastAsia="仿宋_GB2312" w:cs="仿宋_GB2312"/>
          <w:sz w:val="32"/>
          <w:szCs w:val="32"/>
        </w:rPr>
        <w:t>（款）行政单位医疗（项）:指财政部门安排的行政单位基本医疗保险缴费经费，未参加医疗保险的行政单位的公费医疗经费，按国家规定享受离休人员、红军老战士待遇人员的医疗经费。</w:t>
      </w:r>
    </w:p>
    <w:p w14:paraId="4556B6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ascii="仿宋_GB2312" w:eastAsia="仿宋_GB2312"/>
          <w:color w:val="auto"/>
          <w:sz w:val="32"/>
          <w:szCs w:val="32"/>
          <w:highlight w:val="none"/>
        </w:rPr>
        <w:t>6.</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（类）行政事业单位</w:t>
      </w:r>
      <w:r>
        <w:rPr>
          <w:rFonts w:hint="eastAsia" w:ascii="仿宋_GB2312" w:hAnsi="仿宋_GB2312" w:eastAsia="仿宋_GB2312" w:cs="仿宋_GB2312"/>
          <w:sz w:val="32"/>
          <w:szCs w:val="32"/>
          <w:lang w:eastAsia="zh-CN"/>
        </w:rPr>
        <w:t>医疗</w:t>
      </w:r>
      <w:r>
        <w:rPr>
          <w:rFonts w:hint="eastAsia" w:ascii="仿宋_GB2312" w:hAnsi="仿宋_GB2312" w:eastAsia="仿宋_GB2312" w:cs="仿宋_GB2312"/>
          <w:sz w:val="32"/>
          <w:szCs w:val="32"/>
        </w:rPr>
        <w:t>（款）公务员医疗补助（项）:</w:t>
      </w:r>
      <w:r>
        <w:rPr>
          <w:rFonts w:hint="eastAsia" w:ascii="仿宋_GB2312" w:hAnsi="仿宋_GB2312" w:eastAsia="仿宋_GB2312" w:cs="仿宋_GB2312"/>
          <w:sz w:val="32"/>
          <w:szCs w:val="32"/>
          <w:lang w:eastAsia="zh-CN"/>
        </w:rPr>
        <w:t>指反映财政部门安排的公务员医疗补助经费。</w:t>
      </w:r>
    </w:p>
    <w:p w14:paraId="77E61F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ascii="仿宋_GB2312" w:eastAsia="仿宋_GB2312"/>
          <w:color w:val="auto"/>
          <w:sz w:val="32"/>
          <w:szCs w:val="32"/>
          <w:highlight w:val="none"/>
        </w:rPr>
        <w:t>7.</w:t>
      </w:r>
      <w:r>
        <w:rPr>
          <w:rFonts w:hint="eastAsia" w:ascii="仿宋_GB2312" w:hAnsi="仿宋_GB2312" w:eastAsia="仿宋_GB2312" w:cs="仿宋_GB2312"/>
          <w:sz w:val="32"/>
          <w:szCs w:val="32"/>
        </w:rPr>
        <w:t>农林水</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（类）农业农村（款）其他农业农村</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（项）:</w:t>
      </w:r>
      <w:r>
        <w:rPr>
          <w:rFonts w:hint="eastAsia" w:ascii="仿宋_GB2312" w:hAnsi="仿宋_GB2312" w:eastAsia="仿宋_GB2312" w:cs="仿宋_GB2312"/>
          <w:sz w:val="32"/>
          <w:szCs w:val="32"/>
          <w:lang w:eastAsia="zh-CN"/>
        </w:rPr>
        <w:t>指反映其他用于农业农村方面的支出。</w:t>
      </w:r>
    </w:p>
    <w:p w14:paraId="4BE085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hAnsi="仿宋_GB2312" w:eastAsia="仿宋_GB2312" w:cs="仿宋_GB2312"/>
          <w:sz w:val="32"/>
          <w:szCs w:val="32"/>
        </w:rPr>
        <w:t>住房保障</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（类）住房改革</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（款）住房公积金（项）：指行政事业单位按人力资源和社会保障部、财政部规定的基本工资和津贴补贴以及规定比例为职工缴纳的住房公积金。</w:t>
      </w:r>
      <w:r>
        <w:rPr>
          <w:rFonts w:hint="eastAsia" w:ascii="仿宋_GB2312" w:hAnsi="仿宋_GB2312" w:eastAsia="仿宋_GB2312" w:cs="仿宋_GB2312"/>
          <w:sz w:val="32"/>
          <w:szCs w:val="32"/>
          <w:lang w:val="en-US" w:eastAsia="zh-CN"/>
        </w:rPr>
        <w:t xml:space="preserve">   </w:t>
      </w:r>
    </w:p>
    <w:p w14:paraId="603F5F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ascii="仿宋_GB2312" w:eastAsia="仿宋_GB2312"/>
          <w:color w:val="auto"/>
          <w:sz w:val="32"/>
          <w:szCs w:val="32"/>
          <w:highlight w:val="none"/>
        </w:rPr>
        <w:t>9.</w:t>
      </w:r>
      <w:r>
        <w:rPr>
          <w:rFonts w:hint="eastAsia" w:ascii="仿宋_GB2312" w:hAnsi="仿宋_GB2312" w:eastAsia="仿宋_GB2312" w:cs="仿宋_GB2312"/>
          <w:sz w:val="32"/>
          <w:szCs w:val="32"/>
        </w:rPr>
        <w:t>粮油物资储备</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（类）粮油物资事务（款）行政运行（项）：指行政单位的基本支出</w:t>
      </w:r>
      <w:r>
        <w:rPr>
          <w:rFonts w:hint="eastAsia" w:ascii="仿宋_GB2312" w:hAnsi="仿宋_GB2312" w:eastAsia="仿宋_GB2312" w:cs="仿宋_GB2312"/>
          <w:sz w:val="32"/>
          <w:szCs w:val="32"/>
          <w:lang w:eastAsia="zh-CN"/>
        </w:rPr>
        <w:t>。</w:t>
      </w:r>
    </w:p>
    <w:p w14:paraId="2B476C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ascii="仿宋_GB2312" w:eastAsia="仿宋_GB2312"/>
          <w:color w:val="auto"/>
          <w:sz w:val="32"/>
          <w:szCs w:val="32"/>
          <w:highlight w:val="none"/>
        </w:rPr>
        <w:t>10.</w:t>
      </w:r>
      <w:r>
        <w:rPr>
          <w:rFonts w:hint="eastAsia" w:ascii="仿宋_GB2312" w:hAnsi="仿宋_GB2312" w:eastAsia="仿宋_GB2312" w:cs="仿宋_GB2312"/>
          <w:sz w:val="32"/>
          <w:szCs w:val="32"/>
        </w:rPr>
        <w:t>粮油物资储备</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（类）粮油物资事务（款）事业运行（项）：指</w:t>
      </w:r>
      <w:r>
        <w:rPr>
          <w:rFonts w:hint="eastAsia" w:ascii="仿宋_GB2312" w:hAnsi="仿宋_GB2312" w:eastAsia="仿宋_GB2312" w:cs="仿宋_GB2312"/>
          <w:sz w:val="32"/>
          <w:szCs w:val="32"/>
          <w:lang w:eastAsia="zh-CN"/>
        </w:rPr>
        <w:t>反映事业单位的基本支出，不包括行政单位（包括实行公务员管理的事业单位）后勤服务中心、医务室等附属事业单位。</w:t>
      </w:r>
    </w:p>
    <w:p w14:paraId="648121BC">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11.</w:t>
      </w:r>
      <w:r>
        <w:rPr>
          <w:rFonts w:hint="eastAsia" w:ascii="仿宋_GB2312" w:hAnsi="仿宋_GB2312" w:eastAsia="仿宋_GB2312" w:cs="仿宋_GB2312"/>
          <w:sz w:val="32"/>
          <w:szCs w:val="32"/>
        </w:rPr>
        <w:t>粮油物资储备</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（类）粮油储备（款）储备粮油差价补贴（项）：指</w:t>
      </w:r>
      <w:r>
        <w:rPr>
          <w:rFonts w:hint="eastAsia" w:ascii="仿宋_GB2312" w:hAnsi="仿宋_GB2312" w:eastAsia="仿宋_GB2312" w:cs="仿宋_GB2312"/>
          <w:sz w:val="32"/>
          <w:szCs w:val="32"/>
          <w:lang w:eastAsia="zh-CN"/>
        </w:rPr>
        <w:t>反映储备粮油差价补贴</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eastAsia="zh-CN"/>
        </w:rPr>
        <w:t>。</w:t>
      </w:r>
    </w:p>
    <w:p w14:paraId="6AC3CD2B">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（解释本部门决算报表中</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全部功能分类科目至项级，</w:t>
      </w:r>
      <w:r>
        <w:rPr>
          <w:rFonts w:hint="eastAsia" w:ascii="仿宋" w:hAnsi="仿宋" w:eastAsia="仿宋"/>
          <w:b/>
          <w:color w:val="auto"/>
          <w:sz w:val="32"/>
          <w:szCs w:val="32"/>
          <w:highlight w:val="none"/>
          <w:lang w:eastAsia="zh-CN"/>
        </w:rPr>
        <w:t>不涉及的科目请自行删除。</w:t>
      </w:r>
      <w:r>
        <w:rPr>
          <w:rFonts w:hint="eastAsia" w:ascii="仿宋" w:hAnsi="仿宋" w:eastAsia="仿宋"/>
          <w:b/>
          <w:color w:val="auto"/>
          <w:sz w:val="32"/>
          <w:szCs w:val="32"/>
          <w:highlight w:val="none"/>
        </w:rPr>
        <w:t>请参照《</w:t>
      </w:r>
      <w:r>
        <w:rPr>
          <w:rFonts w:hint="eastAsia" w:ascii="仿宋" w:hAnsi="仿宋" w:eastAsia="仿宋"/>
          <w:b/>
          <w:color w:val="auto"/>
          <w:sz w:val="32"/>
          <w:szCs w:val="32"/>
          <w:highlight w:val="none"/>
          <w:lang w:eastAsia="zh-CN"/>
        </w:rPr>
        <w:t>2025</w:t>
      </w:r>
      <w:r>
        <w:rPr>
          <w:rFonts w:hint="eastAsia" w:ascii="仿宋" w:hAnsi="仿宋" w:eastAsia="仿宋"/>
          <w:b/>
          <w:color w:val="auto"/>
          <w:sz w:val="32"/>
          <w:szCs w:val="32"/>
          <w:highlight w:val="none"/>
        </w:rPr>
        <w:t>年政府收支分类科目》增减内容。）</w:t>
      </w:r>
    </w:p>
    <w:p w14:paraId="65EF999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7C08E954">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3B49CB07">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EE7F46">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769FE5">
      <w:pPr>
        <w:pStyle w:val="28"/>
        <w:spacing w:line="560" w:lineRule="exact"/>
        <w:ind w:firstLine="640" w:firstLineChars="200"/>
        <w:rPr>
          <w:rFonts w:ascii="仿宋_GB2312" w:eastAsia="仿宋_GB2312"/>
          <w:color w:val="auto"/>
          <w:sz w:val="32"/>
          <w:szCs w:val="32"/>
          <w:highlight w:val="none"/>
        </w:rPr>
      </w:pPr>
    </w:p>
    <w:p w14:paraId="286D2DA4">
      <w:pPr>
        <w:pStyle w:val="28"/>
        <w:spacing w:line="560" w:lineRule="exact"/>
        <w:ind w:firstLine="640" w:firstLineChars="200"/>
        <w:rPr>
          <w:rFonts w:ascii="仿宋_GB2312" w:eastAsia="仿宋_GB2312" w:cs="黑体"/>
          <w:color w:val="auto"/>
          <w:sz w:val="32"/>
          <w:szCs w:val="32"/>
          <w:highlight w:val="none"/>
        </w:rPr>
      </w:pPr>
    </w:p>
    <w:p w14:paraId="7839AD50">
      <w:pPr>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14:paraId="2C33B0B9">
      <w:pPr>
        <w:spacing w:line="600" w:lineRule="exact"/>
        <w:jc w:val="center"/>
        <w:outlineLvl w:val="0"/>
        <w:rPr>
          <w:rStyle w:val="30"/>
          <w:rFonts w:hint="eastAsia" w:ascii="黑体" w:hAnsi="黑体" w:eastAsia="黑体"/>
          <w:b w:val="0"/>
          <w:color w:val="auto"/>
          <w:highlight w:val="none"/>
          <w:lang w:eastAsia="zh-CN"/>
        </w:rPr>
      </w:pPr>
      <w:bookmarkStart w:id="51" w:name="_Toc15377226"/>
      <w:r>
        <w:rPr>
          <w:rFonts w:ascii="宋体"/>
          <w:b/>
          <w:color w:val="auto"/>
          <w:sz w:val="44"/>
          <w:szCs w:val="44"/>
          <w:highlight w:val="none"/>
        </w:rPr>
        <w:br w:type="page"/>
      </w:r>
      <w:bookmarkStart w:id="52" w:name="_Toc15396614"/>
      <w:r>
        <w:rPr>
          <w:rFonts w:hint="eastAsia" w:ascii="黑体" w:hAnsi="黑体" w:eastAsia="黑体"/>
          <w:color w:val="auto"/>
          <w:sz w:val="44"/>
          <w:szCs w:val="44"/>
          <w:highlight w:val="none"/>
        </w:rPr>
        <w:t>第</w:t>
      </w:r>
      <w:r>
        <w:rPr>
          <w:rStyle w:val="30"/>
          <w:rFonts w:hint="eastAsia" w:ascii="黑体" w:hAnsi="黑体" w:eastAsia="黑体"/>
          <w:b w:val="0"/>
          <w:color w:val="auto"/>
          <w:highlight w:val="none"/>
        </w:rPr>
        <w:t>四部分 附件</w:t>
      </w:r>
      <w:bookmarkEnd w:id="52"/>
    </w:p>
    <w:p w14:paraId="65669DAB">
      <w:pPr>
        <w:spacing w:line="580" w:lineRule="exact"/>
        <w:contextualSpacing/>
        <w:rPr>
          <w:rFonts w:hint="default" w:ascii="方正黑体_GBK" w:hAnsi="宋体" w:eastAsia="方正黑体_GBK"/>
          <w:sz w:val="33"/>
          <w:szCs w:val="33"/>
          <w:lang w:val="en-US" w:eastAsia="zh-CN"/>
        </w:rPr>
      </w:pPr>
      <w:r>
        <w:rPr>
          <w:rFonts w:hint="eastAsia" w:ascii="方正黑体_GBK" w:hAnsi="宋体" w:eastAsia="方正黑体_GBK"/>
          <w:sz w:val="33"/>
          <w:szCs w:val="33"/>
          <w:lang w:val="zh-CN"/>
        </w:rPr>
        <w:t>附件</w:t>
      </w:r>
      <w:r>
        <w:rPr>
          <w:rFonts w:hint="eastAsia" w:eastAsia="方正黑体_GBK"/>
          <w:sz w:val="33"/>
          <w:szCs w:val="33"/>
        </w:rPr>
        <w:t>1</w:t>
      </w:r>
    </w:p>
    <w:p w14:paraId="30C71621">
      <w:pPr>
        <w:keepNext w:val="0"/>
        <w:keepLines w:val="0"/>
        <w:pageBreakBefore w:val="0"/>
        <w:widowControl w:val="0"/>
        <w:kinsoku/>
        <w:wordWrap/>
        <w:overflowPunct/>
        <w:topLinePunct w:val="0"/>
        <w:autoSpaceDE/>
        <w:autoSpaceDN/>
        <w:bidi w:val="0"/>
        <w:adjustRightInd/>
        <w:snapToGrid/>
        <w:spacing w:line="640" w:lineRule="exact"/>
        <w:ind w:firstLine="880" w:firstLineChars="200"/>
        <w:jc w:val="center"/>
        <w:textAlignment w:val="auto"/>
        <w:rPr>
          <w:rFonts w:hint="eastAsia" w:ascii="黑体" w:hAnsi="黑体" w:eastAsia="黑体" w:cs="黑体"/>
          <w:sz w:val="44"/>
          <w:szCs w:val="44"/>
        </w:rPr>
      </w:pPr>
      <w:r>
        <w:rPr>
          <w:rFonts w:hint="eastAsia" w:ascii="黑体" w:hAnsi="黑体" w:eastAsia="黑体" w:cs="黑体"/>
          <w:sz w:val="44"/>
          <w:szCs w:val="44"/>
        </w:rPr>
        <w:t>马边彝族自治县粮食和物资储备中心</w:t>
      </w:r>
    </w:p>
    <w:p w14:paraId="3CBCF242">
      <w:pPr>
        <w:keepNext w:val="0"/>
        <w:keepLines w:val="0"/>
        <w:pageBreakBefore w:val="0"/>
        <w:widowControl w:val="0"/>
        <w:kinsoku/>
        <w:wordWrap/>
        <w:overflowPunct/>
        <w:topLinePunct w:val="0"/>
        <w:autoSpaceDE/>
        <w:autoSpaceDN/>
        <w:bidi w:val="0"/>
        <w:adjustRightInd/>
        <w:snapToGrid/>
        <w:spacing w:line="640" w:lineRule="exact"/>
        <w:ind w:firstLine="880" w:firstLineChars="200"/>
        <w:jc w:val="center"/>
        <w:textAlignment w:val="auto"/>
        <w:rPr>
          <w:rFonts w:hint="eastAsia" w:ascii="黑体" w:hAnsi="黑体" w:eastAsia="黑体" w:cs="黑体"/>
          <w:sz w:val="44"/>
          <w:szCs w:val="44"/>
        </w:rPr>
      </w:pPr>
      <w:r>
        <w:rPr>
          <w:rFonts w:hint="eastAsia" w:ascii="黑体" w:hAnsi="黑体" w:eastAsia="黑体" w:cs="黑体"/>
          <w:sz w:val="44"/>
          <w:szCs w:val="44"/>
        </w:rPr>
        <w:t>部门整体绩效自评报告</w:t>
      </w:r>
    </w:p>
    <w:p w14:paraId="3A4A588D">
      <w:pPr>
        <w:keepNext w:val="0"/>
        <w:keepLines w:val="0"/>
        <w:pageBreakBefore w:val="0"/>
        <w:widowControl w:val="0"/>
        <w:kinsoku/>
        <w:wordWrap/>
        <w:overflowPunct/>
        <w:topLinePunct w:val="0"/>
        <w:autoSpaceDE/>
        <w:autoSpaceDN/>
        <w:bidi w:val="0"/>
        <w:adjustRightInd/>
        <w:snapToGrid/>
        <w:spacing w:line="640" w:lineRule="exact"/>
        <w:ind w:firstLine="880" w:firstLineChars="200"/>
        <w:jc w:val="center"/>
        <w:textAlignment w:val="auto"/>
        <w:rPr>
          <w:rFonts w:hint="eastAsia" w:ascii="黑体" w:hAnsi="黑体" w:eastAsia="黑体" w:cs="黑体"/>
          <w:sz w:val="44"/>
          <w:szCs w:val="44"/>
        </w:rPr>
      </w:pPr>
    </w:p>
    <w:p w14:paraId="0BEAC86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一、部门基本情况</w:t>
      </w:r>
    </w:p>
    <w:p w14:paraId="7219593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(一)机构组成</w:t>
      </w:r>
      <w:r>
        <w:rPr>
          <w:rFonts w:hint="eastAsia" w:ascii="仿宋_GB2312" w:hAnsi="仿宋_GB2312" w:eastAsia="仿宋_GB2312" w:cs="仿宋_GB2312"/>
          <w:sz w:val="32"/>
          <w:szCs w:val="32"/>
        </w:rPr>
        <w:t>。马边彝族自治县粮食和物资储备中心为马边彝族自治县人民政府直属公益一类事业单位，由马边彝族自治县发展和改革局指导。县粮储中心内设办公室、业务安全股、财务统计股3个股室。</w:t>
      </w:r>
    </w:p>
    <w:p w14:paraId="319F607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(二)机构职能和人员概况。</w:t>
      </w:r>
    </w:p>
    <w:p w14:paraId="7F9116A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(1)贯彻执行国家和省、市粮食流通和粮油储备的方针、政策和法规;按照国家有关政策和省、市、自治县政府的统一部署，拟定全县粮食流通体制改革和粮食流通管理实施意见和办法，并组织实施。</w:t>
      </w:r>
    </w:p>
    <w:p w14:paraId="02AA3B9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(2)负责全县粮食总量平衡，宏观调控和重要粮食品种的结构调整以及粮食流通行业的中长期发展规划;负责全县粮食流通的行业指导、督促有关粮食流通的法律、法规、政策及各项规章制度的执行。</w:t>
      </w:r>
    </w:p>
    <w:p w14:paraId="7C1C637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根据国家储备总体发展规划和品种目录，贯彻落实实施全县战略和应急储备物资的收储、轮换和日常管理;研究提出县级储备粮的收储和动用意见，提出启动粮食应急预案的建议，并参与组织实施;负责全县社会粮食供需平衡调查和粮食余缺调剂，组织指导全县粮食系统统计工作;负责县级储备粮的库存、质量及安全的各项管理。</w:t>
      </w:r>
    </w:p>
    <w:p w14:paraId="01E062B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全县粮食收购、储存、运输、加工、转化等环节和政策性用粮质量安全;负责库存原粮卫生管理，协助相关职能部门管理好成品粮及酿造、饲料用粮;负责粮食系统安全生产和抢险救灾，指导全县农村科学储粮工作;负责编制全县粮食流通及仓储、加工设施的建设规划，指导协调粮食仓储体系建设;配合有关部门落实国家粮食仓储、流通设施建设资金。</w:t>
      </w:r>
    </w:p>
    <w:p w14:paraId="2A78AE7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(5)负责贯彻国家军粮供应政策，制订具体落实办法，切实保障武警部队粮油供给;指导本地区的粮油销售，做好救灾救助和特需粮油供应工作;安排重点建设项目的粮食供应。</w:t>
      </w:r>
    </w:p>
    <w:p w14:paraId="276492D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(6)根据国家和省、市《粮油仓储设施管理办法》，拟定全县粮食仓储、加工和物流体系建设规划并组织实施并指导粮食批发市场建设;指导粮食企业科技进步、技术改造和新技术推广应用。</w:t>
      </w:r>
    </w:p>
    <w:p w14:paraId="4018E03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(7)承担培育、发展和完善粮食市场体系，协助行政职能部门维护正常的粮食流通秩序;协助农业、物价、统计等部门对全县粮食市场供求形势进行监测和预警分析。</w:t>
      </w:r>
    </w:p>
    <w:p w14:paraId="12BC441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(8)承担职责范围内的安全生产和职业健康、生态环境保护等工作.</w:t>
      </w:r>
    </w:p>
    <w:p w14:paraId="6D4D90D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(9)承担县政府公布的有关行政审批事项。</w:t>
      </w:r>
    </w:p>
    <w:p w14:paraId="218CB14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县粮食和物资储备中心属参公管理事业单位，事业编制8名。年末实有人数</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人，其中:行政</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人，工勤2人</w:t>
      </w:r>
      <w:r>
        <w:rPr>
          <w:rFonts w:hint="eastAsia" w:ascii="仿宋_GB2312" w:hAnsi="仿宋_GB2312" w:eastAsia="仿宋_GB2312" w:cs="仿宋_GB2312"/>
          <w:sz w:val="32"/>
          <w:szCs w:val="32"/>
          <w:lang w:eastAsia="zh-CN"/>
        </w:rPr>
        <w:t>。</w:t>
      </w:r>
    </w:p>
    <w:p w14:paraId="2AE73B92">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年度主要工作任务</w:t>
      </w:r>
      <w:r>
        <w:rPr>
          <w:rFonts w:hint="eastAsia" w:ascii="仿宋_GB2312" w:hAnsi="仿宋_GB2312" w:eastAsia="仿宋_GB2312" w:cs="仿宋_GB2312"/>
          <w:sz w:val="32"/>
          <w:szCs w:val="32"/>
        </w:rPr>
        <w:t>。</w:t>
      </w:r>
    </w:p>
    <w:p w14:paraId="0E1C587F">
      <w:pPr>
        <w:pStyle w:val="2"/>
        <w:pageBreakBefore w:val="0"/>
        <w:kinsoku/>
        <w:wordWrap/>
        <w:overflowPunct/>
        <w:topLinePunct w:val="0"/>
        <w:bidi w:val="0"/>
        <w:spacing w:line="60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1.</w:t>
      </w:r>
      <w:r>
        <w:rPr>
          <w:rFonts w:hint="eastAsia" w:ascii="楷体" w:hAnsi="楷体" w:eastAsia="楷体" w:cs="楷体"/>
          <w:sz w:val="32"/>
          <w:szCs w:val="32"/>
        </w:rPr>
        <w:t>强化储备能力，夯实</w:t>
      </w:r>
      <w:r>
        <w:rPr>
          <w:rFonts w:hint="eastAsia" w:ascii="楷体" w:hAnsi="楷体" w:eastAsia="楷体" w:cs="楷体"/>
          <w:sz w:val="32"/>
          <w:szCs w:val="32"/>
          <w:lang w:val="en-US" w:eastAsia="zh-CN"/>
        </w:rPr>
        <w:t>粮食</w:t>
      </w:r>
      <w:r>
        <w:rPr>
          <w:rFonts w:hint="eastAsia" w:ascii="楷体" w:hAnsi="楷体" w:eastAsia="楷体" w:cs="楷体"/>
          <w:sz w:val="32"/>
          <w:szCs w:val="32"/>
        </w:rPr>
        <w:t>安全保障</w:t>
      </w:r>
      <w:r>
        <w:rPr>
          <w:rFonts w:hint="eastAsia" w:ascii="楷体" w:hAnsi="楷体" w:eastAsia="楷体" w:cs="楷体"/>
          <w:sz w:val="32"/>
          <w:szCs w:val="32"/>
          <w:lang w:val="en-US" w:eastAsia="zh-CN"/>
        </w:rPr>
        <w:t>基础。</w:t>
      </w:r>
    </w:p>
    <w:p w14:paraId="064C33E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 w:hAnsi="仿宋" w:eastAsia="仿宋" w:cs="仿宋"/>
          <w:kern w:val="0"/>
          <w:sz w:val="32"/>
          <w:szCs w:val="32"/>
          <w:shd w:val="clear" w:color="auto" w:fill="FFFFFF"/>
          <w:lang w:val="en-US" w:eastAsia="zh-CN" w:bidi="ar"/>
        </w:rPr>
      </w:pPr>
      <w:r>
        <w:rPr>
          <w:rFonts w:hint="eastAsia" w:ascii="仿宋" w:hAnsi="仿宋" w:eastAsia="仿宋" w:cs="仿宋"/>
          <w:kern w:val="0"/>
          <w:sz w:val="32"/>
          <w:szCs w:val="32"/>
          <w:shd w:val="clear" w:color="auto" w:fill="FFFFFF"/>
          <w:lang w:val="en-US" w:eastAsia="zh-CN" w:bidi="ar"/>
        </w:rPr>
        <w:t>坚持以习近平总书记关于粮食安全的重要论述为指导思想，坚定扛牢维护粮食安全的政治责任，认真抓好粮食安全党政同责。2025年圆满完成市上下达我县</w:t>
      </w:r>
      <w:r>
        <w:rPr>
          <w:rFonts w:hint="eastAsia" w:ascii="仿宋" w:hAnsi="仿宋" w:eastAsia="仿宋" w:cs="仿宋"/>
          <w:sz w:val="32"/>
          <w:szCs w:val="32"/>
        </w:rPr>
        <w:t>储备粮</w:t>
      </w:r>
      <w:r>
        <w:rPr>
          <w:rFonts w:hint="eastAsia" w:ascii="仿宋" w:hAnsi="仿宋" w:eastAsia="仿宋" w:cs="仿宋"/>
          <w:sz w:val="32"/>
          <w:szCs w:val="32"/>
          <w:lang w:val="en-US" w:eastAsia="zh-CN"/>
        </w:rPr>
        <w:t>储备</w:t>
      </w:r>
      <w:r>
        <w:rPr>
          <w:rFonts w:hint="eastAsia" w:ascii="仿宋" w:hAnsi="仿宋" w:eastAsia="仿宋" w:cs="仿宋"/>
          <w:sz w:val="32"/>
          <w:szCs w:val="32"/>
        </w:rPr>
        <w:t>任务，目前储备规模达</w:t>
      </w:r>
      <w:r>
        <w:rPr>
          <w:rFonts w:hint="eastAsia" w:ascii="仿宋" w:hAnsi="仿宋" w:eastAsia="仿宋" w:cs="仿宋"/>
          <w:sz w:val="32"/>
          <w:szCs w:val="32"/>
          <w:lang w:val="en-US" w:eastAsia="zh-CN"/>
        </w:rPr>
        <w:t>4335</w:t>
      </w:r>
      <w:r>
        <w:rPr>
          <w:rFonts w:hint="eastAsia" w:ascii="仿宋" w:hAnsi="仿宋" w:eastAsia="仿宋" w:cs="仿宋"/>
          <w:sz w:val="32"/>
          <w:szCs w:val="32"/>
        </w:rPr>
        <w:t>吨，其中稻谷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原粮</w:t>
      </w:r>
      <w:r>
        <w:rPr>
          <w:rFonts w:hint="eastAsia" w:ascii="仿宋" w:hAnsi="仿宋" w:eastAsia="仿宋" w:cs="仿宋"/>
          <w:sz w:val="32"/>
          <w:szCs w:val="32"/>
          <w:lang w:eastAsia="zh-CN"/>
        </w:rPr>
        <w:t>）</w:t>
      </w:r>
      <w:r>
        <w:rPr>
          <w:rFonts w:hint="eastAsia" w:ascii="仿宋" w:hAnsi="仿宋" w:eastAsia="仿宋" w:cs="仿宋"/>
          <w:kern w:val="0"/>
          <w:sz w:val="32"/>
          <w:szCs w:val="32"/>
          <w:shd w:val="clear" w:color="auto" w:fill="FFFFFF"/>
          <w:lang w:val="en-US" w:eastAsia="zh-CN" w:bidi="ar"/>
        </w:rPr>
        <w:t>4005吨、成品粮大米300吨、菜籽油30吨。</w:t>
      </w:r>
    </w:p>
    <w:p w14:paraId="45874FF2">
      <w:pPr>
        <w:pStyle w:val="2"/>
        <w:pageBreakBefore w:val="0"/>
        <w:kinsoku/>
        <w:wordWrap/>
        <w:overflowPunct/>
        <w:topLinePunct w:val="0"/>
        <w:bidi w:val="0"/>
        <w:spacing w:line="600" w:lineRule="exact"/>
        <w:textAlignment w:val="auto"/>
        <w:rPr>
          <w:rFonts w:hint="eastAsia" w:ascii="楷体" w:hAnsi="楷体" w:eastAsia="楷体" w:cs="楷体"/>
          <w:sz w:val="32"/>
          <w:szCs w:val="32"/>
          <w:lang w:val="en-US" w:eastAsia="zh-CN"/>
        </w:rPr>
      </w:pPr>
      <w:r>
        <w:rPr>
          <w:rFonts w:hint="eastAsia" w:ascii="楷体" w:hAnsi="楷体" w:eastAsia="楷体" w:cs="楷体"/>
          <w:kern w:val="0"/>
          <w:sz w:val="32"/>
          <w:szCs w:val="32"/>
          <w:shd w:val="clear" w:color="auto" w:fill="FFFFFF"/>
          <w:lang w:val="en-US" w:eastAsia="zh-CN" w:bidi="ar"/>
        </w:rPr>
        <w:t>2.</w:t>
      </w:r>
      <w:r>
        <w:rPr>
          <w:rFonts w:hint="eastAsia" w:ascii="楷体" w:hAnsi="楷体" w:eastAsia="楷体" w:cs="楷体"/>
          <w:sz w:val="32"/>
          <w:szCs w:val="32"/>
          <w:lang w:val="en-US" w:eastAsia="zh-CN"/>
        </w:rPr>
        <w:t>筑牢储备根基，完成储备粮轮换工作。</w:t>
      </w:r>
    </w:p>
    <w:p w14:paraId="439BAC7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 w:hAnsi="仿宋" w:eastAsia="仿宋" w:cs="仿宋"/>
          <w:kern w:val="0"/>
          <w:sz w:val="32"/>
          <w:szCs w:val="32"/>
          <w:shd w:val="clear" w:color="auto" w:fill="FFFFFF"/>
          <w:lang w:val="en-US" w:eastAsia="zh-CN" w:bidi="ar"/>
        </w:rPr>
      </w:pPr>
      <w:r>
        <w:rPr>
          <w:rFonts w:hint="eastAsia" w:ascii="仿宋" w:hAnsi="仿宋" w:eastAsia="仿宋" w:cs="仿宋"/>
          <w:kern w:val="2"/>
          <w:sz w:val="32"/>
          <w:szCs w:val="32"/>
          <w:lang w:val="en-US" w:eastAsia="zh-CN" w:bidi="ar-SA"/>
        </w:rPr>
        <w:t>开展好储备粮动态轮换工作，于</w:t>
      </w:r>
      <w:r>
        <w:rPr>
          <w:rFonts w:hint="eastAsia" w:ascii="仿宋_GB2312" w:hAnsi="仿宋_GB2312" w:eastAsia="仿宋_GB2312" w:cs="仿宋_GB2312"/>
          <w:b w:val="0"/>
          <w:bCs w:val="0"/>
          <w:kern w:val="0"/>
          <w:sz w:val="32"/>
          <w:szCs w:val="32"/>
          <w:shd w:val="clear" w:color="auto" w:fill="FFFFFF"/>
          <w:lang w:val="en-US" w:eastAsia="zh-CN" w:bidi="ar"/>
        </w:rPr>
        <w:t>2025年1月完成了2800吨原粮（稻谷）轮换验收工作；2025年5月完成300吨大米轮换验收工作</w:t>
      </w:r>
      <w:r>
        <w:rPr>
          <w:rFonts w:hint="eastAsia" w:ascii="仿宋_GB2312" w:hAnsi="仿宋_GB2312" w:cs="仿宋_GB2312"/>
          <w:b w:val="0"/>
          <w:bCs w:val="0"/>
          <w:kern w:val="0"/>
          <w:sz w:val="32"/>
          <w:szCs w:val="32"/>
          <w:shd w:val="clear" w:color="auto" w:fill="FFFFFF"/>
          <w:lang w:val="en-US" w:eastAsia="zh-CN" w:bidi="ar"/>
        </w:rPr>
        <w:t>，11</w:t>
      </w:r>
      <w:r>
        <w:rPr>
          <w:rFonts w:hint="eastAsia" w:ascii="仿宋" w:hAnsi="仿宋" w:eastAsia="仿宋" w:cs="仿宋"/>
          <w:kern w:val="2"/>
          <w:sz w:val="32"/>
          <w:szCs w:val="32"/>
          <w:lang w:val="en-US" w:eastAsia="zh-CN" w:bidi="ar-SA"/>
        </w:rPr>
        <w:t>月完成300吨成品粮大米、</w:t>
      </w:r>
      <w:r>
        <w:rPr>
          <w:rFonts w:hint="eastAsia" w:ascii="仿宋" w:hAnsi="仿宋" w:eastAsia="仿宋" w:cs="仿宋"/>
          <w:kern w:val="0"/>
          <w:sz w:val="32"/>
          <w:szCs w:val="32"/>
          <w:shd w:val="clear" w:color="auto" w:fill="FFFFFF"/>
          <w:lang w:val="en-US" w:eastAsia="zh-CN" w:bidi="ar"/>
        </w:rPr>
        <w:t>30吨菜籽油</w:t>
      </w:r>
      <w:r>
        <w:rPr>
          <w:rFonts w:hint="eastAsia" w:ascii="仿宋" w:hAnsi="仿宋" w:eastAsia="仿宋" w:cs="仿宋"/>
          <w:kern w:val="2"/>
          <w:sz w:val="32"/>
          <w:szCs w:val="32"/>
          <w:lang w:val="en-US" w:eastAsia="zh-CN" w:bidi="ar-SA"/>
        </w:rPr>
        <w:t>轮换工作</w:t>
      </w:r>
      <w:r>
        <w:rPr>
          <w:rFonts w:hint="eastAsia" w:ascii="仿宋" w:hAnsi="仿宋" w:eastAsia="仿宋" w:cs="仿宋"/>
          <w:kern w:val="0"/>
          <w:sz w:val="32"/>
          <w:szCs w:val="32"/>
          <w:shd w:val="clear" w:color="auto" w:fill="FFFFFF"/>
          <w:lang w:val="en-US" w:eastAsia="zh-CN" w:bidi="ar"/>
        </w:rPr>
        <w:t>。确保4005吨原粮、300吨成品粮大米、30吨菜籽油县级储备粮油储备任务，保障我县粮食储备安全。</w:t>
      </w:r>
    </w:p>
    <w:p w14:paraId="7492DFB1">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val="en-US" w:eastAsia="zh-CN"/>
        </w:rPr>
        <w:t>3.</w:t>
      </w:r>
      <w:r>
        <w:rPr>
          <w:rFonts w:hint="eastAsia" w:ascii="楷体" w:hAnsi="楷体" w:eastAsia="楷体" w:cs="楷体"/>
          <w:sz w:val="32"/>
          <w:szCs w:val="32"/>
        </w:rPr>
        <w:t>加强</w:t>
      </w:r>
      <w:r>
        <w:rPr>
          <w:rFonts w:hint="eastAsia" w:ascii="楷体" w:hAnsi="楷体" w:eastAsia="楷体" w:cs="楷体"/>
          <w:sz w:val="32"/>
          <w:szCs w:val="32"/>
          <w:lang w:val="en-US" w:eastAsia="zh-CN"/>
        </w:rPr>
        <w:t>粮食安全普法</w:t>
      </w:r>
      <w:r>
        <w:rPr>
          <w:rFonts w:hint="eastAsia" w:ascii="楷体" w:hAnsi="楷体" w:eastAsia="楷体" w:cs="楷体"/>
          <w:sz w:val="32"/>
          <w:szCs w:val="32"/>
        </w:rPr>
        <w:t>宣传</w:t>
      </w:r>
      <w:r>
        <w:rPr>
          <w:rFonts w:hint="eastAsia" w:ascii="楷体" w:hAnsi="楷体" w:eastAsia="楷体" w:cs="楷体"/>
          <w:sz w:val="32"/>
          <w:szCs w:val="32"/>
          <w:lang w:eastAsia="zh-CN"/>
        </w:rPr>
        <w:t>，</w:t>
      </w:r>
      <w:r>
        <w:rPr>
          <w:rFonts w:hint="eastAsia" w:ascii="楷体" w:hAnsi="楷体" w:eastAsia="楷体" w:cs="楷体"/>
          <w:kern w:val="0"/>
          <w:sz w:val="32"/>
          <w:szCs w:val="32"/>
          <w:shd w:val="clear" w:color="auto" w:fill="FFFFFF"/>
          <w:lang w:val="en-US" w:eastAsia="zh-CN" w:bidi="ar"/>
        </w:rPr>
        <w:t>提高知识储备能力。</w:t>
      </w:r>
    </w:p>
    <w:p w14:paraId="62ECE981">
      <w:pPr>
        <w:pStyle w:val="38"/>
        <w:pageBreakBefore w:val="0"/>
        <w:kinsoku/>
        <w:wordWrap/>
        <w:overflowPunct/>
        <w:topLinePunct w:val="0"/>
        <w:bidi w:val="0"/>
        <w:adjustRightInd w:val="0"/>
        <w:snapToGrid w:val="0"/>
        <w:spacing w:line="600" w:lineRule="exact"/>
        <w:ind w:left="0" w:leftChars="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     充分利用世界粮食日、全国粮食宣传周、安全宣传月等多种形式宣传粮食安全知识，</w:t>
      </w:r>
      <w:r>
        <w:rPr>
          <w:rFonts w:hint="eastAsia" w:ascii="仿宋" w:hAnsi="仿宋" w:eastAsia="仿宋" w:cs="仿宋"/>
          <w:sz w:val="32"/>
          <w:szCs w:val="32"/>
        </w:rPr>
        <w:t>组织人员在粮食购销企业</w:t>
      </w:r>
      <w:r>
        <w:rPr>
          <w:rFonts w:hint="eastAsia" w:ascii="仿宋" w:hAnsi="仿宋" w:eastAsia="仿宋" w:cs="仿宋"/>
          <w:sz w:val="32"/>
          <w:szCs w:val="32"/>
          <w:lang w:val="en-US" w:eastAsia="zh-CN"/>
        </w:rPr>
        <w:t>等</w:t>
      </w:r>
      <w:r>
        <w:rPr>
          <w:rFonts w:hint="eastAsia" w:ascii="仿宋" w:hAnsi="仿宋" w:eastAsia="仿宋" w:cs="仿宋"/>
          <w:sz w:val="32"/>
          <w:szCs w:val="32"/>
        </w:rPr>
        <w:t>张贴《粮食流通管理条例》宣传画，扩大条例宣传力度，提高社会认同度。并向农民朋友宣讲和发放《科学储粮知识与虫害防治方法》宣传单，以增强农民安全储粮意识，做到家喻户晓、人人皆知。在“</w:t>
      </w:r>
      <w:r>
        <w:rPr>
          <w:rFonts w:hint="eastAsia" w:ascii="仿宋" w:hAnsi="仿宋" w:eastAsia="仿宋" w:cs="仿宋"/>
          <w:sz w:val="32"/>
          <w:szCs w:val="32"/>
          <w:lang w:val="en-US" w:eastAsia="zh-CN"/>
        </w:rPr>
        <w:t>转转酒</w:t>
      </w:r>
      <w:r>
        <w:rPr>
          <w:rFonts w:hint="eastAsia" w:ascii="仿宋" w:hAnsi="仿宋" w:eastAsia="仿宋" w:cs="仿宋"/>
          <w:sz w:val="32"/>
          <w:szCs w:val="32"/>
        </w:rPr>
        <w:t>”广场等人群集中地设点开展宣传活动</w:t>
      </w:r>
      <w:r>
        <w:rPr>
          <w:rFonts w:hint="eastAsia" w:ascii="仿宋" w:hAnsi="仿宋" w:eastAsia="仿宋" w:cs="仿宋"/>
          <w:sz w:val="32"/>
          <w:szCs w:val="32"/>
          <w:lang w:eastAsia="zh-CN"/>
        </w:rPr>
        <w:t>，</w:t>
      </w:r>
      <w:r>
        <w:rPr>
          <w:rFonts w:hint="eastAsia" w:ascii="仿宋" w:hAnsi="仿宋" w:eastAsia="仿宋" w:cs="仿宋"/>
          <w:sz w:val="32"/>
          <w:szCs w:val="32"/>
        </w:rPr>
        <w:t>发放《粮食流通管理条例》宣传单，组织中心机关</w:t>
      </w:r>
      <w:r>
        <w:rPr>
          <w:rFonts w:hint="eastAsia" w:ascii="仿宋" w:hAnsi="仿宋" w:eastAsia="仿宋" w:cs="仿宋"/>
          <w:sz w:val="32"/>
          <w:szCs w:val="32"/>
          <w:lang w:val="en-US" w:eastAsia="zh-CN"/>
        </w:rPr>
        <w:t>干部职工</w:t>
      </w:r>
      <w:r>
        <w:rPr>
          <w:rFonts w:hint="eastAsia" w:ascii="仿宋" w:hAnsi="仿宋" w:eastAsia="仿宋" w:cs="仿宋"/>
          <w:sz w:val="32"/>
          <w:szCs w:val="32"/>
        </w:rPr>
        <w:t>现场进行《条例》知识解答、粮食质量相关政策宣讲、科学保粮知识咨询，现场咨询的群众达</w:t>
      </w:r>
      <w:r>
        <w:rPr>
          <w:rFonts w:hint="eastAsia" w:ascii="仿宋" w:hAnsi="仿宋" w:eastAsia="仿宋" w:cs="仿宋"/>
          <w:sz w:val="32"/>
          <w:szCs w:val="32"/>
          <w:lang w:eastAsia="zh-CN"/>
        </w:rPr>
        <w:t>二</w:t>
      </w:r>
      <w:r>
        <w:rPr>
          <w:rFonts w:hint="eastAsia" w:ascii="仿宋" w:hAnsi="仿宋" w:eastAsia="仿宋" w:cs="仿宋"/>
          <w:sz w:val="32"/>
          <w:szCs w:val="32"/>
        </w:rPr>
        <w:t>百余人。</w:t>
      </w:r>
    </w:p>
    <w:p w14:paraId="0D6FA43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kern w:val="0"/>
          <w:sz w:val="32"/>
          <w:szCs w:val="32"/>
          <w:shd w:val="clear" w:color="auto" w:fill="FFFFFF"/>
          <w:lang w:val="en-US" w:eastAsia="zh-CN" w:bidi="ar"/>
        </w:rPr>
      </w:pPr>
      <w:r>
        <w:rPr>
          <w:rFonts w:hint="eastAsia" w:ascii="楷体" w:hAnsi="楷体" w:eastAsia="楷体" w:cs="楷体"/>
          <w:kern w:val="0"/>
          <w:sz w:val="32"/>
          <w:szCs w:val="32"/>
          <w:shd w:val="clear" w:color="auto" w:fill="FFFFFF"/>
          <w:lang w:val="en-US" w:eastAsia="zh-CN" w:bidi="ar"/>
        </w:rPr>
        <w:t>4.强化监督检查，</w:t>
      </w:r>
      <w:r>
        <w:rPr>
          <w:rFonts w:hint="eastAsia" w:ascii="楷体" w:hAnsi="楷体" w:eastAsia="楷体" w:cs="楷体"/>
          <w:sz w:val="32"/>
          <w:szCs w:val="32"/>
        </w:rPr>
        <w:t>筑牢储备安全防线</w:t>
      </w:r>
      <w:r>
        <w:rPr>
          <w:rFonts w:hint="eastAsia" w:ascii="楷体" w:hAnsi="楷体" w:eastAsia="楷体" w:cs="楷体"/>
          <w:kern w:val="0"/>
          <w:sz w:val="32"/>
          <w:szCs w:val="32"/>
          <w:shd w:val="clear" w:color="auto" w:fill="FFFFFF"/>
          <w:lang w:val="en-US" w:eastAsia="zh-CN" w:bidi="ar"/>
        </w:rPr>
        <w:t>。</w:t>
      </w:r>
    </w:p>
    <w:p w14:paraId="4DD2F37E">
      <w:pPr>
        <w:pStyle w:val="38"/>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依据《安全生产治本攻坚三年行动方案》文件要求，对照粮食安全检查有关规定逐仓逐库对照检查，截止目前已</w:t>
      </w:r>
      <w:r>
        <w:rPr>
          <w:rFonts w:hint="eastAsia" w:ascii="仿宋" w:hAnsi="仿宋" w:eastAsia="仿宋" w:cs="仿宋"/>
          <w:sz w:val="32"/>
          <w:szCs w:val="32"/>
        </w:rPr>
        <w:t>开展粮食</w:t>
      </w:r>
      <w:r>
        <w:rPr>
          <w:rFonts w:hint="eastAsia" w:ascii="仿宋" w:hAnsi="仿宋" w:eastAsia="仿宋" w:cs="仿宋"/>
          <w:sz w:val="32"/>
          <w:szCs w:val="32"/>
          <w:lang w:val="en-US" w:eastAsia="zh-CN"/>
        </w:rPr>
        <w:t>仓储</w:t>
      </w:r>
      <w:r>
        <w:rPr>
          <w:rFonts w:hint="eastAsia" w:ascii="仿宋" w:hAnsi="仿宋" w:eastAsia="仿宋" w:cs="仿宋"/>
          <w:sz w:val="32"/>
          <w:szCs w:val="32"/>
        </w:rPr>
        <w:t>检查</w:t>
      </w:r>
      <w:r>
        <w:rPr>
          <w:rFonts w:hint="eastAsia" w:ascii="仿宋" w:hAnsi="仿宋" w:eastAsia="仿宋" w:cs="仿宋"/>
          <w:sz w:val="32"/>
          <w:szCs w:val="32"/>
          <w:lang w:val="en-US" w:eastAsia="zh-CN"/>
        </w:rPr>
        <w:t>16</w:t>
      </w:r>
      <w:r>
        <w:rPr>
          <w:rFonts w:hint="eastAsia" w:ascii="仿宋" w:hAnsi="仿宋" w:eastAsia="仿宋" w:cs="仿宋"/>
          <w:sz w:val="32"/>
          <w:szCs w:val="32"/>
        </w:rPr>
        <w:t>次，确保了存粮质量安全。完善制度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科学保粮，</w:t>
      </w:r>
      <w:r>
        <w:rPr>
          <w:rFonts w:hint="eastAsia" w:ascii="仿宋" w:hAnsi="仿宋" w:eastAsia="仿宋" w:cs="仿宋"/>
          <w:sz w:val="32"/>
          <w:szCs w:val="32"/>
        </w:rPr>
        <w:t>严格落实《中华人民共和国粮食安全保障法》要求，在仓储管理中，以县储备粮管理为中心，把落实岗位责任制、完善各项仓储制度，贯彻《粮油储存技术规范》和《县储备粮管理办法》以及改善仓储条件作为提高仓储质量工作的有力手段。</w:t>
      </w:r>
      <w:r>
        <w:rPr>
          <w:rFonts w:hint="eastAsia" w:ascii="仿宋" w:hAnsi="仿宋" w:eastAsia="仿宋" w:cs="仿宋"/>
          <w:sz w:val="32"/>
          <w:szCs w:val="32"/>
          <w:lang w:val="en-US" w:eastAsia="zh-CN"/>
        </w:rPr>
        <w:t>充分发挥好</w:t>
      </w:r>
      <w:r>
        <w:rPr>
          <w:rFonts w:hint="eastAsia" w:ascii="仿宋" w:hAnsi="仿宋" w:eastAsia="仿宋" w:cs="仿宋"/>
          <w:sz w:val="32"/>
          <w:szCs w:val="32"/>
        </w:rPr>
        <w:t>粮食购销领域监管信息化</w:t>
      </w:r>
      <w:r>
        <w:rPr>
          <w:rFonts w:hint="eastAsia" w:ascii="仿宋" w:hAnsi="仿宋" w:eastAsia="仿宋" w:cs="仿宋"/>
          <w:sz w:val="32"/>
          <w:szCs w:val="32"/>
          <w:lang w:val="en-US" w:eastAsia="zh-CN"/>
        </w:rPr>
        <w:t>平台监管作用</w:t>
      </w:r>
      <w:r>
        <w:rPr>
          <w:rFonts w:hint="eastAsia" w:ascii="仿宋" w:hAnsi="仿宋" w:eastAsia="仿宋" w:cs="仿宋"/>
          <w:sz w:val="32"/>
          <w:szCs w:val="32"/>
        </w:rPr>
        <w:t>，实现储备粮轮换、检验、出入库等环节全程可追溯，提升管理数字化水平。</w:t>
      </w:r>
    </w:p>
    <w:p w14:paraId="4734473B">
      <w:pPr>
        <w:pStyle w:val="38"/>
        <w:pageBreakBefore w:val="0"/>
        <w:kinsoku/>
        <w:wordWrap/>
        <w:overflowPunct/>
        <w:topLinePunct w:val="0"/>
        <w:bidi w:val="0"/>
        <w:adjustRightInd w:val="0"/>
        <w:snapToGrid w:val="0"/>
        <w:spacing w:line="60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5.</w:t>
      </w:r>
      <w:r>
        <w:rPr>
          <w:rFonts w:hint="eastAsia" w:ascii="楷体" w:hAnsi="楷体" w:eastAsia="楷体" w:cs="楷体"/>
          <w:sz w:val="32"/>
          <w:szCs w:val="32"/>
        </w:rPr>
        <w:t>强化储备能力建设</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加快粮食仓储项目推进速度。</w:t>
      </w:r>
    </w:p>
    <w:p w14:paraId="567FED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sz w:val="32"/>
          <w:szCs w:val="32"/>
          <w:lang w:val="en-US" w:eastAsia="zh-CN"/>
        </w:rPr>
        <w:t>加快《马边彝族自治县粮食仓储基础设施及应急综合保障项目》建设进度，截至目前，完</w:t>
      </w:r>
      <w:r>
        <w:rPr>
          <w:rFonts w:hint="eastAsia" w:ascii="仿宋" w:hAnsi="仿宋" w:eastAsia="仿宋" w:cs="仿宋"/>
          <w:b w:val="0"/>
          <w:bCs w:val="0"/>
          <w:sz w:val="32"/>
          <w:szCs w:val="32"/>
          <w:lang w:val="en-US" w:eastAsia="zh-CN"/>
        </w:rPr>
        <w:t>成进场道路路基换填和道路边坡网喷工作，完成边坡截排水沟工程，完成混泥土挡墙500米浇筑工作。开展总平土石方开挖弃土外运4万方等工作，服务楼及消防地下室基坑挖掘50%工作。开展边坡支护桩挖掘14根，完成边坡支护桩浇筑工作11根、完成平房仓、机械罩棚基础桩84根旋挖桩栽桩、低应变、声测两项检测工作，正在开展静载检测和基础地梁施工，完成电力杆线全部建设工作。力争于2026年4月项目全面完工。</w:t>
      </w:r>
    </w:p>
    <w:p w14:paraId="48579EE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二、部门财政资金收支情况</w:t>
      </w:r>
    </w:p>
    <w:p w14:paraId="09AD91D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(一)部门财政资金收入情况。</w:t>
      </w:r>
    </w:p>
    <w:p w14:paraId="5D4B3AC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年财政收入总额1,799.62万元，其中:一般公共预算财政拨款收入337.64万元，政府性基金预算财政拨款收入 1,461.98万元。</w:t>
      </w:r>
    </w:p>
    <w:p w14:paraId="6FC55F3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(二)部门财政资金支出情况。</w:t>
      </w:r>
    </w:p>
    <w:p w14:paraId="7D14F78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年财政</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总额1,799.62万元，其中:一般公共预算财政拨款</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337.64万元，政府性基金预算财政拨款</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1,461.98万元。</w:t>
      </w:r>
    </w:p>
    <w:p w14:paraId="21AC53EA">
      <w:pPr>
        <w:keepNext w:val="0"/>
        <w:keepLines w:val="0"/>
        <w:pageBreakBefore w:val="0"/>
        <w:widowControl w:val="0"/>
        <w:numPr>
          <w:ilvl w:val="0"/>
          <w:numId w:val="4"/>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部门整体绩效管理情况</w:t>
      </w:r>
    </w:p>
    <w:p w14:paraId="044582D2">
      <w:pPr>
        <w:keepNext w:val="0"/>
        <w:keepLines w:val="0"/>
        <w:pageBreakBefore w:val="0"/>
        <w:widowControl w:val="0"/>
        <w:numPr>
          <w:ilvl w:val="0"/>
          <w:numId w:val="0"/>
        </w:numPr>
        <w:kinsoku/>
        <w:wordWrap/>
        <w:overflowPunct/>
        <w:topLinePunct w:val="0"/>
        <w:autoSpaceDE/>
        <w:autoSpaceDN/>
        <w:bidi w:val="0"/>
        <w:adjustRightInd/>
        <w:snapToGrid/>
        <w:spacing w:line="640" w:lineRule="exact"/>
        <w:textAlignment w:val="auto"/>
        <w:rPr>
          <w:rFonts w:hint="eastAsia" w:ascii="楷体" w:hAnsi="楷体" w:eastAsia="楷体" w:cs="楷体"/>
          <w:sz w:val="32"/>
          <w:szCs w:val="32"/>
        </w:rPr>
      </w:pPr>
      <w:r>
        <w:rPr>
          <w:rFonts w:hint="eastAsia" w:ascii="楷体" w:hAnsi="楷体" w:eastAsia="楷体" w:cs="楷体"/>
          <w:sz w:val="32"/>
          <w:szCs w:val="32"/>
        </w:rPr>
        <w:t>(一)部门整体履职绩效分析。</w:t>
      </w:r>
    </w:p>
    <w:p w14:paraId="5119E42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1.预决算编制情况</w:t>
      </w:r>
    </w:p>
    <w:p w14:paraId="372E8DD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度预决算编制严格按照财政预决算编制要求，准确录入相关信息。经费预算结合上年支出和下年预计开展工作情况合理编制，综合考虑预算年度各项工作重点，力求准确、科学、合理，厉行节约的原则，编制较好质量的部门预算。绩效目标严格按照实际情况进行了充分的论证，确保项目的有序进行。</w:t>
      </w:r>
    </w:p>
    <w:p w14:paraId="3AF0510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2.执行管理情况</w:t>
      </w:r>
    </w:p>
    <w:p w14:paraId="2A4E7D7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年单位进一步加强预算执行工作的管理，全年部门预算实际支出数为</w:t>
      </w:r>
      <w:r>
        <w:rPr>
          <w:rFonts w:hint="eastAsia" w:ascii="仿宋_GB2312" w:hAnsi="仿宋_GB2312" w:eastAsia="仿宋_GB2312" w:cs="仿宋_GB2312"/>
          <w:sz w:val="32"/>
          <w:szCs w:val="32"/>
          <w:lang w:eastAsia="zh-CN"/>
        </w:rPr>
        <w:t>年初</w:t>
      </w:r>
      <w:r>
        <w:rPr>
          <w:rFonts w:hint="eastAsia" w:ascii="仿宋_GB2312" w:hAnsi="仿宋_GB2312" w:eastAsia="仿宋_GB2312" w:cs="仿宋_GB2312"/>
          <w:sz w:val="32"/>
          <w:szCs w:val="32"/>
        </w:rPr>
        <w:t>预算数的</w:t>
      </w:r>
      <w:r>
        <w:rPr>
          <w:rFonts w:hint="eastAsia" w:ascii="仿宋_GB2312" w:hAnsi="仿宋_GB2312" w:eastAsia="仿宋_GB2312" w:cs="仿宋_GB2312"/>
          <w:sz w:val="32"/>
          <w:szCs w:val="32"/>
          <w:lang w:val="en-US" w:eastAsia="zh-CN"/>
        </w:rPr>
        <w:t>898.46</w:t>
      </w:r>
      <w:r>
        <w:rPr>
          <w:rFonts w:hint="eastAsia" w:ascii="仿宋_GB2312" w:hAnsi="仿宋_GB2312" w:eastAsia="仿宋_GB2312" w:cs="仿宋_GB2312"/>
          <w:sz w:val="32"/>
          <w:szCs w:val="32"/>
        </w:rPr>
        <w:t>%。原因为政府性基金预算财政拨款收入</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w:t>
      </w:r>
    </w:p>
    <w:p w14:paraId="5502C8B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3.综合管理情况</w:t>
      </w:r>
    </w:p>
    <w:p w14:paraId="1B94957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(1)政策采购计划具体实施与备案的实施计划一致。</w:t>
      </w:r>
    </w:p>
    <w:p w14:paraId="326F3F6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(2)资产管理情况。国有资产纳入资产信息系统管理。对新增固定资产录入卡片新建及时入帐。在规定时间内及时、准确、全面完成资产清查、上报工作。</w:t>
      </w:r>
    </w:p>
    <w:p w14:paraId="01EF252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(3)内控制度管理情况。结合单位工作职能制定了 </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年《马边彝族自治县粮食局内部控制制度》，健全完整并执行良好。</w:t>
      </w:r>
    </w:p>
    <w:p w14:paraId="667E5DB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(4)信息公开情况。按财政通知要求，二十日内及时在政府门户网站公开本部门预决算(含所有财政资金安排的“三公”经费、机关运行经费的安排、使用情况等)，及其他按要求应公开的信息。</w:t>
      </w:r>
    </w:p>
    <w:p w14:paraId="5729A55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(5)绩效评价及依法接受财政监督情况。本单位高度重视评价工作，积极开展自查自纠，接受财政监督，发现问题及时整改。</w:t>
      </w:r>
    </w:p>
    <w:p w14:paraId="44E5D96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4.整体绩效</w:t>
      </w:r>
    </w:p>
    <w:p w14:paraId="5ACADB6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县粮食和物资储备中心</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年财政拨款收入总计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sz w:val="32"/>
          <w:szCs w:val="32"/>
        </w:rPr>
        <w:t>万元,支出总计</w:t>
      </w:r>
      <w:r>
        <w:rPr>
          <w:rFonts w:hint="eastAsia" w:ascii="仿宋_GB2312" w:hAnsi="仿宋_GB2312" w:eastAsia="仿宋_GB2312" w:cs="仿宋_GB2312"/>
          <w:color w:val="auto"/>
          <w:sz w:val="32"/>
          <w:szCs w:val="32"/>
          <w:highlight w:val="none"/>
          <w:lang w:val="en-US" w:eastAsia="zh-CN"/>
        </w:rPr>
        <w:t>1,799.62</w:t>
      </w:r>
      <w:r>
        <w:rPr>
          <w:rFonts w:hint="eastAsia" w:ascii="仿宋_GB2312" w:hAnsi="仿宋_GB2312" w:eastAsia="仿宋_GB2312" w:cs="仿宋_GB2312"/>
          <w:sz w:val="32"/>
          <w:szCs w:val="32"/>
        </w:rPr>
        <w:t xml:space="preserve"> 万元,</w:t>
      </w:r>
      <w:r>
        <w:rPr>
          <w:rFonts w:hint="eastAsia" w:ascii="仿宋_GB2312" w:hAnsi="仿宋_GB2312" w:eastAsia="仿宋_GB2312" w:cs="仿宋_GB2312"/>
          <w:color w:val="auto"/>
          <w:sz w:val="32"/>
          <w:szCs w:val="32"/>
          <w:highlight w:val="none"/>
        </w:rPr>
        <w:t>其中：基本支出</w:t>
      </w:r>
      <w:r>
        <w:rPr>
          <w:rFonts w:hint="eastAsia" w:ascii="仿宋_GB2312" w:hAnsi="仿宋_GB2312" w:eastAsia="仿宋_GB2312" w:cs="仿宋_GB2312"/>
          <w:color w:val="auto"/>
          <w:sz w:val="32"/>
          <w:szCs w:val="32"/>
          <w:highlight w:val="none"/>
          <w:lang w:val="en-US" w:eastAsia="zh-CN"/>
        </w:rPr>
        <w:t>2291.21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sz w:val="32"/>
          <w:szCs w:val="32"/>
          <w:lang w:val="en-US" w:eastAsia="zh-CN"/>
        </w:rPr>
        <w:t>12.74</w:t>
      </w:r>
      <w:r>
        <w:rPr>
          <w:rFonts w:hint="eastAsia" w:ascii="仿宋_GB2312" w:hAnsi="仿宋_GB2312" w:eastAsia="仿宋_GB2312" w:cs="仿宋_GB2312"/>
          <w:color w:val="auto"/>
          <w:sz w:val="32"/>
          <w:szCs w:val="32"/>
          <w:highlight w:val="none"/>
        </w:rPr>
        <w:t>%；项目支出</w:t>
      </w:r>
      <w:r>
        <w:rPr>
          <w:rFonts w:hint="eastAsia" w:ascii="仿宋_GB2312" w:hAnsi="仿宋_GB2312" w:eastAsia="仿宋_GB2312" w:cs="仿宋_GB2312"/>
          <w:color w:val="auto"/>
          <w:sz w:val="32"/>
          <w:szCs w:val="32"/>
          <w:highlight w:val="none"/>
          <w:lang w:val="en-US" w:eastAsia="zh-CN"/>
        </w:rPr>
        <w:t>1570.41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sz w:val="32"/>
          <w:szCs w:val="32"/>
          <w:lang w:val="en-US" w:eastAsia="zh-CN"/>
        </w:rPr>
        <w:t>87.26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rPr>
        <w:t>县级储备粮的储存和管理工作。</w:t>
      </w:r>
      <w:r>
        <w:rPr>
          <w:rFonts w:hint="eastAsia" w:ascii="仿宋" w:hAnsi="仿宋" w:eastAsia="仿宋" w:cs="仿宋"/>
          <w:sz w:val="32"/>
          <w:szCs w:val="32"/>
        </w:rPr>
        <w:t>目前储备规模达</w:t>
      </w:r>
      <w:r>
        <w:rPr>
          <w:rFonts w:hint="eastAsia" w:ascii="仿宋" w:hAnsi="仿宋" w:eastAsia="仿宋" w:cs="仿宋"/>
          <w:sz w:val="32"/>
          <w:szCs w:val="32"/>
          <w:lang w:val="en-US" w:eastAsia="zh-CN"/>
        </w:rPr>
        <w:t>4335</w:t>
      </w:r>
      <w:r>
        <w:rPr>
          <w:rFonts w:hint="eastAsia" w:ascii="仿宋" w:hAnsi="仿宋" w:eastAsia="仿宋" w:cs="仿宋"/>
          <w:sz w:val="32"/>
          <w:szCs w:val="32"/>
        </w:rPr>
        <w:t>吨，其中稻谷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原粮</w:t>
      </w:r>
      <w:r>
        <w:rPr>
          <w:rFonts w:hint="eastAsia" w:ascii="仿宋" w:hAnsi="仿宋" w:eastAsia="仿宋" w:cs="仿宋"/>
          <w:sz w:val="32"/>
          <w:szCs w:val="32"/>
          <w:lang w:eastAsia="zh-CN"/>
        </w:rPr>
        <w:t>）</w:t>
      </w:r>
      <w:r>
        <w:rPr>
          <w:rFonts w:hint="eastAsia" w:ascii="仿宋" w:hAnsi="仿宋" w:eastAsia="仿宋" w:cs="仿宋"/>
          <w:kern w:val="0"/>
          <w:sz w:val="32"/>
          <w:szCs w:val="32"/>
          <w:shd w:val="clear" w:color="auto" w:fill="FFFFFF"/>
          <w:lang w:val="en-US" w:eastAsia="zh-CN" w:bidi="ar"/>
        </w:rPr>
        <w:t>4005吨、成品粮大米300吨、菜籽油30吨</w:t>
      </w:r>
      <w:r>
        <w:rPr>
          <w:rFonts w:hint="eastAsia" w:ascii="仿宋_GB2312" w:hAnsi="仿宋_GB2312" w:eastAsia="仿宋_GB2312" w:cs="仿宋_GB2312"/>
          <w:sz w:val="32"/>
          <w:szCs w:val="32"/>
        </w:rPr>
        <w:t>，粮食储备规模落实到位，品质良好。同时，切实抓好储备粮轮换工作，确保粮油储备数量应急供应保障和应对市场日常粮油应急之需，有力保证了县域粮食安全和粮食价格的基本稳定。粮食低温储备创建仓储规范化管理库点，确保县级储备稻谷的储备安全，延长和保障粮食质量。抓好粮食市场监管执法工作，对全县粮食流通市场进行日常检查，打击非法销售发霉、变质、农药残留超标，规范市场秩序，确保全县粮油食品安全，从而有效地净化了粮食流通环境。</w:t>
      </w:r>
    </w:p>
    <w:p w14:paraId="23E033B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本单位严格按照县委县政府以及上级机关安排，保质保量履行工作职责，圆满完成 </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年各项工作任务，在工作中密切联系群众、服务群众，加强机关自身建设和党风廉政建设。</w:t>
      </w:r>
    </w:p>
    <w:p w14:paraId="565233C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(二)特定目标类项目绩效分析。</w:t>
      </w:r>
    </w:p>
    <w:p w14:paraId="51BAA95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县粮食和物资储备中心</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 xml:space="preserve"> 年项目按要求严格预算执行管理，项目支出1,570.41万元，占</w:t>
      </w:r>
      <w:r>
        <w:rPr>
          <w:rFonts w:hint="eastAsia" w:ascii="仿宋_GB2312" w:hAnsi="仿宋_GB2312" w:eastAsia="仿宋_GB2312" w:cs="仿宋_GB2312"/>
          <w:sz w:val="32"/>
          <w:szCs w:val="32"/>
          <w:lang w:val="en-US" w:eastAsia="zh-CN"/>
        </w:rPr>
        <w:t>总支出87.26</w:t>
      </w:r>
      <w:r>
        <w:rPr>
          <w:rFonts w:hint="eastAsia" w:ascii="仿宋_GB2312" w:hAnsi="仿宋_GB2312" w:eastAsia="仿宋_GB2312" w:cs="仿宋_GB2312"/>
          <w:sz w:val="32"/>
          <w:szCs w:val="32"/>
        </w:rPr>
        <w:t>%，主要用于“马边彝族自治县粮食仓储基础设施及应急综合保障中心建设项目”</w:t>
      </w:r>
      <w:r>
        <w:rPr>
          <w:rFonts w:hint="eastAsia" w:ascii="仿宋_GB2312" w:hAnsi="仿宋_GB2312" w:eastAsia="仿宋_GB2312" w:cs="仿宋_GB2312"/>
          <w:sz w:val="32"/>
          <w:szCs w:val="32"/>
          <w:lang w:val="en-US" w:eastAsia="zh-CN"/>
        </w:rPr>
        <w:t>1461.98</w:t>
      </w:r>
      <w:r>
        <w:rPr>
          <w:rFonts w:hint="eastAsia" w:ascii="仿宋_GB2312" w:hAnsi="仿宋_GB2312" w:eastAsia="仿宋_GB2312" w:cs="仿宋_GB2312"/>
          <w:sz w:val="32"/>
          <w:szCs w:val="32"/>
        </w:rPr>
        <w:t>万元，“县级储备稻谷轮换差价及损耗资金”</w:t>
      </w:r>
      <w:r>
        <w:rPr>
          <w:rFonts w:hint="eastAsia" w:ascii="仿宋_GB2312" w:hAnsi="仿宋_GB2312" w:eastAsia="仿宋_GB2312" w:cs="仿宋_GB2312"/>
          <w:sz w:val="32"/>
          <w:szCs w:val="32"/>
          <w:lang w:val="en-US" w:eastAsia="zh-CN"/>
        </w:rPr>
        <w:t>108.43</w:t>
      </w:r>
      <w:r>
        <w:rPr>
          <w:rFonts w:hint="eastAsia" w:ascii="仿宋_GB2312" w:hAnsi="仿宋_GB2312" w:eastAsia="仿宋_GB2312" w:cs="仿宋_GB2312"/>
          <w:sz w:val="32"/>
          <w:szCs w:val="32"/>
        </w:rPr>
        <w:t>万元。项目绩效主要是按质按量完成政策性粮油储备轮换，安全储存管理，及时保障全县应急救灾工作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投资修建粮食仓储基础设施及应急综合保障中心，</w:t>
      </w:r>
      <w:r>
        <w:rPr>
          <w:rFonts w:hint="eastAsia" w:ascii="仿宋" w:hAnsi="仿宋" w:eastAsia="仿宋" w:cs="仿宋"/>
          <w:strike w:val="0"/>
          <w:dstrike w:val="0"/>
          <w:color w:val="auto"/>
          <w:kern w:val="28"/>
          <w:sz w:val="32"/>
          <w:szCs w:val="32"/>
          <w:highlight w:val="none"/>
          <w:lang w:val="en-US" w:eastAsia="zh-CN"/>
        </w:rPr>
        <w:t>项目总建筑面积约14300m2，主要包括低温粮仓3000m2;应急保障仓储用房6300m2；粮食加工用房2000m2；粮食交易、质量检验中心1500m2；物流配送中心1500m2。低温运输车辆、加工及检验设备设施；建设园区道路、停车场、粮食晒场等配套基础设施</w:t>
      </w:r>
      <w:r>
        <w:rPr>
          <w:rFonts w:hint="eastAsia" w:ascii="仿宋_GB2312" w:hAnsi="仿宋_GB2312" w:eastAsia="仿宋_GB2312" w:cs="仿宋_GB2312"/>
          <w:sz w:val="32"/>
          <w:szCs w:val="32"/>
        </w:rPr>
        <w:t>。</w:t>
      </w:r>
    </w:p>
    <w:p w14:paraId="593F034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rPr>
        <w:t>三)结果应用情况。</w:t>
      </w:r>
    </w:p>
    <w:p w14:paraId="119E49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进一步完善粮食工作行政首长负责制，加强制度建设，强化监管，维护粮食流通秩序。协助开展粮食行政执法检查4次，确保县域粮食市场规范有序。组织以 “查粮情、除隐患、保安全”为主要内容的安全大检查，对县储备稻谷集中的仓库，按有关规定逐仓逐库对照检查，确保了存粮质量安全。推进粮库智能化升级，采用环保准低温储粮技术，延缓粮食品质劣变，确保粮温正常，粮情稳定，粮食“四无”达到100%,有效提升了全县粮食现代化管理水平。今年为确保粮食市场稳定，我县</w:t>
      </w:r>
      <w:r>
        <w:rPr>
          <w:rFonts w:hint="eastAsia" w:ascii="仿宋" w:hAnsi="仿宋" w:eastAsia="仿宋" w:cs="仿宋"/>
          <w:sz w:val="32"/>
          <w:szCs w:val="32"/>
        </w:rPr>
        <w:t>目前储备规模达</w:t>
      </w:r>
      <w:r>
        <w:rPr>
          <w:rFonts w:hint="eastAsia" w:ascii="仿宋" w:hAnsi="仿宋" w:eastAsia="仿宋" w:cs="仿宋"/>
          <w:sz w:val="32"/>
          <w:szCs w:val="32"/>
          <w:lang w:val="en-US" w:eastAsia="zh-CN"/>
        </w:rPr>
        <w:t>4335</w:t>
      </w:r>
      <w:r>
        <w:rPr>
          <w:rFonts w:hint="eastAsia" w:ascii="仿宋" w:hAnsi="仿宋" w:eastAsia="仿宋" w:cs="仿宋"/>
          <w:sz w:val="32"/>
          <w:szCs w:val="32"/>
        </w:rPr>
        <w:t>吨，其中稻谷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原粮</w:t>
      </w:r>
      <w:r>
        <w:rPr>
          <w:rFonts w:hint="eastAsia" w:ascii="仿宋" w:hAnsi="仿宋" w:eastAsia="仿宋" w:cs="仿宋"/>
          <w:sz w:val="32"/>
          <w:szCs w:val="32"/>
          <w:lang w:eastAsia="zh-CN"/>
        </w:rPr>
        <w:t>）</w:t>
      </w:r>
      <w:r>
        <w:rPr>
          <w:rFonts w:hint="eastAsia" w:ascii="仿宋" w:hAnsi="仿宋" w:eastAsia="仿宋" w:cs="仿宋"/>
          <w:kern w:val="0"/>
          <w:sz w:val="32"/>
          <w:szCs w:val="32"/>
          <w:shd w:val="clear" w:color="auto" w:fill="FFFFFF"/>
          <w:lang w:val="en-US" w:eastAsia="zh-CN" w:bidi="ar"/>
        </w:rPr>
        <w:t>4005吨、成品粮大米300吨、菜籽油30吨。</w:t>
      </w:r>
    </w:p>
    <w:p w14:paraId="78131BFC">
      <w:pPr>
        <w:keepNext w:val="0"/>
        <w:keepLines w:val="0"/>
        <w:pageBreakBefore w:val="0"/>
        <w:widowControl w:val="0"/>
        <w:numPr>
          <w:ilvl w:val="0"/>
          <w:numId w:val="4"/>
        </w:numPr>
        <w:kinsoku/>
        <w:wordWrap/>
        <w:overflowPunct/>
        <w:topLinePunct w:val="0"/>
        <w:autoSpaceDE/>
        <w:autoSpaceDN/>
        <w:bidi w:val="0"/>
        <w:adjustRightInd/>
        <w:snapToGrid/>
        <w:spacing w:line="64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评价结论及建议</w:t>
      </w:r>
    </w:p>
    <w:p w14:paraId="4C60B47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textAlignment w:val="auto"/>
        <w:rPr>
          <w:rFonts w:hint="eastAsia" w:ascii="楷体" w:hAnsi="楷体" w:eastAsia="楷体" w:cs="楷体"/>
          <w:sz w:val="32"/>
          <w:szCs w:val="32"/>
        </w:rPr>
      </w:pPr>
      <w:r>
        <w:rPr>
          <w:rFonts w:hint="eastAsia" w:ascii="楷体" w:hAnsi="楷体" w:eastAsia="楷体" w:cs="楷体"/>
          <w:sz w:val="32"/>
          <w:szCs w:val="32"/>
        </w:rPr>
        <w:t>(一)评价结论</w:t>
      </w:r>
    </w:p>
    <w:p w14:paraId="0BAC231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县粮食和物资储备中心成立绩效评价工作组，对中心</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年度部门整体支出进行了绩效自评，根据</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年县级部门整体绩效自评体系，通过查阅收资料、审查账簿凭证、现场查看项目具体实施情况，自评得分 98分。</w:t>
      </w:r>
    </w:p>
    <w:p w14:paraId="3DFBBA8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(二)存在问题</w:t>
      </w:r>
    </w:p>
    <w:p w14:paraId="3948B2C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预算执行力度还要进一步加强。资金使用计划有待细化，固定资产管理水平有待提高，财务档案资料进一步完善。</w:t>
      </w:r>
    </w:p>
    <w:p w14:paraId="2112731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(三)改进建议。</w:t>
      </w:r>
    </w:p>
    <w:p w14:paraId="756AD8D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合理编制预算，严格执行预算。按政策规定及本部门的发展划，结合上一年度预算执行情况和本年度预算收支变化因素，更加科学、合理地编制本年度部门预算。进一步完善管理制度，加强固定资产管理。</w:t>
      </w:r>
    </w:p>
    <w:p w14:paraId="5E1B9C09">
      <w:pPr>
        <w:keepNext w:val="0"/>
        <w:keepLines w:val="0"/>
        <w:pageBreakBefore w:val="0"/>
        <w:widowControl w:val="0"/>
        <w:numPr>
          <w:ilvl w:val="0"/>
          <w:numId w:val="5"/>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财务管理，规范会计核算。加强对财务票据的审核，拒绝欠规范、不合理票据，严格按现行财经政策支付，做到合法、合规、合理、透明。规范会计核算，确保项目资金专款专用专账核算，提高资金使用效率。</w:t>
      </w:r>
    </w:p>
    <w:p w14:paraId="5EC20CC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rPr>
      </w:pPr>
    </w:p>
    <w:p w14:paraId="7EBB0CE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rPr>
      </w:pPr>
    </w:p>
    <w:p w14:paraId="7C48FABA">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马边彝族自治县粮食和物资储备中心</w:t>
      </w:r>
    </w:p>
    <w:p w14:paraId="6107A77E">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2026年5月23日</w:t>
      </w:r>
    </w:p>
    <w:p w14:paraId="58EBBE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bookmarkStart w:id="67" w:name="_GoBack"/>
      <w:bookmarkEnd w:id="67"/>
    </w:p>
    <w:p w14:paraId="5A8941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p>
    <w:p w14:paraId="10B331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p>
    <w:p w14:paraId="3D2BC2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zh-CN"/>
        </w:rPr>
      </w:pPr>
    </w:p>
    <w:p w14:paraId="3B36852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28"/>
          <w:szCs w:val="28"/>
          <w:lang w:val="zh-CN"/>
        </w:rPr>
      </w:pPr>
    </w:p>
    <w:p w14:paraId="65918CB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28"/>
          <w:szCs w:val="28"/>
          <w:lang w:val="zh-CN"/>
        </w:rPr>
      </w:pPr>
    </w:p>
    <w:p w14:paraId="30C63FBF">
      <w:pPr>
        <w:pStyle w:val="7"/>
        <w:rPr>
          <w:rFonts w:hint="eastAsia" w:ascii="黑体" w:hAnsi="黑体" w:eastAsia="黑体" w:cs="黑体"/>
          <w:sz w:val="28"/>
          <w:szCs w:val="28"/>
          <w:lang w:val="zh-CN"/>
        </w:rPr>
      </w:pPr>
    </w:p>
    <w:p w14:paraId="44D5520C">
      <w:pPr>
        <w:pStyle w:val="7"/>
        <w:rPr>
          <w:rFonts w:hint="eastAsia" w:ascii="黑体" w:hAnsi="黑体" w:eastAsia="黑体" w:cs="黑体"/>
          <w:sz w:val="28"/>
          <w:szCs w:val="28"/>
          <w:lang w:val="zh-CN"/>
        </w:rPr>
      </w:pPr>
    </w:p>
    <w:p w14:paraId="1ECF6FDF">
      <w:pPr>
        <w:rPr>
          <w:rFonts w:hint="eastAsia" w:ascii="黑体" w:hAnsi="黑体" w:eastAsia="黑体" w:cs="黑体"/>
          <w:sz w:val="28"/>
          <w:szCs w:val="28"/>
          <w:lang w:val="zh-CN"/>
        </w:rPr>
      </w:pPr>
      <w:r>
        <w:rPr>
          <w:rFonts w:hint="eastAsia" w:ascii="黑体" w:hAnsi="黑体" w:eastAsia="黑体" w:cs="黑体"/>
          <w:sz w:val="28"/>
          <w:szCs w:val="28"/>
          <w:lang w:val="zh-CN"/>
        </w:rPr>
        <w:br w:type="page"/>
      </w:r>
    </w:p>
    <w:p w14:paraId="2DA23C04">
      <w:pPr>
        <w:pStyle w:val="7"/>
        <w:rPr>
          <w:rFonts w:hint="eastAsia" w:ascii="黑体" w:hAnsi="黑体" w:eastAsia="黑体" w:cs="黑体"/>
          <w:sz w:val="28"/>
          <w:szCs w:val="28"/>
          <w:lang w:val="zh-CN"/>
        </w:rPr>
      </w:pPr>
    </w:p>
    <w:tbl>
      <w:tblPr>
        <w:tblStyle w:val="17"/>
        <w:tblW w:w="9215" w:type="dxa"/>
        <w:tblInd w:w="-144" w:type="dxa"/>
        <w:shd w:val="clear" w:color="auto" w:fill="auto"/>
        <w:tblLayout w:type="fixed"/>
        <w:tblCellMar>
          <w:top w:w="0" w:type="dxa"/>
          <w:left w:w="0" w:type="dxa"/>
          <w:bottom w:w="0" w:type="dxa"/>
          <w:right w:w="0" w:type="dxa"/>
        </w:tblCellMar>
      </w:tblPr>
      <w:tblGrid>
        <w:gridCol w:w="1290"/>
        <w:gridCol w:w="1520"/>
        <w:gridCol w:w="2020"/>
        <w:gridCol w:w="1245"/>
        <w:gridCol w:w="1065"/>
        <w:gridCol w:w="1015"/>
        <w:gridCol w:w="403"/>
        <w:gridCol w:w="657"/>
      </w:tblGrid>
      <w:tr w14:paraId="3273DBC6">
        <w:tblPrEx>
          <w:shd w:val="clear" w:color="auto" w:fill="auto"/>
          <w:tblCellMar>
            <w:top w:w="0" w:type="dxa"/>
            <w:left w:w="0" w:type="dxa"/>
            <w:bottom w:w="0" w:type="dxa"/>
            <w:right w:w="0" w:type="dxa"/>
          </w:tblCellMar>
        </w:tblPrEx>
        <w:trPr>
          <w:trHeight w:val="1149" w:hRule="atLeast"/>
        </w:trPr>
        <w:tc>
          <w:tcPr>
            <w:tcW w:w="9215" w:type="dxa"/>
            <w:gridSpan w:val="8"/>
            <w:tcBorders>
              <w:top w:val="nil"/>
              <w:left w:val="nil"/>
              <w:bottom w:val="nil"/>
              <w:right w:val="nil"/>
            </w:tcBorders>
            <w:shd w:val="clear" w:color="auto" w:fill="auto"/>
            <w:noWrap/>
            <w:tcMar>
              <w:top w:w="15" w:type="dxa"/>
              <w:left w:w="15" w:type="dxa"/>
              <w:right w:w="15" w:type="dxa"/>
            </w:tcMar>
            <w:vAlign w:val="center"/>
          </w:tcPr>
          <w:p w14:paraId="71FE3A15">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仿宋_GB2312" w:hAnsi="仿宋_GB2312" w:eastAsia="仿宋_GB2312" w:cs="仿宋_GB2312"/>
                <w:b/>
                <w:bCs/>
                <w:sz w:val="44"/>
                <w:szCs w:val="44"/>
                <w:lang w:val="en-US" w:eastAsia="zh-CN"/>
              </w:rPr>
              <w:t>县级项目支出绩效自评表</w:t>
            </w:r>
          </w:p>
        </w:tc>
      </w:tr>
      <w:tr w14:paraId="1AA0CCBC">
        <w:tblPrEx>
          <w:shd w:val="clear" w:color="auto" w:fill="auto"/>
          <w:tblCellMar>
            <w:top w:w="0" w:type="dxa"/>
            <w:left w:w="0" w:type="dxa"/>
            <w:bottom w:w="0" w:type="dxa"/>
            <w:right w:w="0" w:type="dxa"/>
          </w:tblCellMar>
        </w:tblPrEx>
        <w:trPr>
          <w:trHeight w:val="581" w:hRule="atLeast"/>
        </w:trPr>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F1D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54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D4602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ascii="宋体" w:hAnsi="宋体" w:eastAsia="宋体" w:cs="宋体"/>
                <w:sz w:val="24"/>
                <w:szCs w:val="24"/>
              </w:rPr>
              <w:t>马边彝族自治县粮食仓储基础设施及应急综合保障中心建设项目</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03699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w:t>
            </w:r>
          </w:p>
        </w:tc>
        <w:tc>
          <w:tcPr>
            <w:tcW w:w="314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2A421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p>
        </w:tc>
      </w:tr>
      <w:tr w14:paraId="048D503F">
        <w:tblPrEx>
          <w:shd w:val="clear" w:color="auto" w:fill="auto"/>
          <w:tblCellMar>
            <w:top w:w="0" w:type="dxa"/>
            <w:left w:w="0" w:type="dxa"/>
            <w:bottom w:w="0" w:type="dxa"/>
            <w:right w:w="0"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BC9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354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60F7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县粮食和物资储备中心</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3987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314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E4A3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县粮食和物资储备中心</w:t>
            </w:r>
          </w:p>
        </w:tc>
      </w:tr>
      <w:tr w14:paraId="3AB84E75">
        <w:tblPrEx>
          <w:shd w:val="clear" w:color="auto" w:fill="auto"/>
          <w:tblCellMar>
            <w:top w:w="0" w:type="dxa"/>
            <w:left w:w="0" w:type="dxa"/>
            <w:bottom w:w="0" w:type="dxa"/>
            <w:right w:w="0" w:type="dxa"/>
          </w:tblCellMar>
        </w:tblPrEx>
        <w:trPr>
          <w:trHeight w:val="390" w:hRule="atLeast"/>
        </w:trPr>
        <w:tc>
          <w:tcPr>
            <w:tcW w:w="921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4C52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项目资金（万元）</w:t>
            </w:r>
          </w:p>
        </w:tc>
      </w:tr>
      <w:tr w14:paraId="5EE28411">
        <w:tblPrEx>
          <w:shd w:val="clear" w:color="auto" w:fill="auto"/>
          <w:tblCellMar>
            <w:top w:w="0" w:type="dxa"/>
            <w:left w:w="0" w:type="dxa"/>
            <w:bottom w:w="0" w:type="dxa"/>
            <w:right w:w="0" w:type="dxa"/>
          </w:tblCellMar>
        </w:tblPrEx>
        <w:trPr>
          <w:trHeight w:val="375" w:hRule="atLeast"/>
        </w:trPr>
        <w:tc>
          <w:tcPr>
            <w:tcW w:w="2810" w:type="dxa"/>
            <w:gridSpan w:val="2"/>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9CC4D77">
            <w:pPr>
              <w:jc w:val="center"/>
              <w:rPr>
                <w:rFonts w:hint="eastAsia" w:ascii="宋体" w:hAnsi="宋体" w:eastAsia="宋体" w:cs="宋体"/>
                <w:i w:val="0"/>
                <w:color w:val="000000"/>
                <w:sz w:val="20"/>
                <w:szCs w:val="20"/>
                <w:u w:val="none"/>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F20F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DAB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w:t>
            </w:r>
          </w:p>
        </w:tc>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CEE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r>
      <w:tr w14:paraId="62692A46">
        <w:tblPrEx>
          <w:shd w:val="clear" w:color="auto" w:fill="auto"/>
          <w:tblCellMar>
            <w:top w:w="0" w:type="dxa"/>
            <w:left w:w="0" w:type="dxa"/>
            <w:bottom w:w="0" w:type="dxa"/>
            <w:right w:w="0" w:type="dxa"/>
          </w:tblCellMar>
        </w:tblPrEx>
        <w:trPr>
          <w:trHeight w:val="390" w:hRule="atLeast"/>
        </w:trPr>
        <w:tc>
          <w:tcPr>
            <w:tcW w:w="28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7F7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2B2E01">
            <w:pPr>
              <w:keepNext w:val="0"/>
              <w:keepLines w:val="0"/>
              <w:widowControl/>
              <w:suppressLineNumbers w:val="0"/>
              <w:ind w:firstLine="570" w:firstLineChars="300"/>
              <w:jc w:val="left"/>
              <w:rPr>
                <w:rFonts w:hint="default" w:ascii="宋体" w:hAnsi="宋体" w:eastAsia="宋体" w:cs="宋体"/>
                <w:i w:val="0"/>
                <w:color w:val="000000"/>
                <w:sz w:val="20"/>
                <w:szCs w:val="20"/>
                <w:u w:val="none"/>
                <w:lang w:val="en-US" w:eastAsia="zh-CN"/>
              </w:rPr>
            </w:pPr>
            <w:r>
              <w:rPr>
                <w:rFonts w:hint="eastAsia" w:ascii="宋体" w:hAnsi="宋体" w:eastAsia="宋体" w:cs="宋体"/>
                <w:i w:val="0"/>
                <w:iCs w:val="0"/>
                <w:caps w:val="0"/>
                <w:color w:val="000000"/>
                <w:spacing w:val="0"/>
                <w:kern w:val="0"/>
                <w:sz w:val="19"/>
                <w:szCs w:val="19"/>
                <w:shd w:val="clear" w:fill="FFFFFF"/>
                <w:lang w:val="en-US" w:eastAsia="zh-CN" w:bidi="ar"/>
              </w:rPr>
              <w:t>1,799.62</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EB3C3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aps w:val="0"/>
                <w:color w:val="000000"/>
                <w:spacing w:val="0"/>
                <w:kern w:val="0"/>
                <w:sz w:val="19"/>
                <w:szCs w:val="19"/>
                <w:shd w:val="clear" w:fill="FFFFFF"/>
                <w:lang w:val="en-US" w:eastAsia="zh-CN" w:bidi="ar"/>
              </w:rPr>
              <w:t>1,799.62</w:t>
            </w:r>
          </w:p>
        </w:tc>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2EFF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r>
      <w:tr w14:paraId="62139CDA">
        <w:tblPrEx>
          <w:shd w:val="clear" w:color="auto" w:fill="auto"/>
          <w:tblCellMar>
            <w:top w:w="0" w:type="dxa"/>
            <w:left w:w="0" w:type="dxa"/>
            <w:bottom w:w="0" w:type="dxa"/>
            <w:right w:w="0" w:type="dxa"/>
          </w:tblCellMar>
        </w:tblPrEx>
        <w:trPr>
          <w:trHeight w:val="390" w:hRule="atLeast"/>
        </w:trPr>
        <w:tc>
          <w:tcPr>
            <w:tcW w:w="28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4269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其中：财政拨款</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0EF7B">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aps w:val="0"/>
                <w:color w:val="000000"/>
                <w:spacing w:val="0"/>
                <w:kern w:val="0"/>
                <w:sz w:val="19"/>
                <w:szCs w:val="19"/>
                <w:shd w:val="clear" w:fill="FFFFFF"/>
                <w:lang w:val="en-US" w:eastAsia="zh-CN" w:bidi="ar"/>
              </w:rPr>
              <w:t>1,799.62</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D7085">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aps w:val="0"/>
                <w:color w:val="000000"/>
                <w:spacing w:val="0"/>
                <w:kern w:val="0"/>
                <w:sz w:val="19"/>
                <w:szCs w:val="19"/>
                <w:shd w:val="clear" w:fill="FFFFFF"/>
                <w:lang w:val="en-US" w:eastAsia="zh-CN" w:bidi="ar"/>
              </w:rPr>
              <w:t>1,799.62</w:t>
            </w:r>
          </w:p>
        </w:tc>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BC4C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r>
      <w:tr w14:paraId="23D7D919">
        <w:tblPrEx>
          <w:shd w:val="clear" w:color="auto" w:fill="auto"/>
          <w:tblCellMar>
            <w:top w:w="0" w:type="dxa"/>
            <w:left w:w="0" w:type="dxa"/>
            <w:bottom w:w="0" w:type="dxa"/>
            <w:right w:w="0" w:type="dxa"/>
          </w:tblCellMar>
        </w:tblPrEx>
        <w:trPr>
          <w:trHeight w:val="375" w:hRule="atLeast"/>
        </w:trPr>
        <w:tc>
          <w:tcPr>
            <w:tcW w:w="28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6CB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其他资金</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98E29">
            <w:pPr>
              <w:jc w:val="center"/>
              <w:rPr>
                <w:rFonts w:hint="eastAsia" w:ascii="宋体" w:hAnsi="宋体" w:eastAsia="宋体" w:cs="宋体"/>
                <w:i w:val="0"/>
                <w:color w:val="000000"/>
                <w:sz w:val="20"/>
                <w:szCs w:val="20"/>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4074D">
            <w:pPr>
              <w:jc w:val="center"/>
              <w:rPr>
                <w:rFonts w:hint="eastAsia" w:ascii="宋体" w:hAnsi="宋体" w:eastAsia="宋体" w:cs="宋体"/>
                <w:i w:val="0"/>
                <w:color w:val="000000"/>
                <w:sz w:val="20"/>
                <w:szCs w:val="20"/>
                <w:u w:val="none"/>
              </w:rPr>
            </w:pPr>
          </w:p>
        </w:tc>
        <w:tc>
          <w:tcPr>
            <w:tcW w:w="207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9132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#DIV/0!</w:t>
            </w:r>
          </w:p>
        </w:tc>
      </w:tr>
      <w:tr w14:paraId="3A611EAB">
        <w:tblPrEx>
          <w:shd w:val="clear" w:color="auto" w:fill="auto"/>
          <w:tblCellMar>
            <w:top w:w="0" w:type="dxa"/>
            <w:left w:w="0" w:type="dxa"/>
            <w:bottom w:w="0" w:type="dxa"/>
            <w:right w:w="0" w:type="dxa"/>
          </w:tblCellMar>
        </w:tblPrEx>
        <w:trPr>
          <w:trHeight w:val="485" w:hRule="atLeast"/>
        </w:trPr>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2B34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478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EFA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预期目标</w:t>
            </w:r>
          </w:p>
        </w:tc>
        <w:tc>
          <w:tcPr>
            <w:tcW w:w="314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D663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实际完成情况</w:t>
            </w:r>
          </w:p>
        </w:tc>
      </w:tr>
      <w:tr w14:paraId="52815F93">
        <w:tblPrEx>
          <w:shd w:val="clear" w:color="auto" w:fill="auto"/>
        </w:tblPrEx>
        <w:trPr>
          <w:trHeight w:val="1753"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DAD5D">
            <w:pPr>
              <w:jc w:val="left"/>
              <w:rPr>
                <w:rFonts w:hint="eastAsia" w:ascii="宋体" w:hAnsi="宋体" w:eastAsia="宋体" w:cs="宋体"/>
                <w:i w:val="0"/>
                <w:color w:val="000000"/>
                <w:sz w:val="20"/>
                <w:szCs w:val="20"/>
                <w:u w:val="none"/>
              </w:rPr>
            </w:pPr>
          </w:p>
        </w:tc>
        <w:tc>
          <w:tcPr>
            <w:tcW w:w="4785"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5C9F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马边彝族自治县粮食仓储基础设施总面积14300㎡，包括低温粮仓3000㎡、应急保障仓储用房6300㎡、粮食加工用房2000㎡、粮食交易、质量检验中心1500㎡、物流配送中心1500㎡。低温运输车辆、加工及检验设备设施；建设园区道路、停车场、粮食晒场等配套基础设施；总投资估算14000.00万元，其中项目工程费用9709.31万元，工程建设其他费用2823.54万元，基本预备费897.16万元，铺底流动资金160.00万元，建设期利息400.00万元，债券发行费用10.00万元。资金来源为债券资金和企业自筹，其中拟使用债券10000.00万元，申请专项补助资金及企业自筹4000.00万元。</w:t>
            </w:r>
          </w:p>
        </w:tc>
        <w:tc>
          <w:tcPr>
            <w:tcW w:w="3140" w:type="dxa"/>
            <w:gridSpan w:val="4"/>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817659">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马边彝族自治县粮食仓储基础设施总面积14300㎡，包括低温粮仓3000㎡、应急保障仓储用房6300㎡、粮食加工用房2000㎡、粮食交易、质量检验中心1500㎡、物流配送中心1500㎡。低温运输车辆、加工及检验设备设施；建设园区道路、停车场、粮食晒场等配套基础设施；总投资估算14000.00万元，</w:t>
            </w:r>
            <w:r>
              <w:rPr>
                <w:rFonts w:hint="eastAsia" w:ascii="宋体" w:hAnsi="宋体" w:cs="宋体"/>
                <w:i w:val="0"/>
                <w:color w:val="000000"/>
                <w:kern w:val="0"/>
                <w:sz w:val="20"/>
                <w:szCs w:val="20"/>
                <w:u w:val="none"/>
                <w:lang w:val="en-US" w:eastAsia="zh-CN" w:bidi="ar"/>
              </w:rPr>
              <w:t>按计划推进完成。</w:t>
            </w:r>
          </w:p>
        </w:tc>
      </w:tr>
      <w:tr w14:paraId="0DBC3E6C">
        <w:tblPrEx>
          <w:shd w:val="clear" w:color="auto" w:fill="auto"/>
          <w:tblCellMar>
            <w:top w:w="0" w:type="dxa"/>
            <w:left w:w="0" w:type="dxa"/>
            <w:bottom w:w="0" w:type="dxa"/>
            <w:right w:w="0" w:type="dxa"/>
          </w:tblCellMar>
        </w:tblPrEx>
        <w:trPr>
          <w:trHeight w:val="717" w:hRule="atLeast"/>
        </w:trPr>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93BC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566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C94D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65B2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年度指标值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FA58A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实际完成值</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E11F3">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分值/权重</w:t>
            </w:r>
          </w:p>
          <w:p w14:paraId="414C37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（百分制）</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E4178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A03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扣分原因分析</w:t>
            </w:r>
          </w:p>
        </w:tc>
      </w:tr>
      <w:tr w14:paraId="41AB8286">
        <w:tblPrEx>
          <w:shd w:val="clear" w:color="auto" w:fill="auto"/>
          <w:tblCellMar>
            <w:top w:w="0" w:type="dxa"/>
            <w:left w:w="0" w:type="dxa"/>
            <w:bottom w:w="0" w:type="dxa"/>
            <w:right w:w="0" w:type="dxa"/>
          </w:tblCellMar>
        </w:tblPrEx>
        <w:trPr>
          <w:trHeight w:val="430" w:hRule="atLeast"/>
        </w:trPr>
        <w:tc>
          <w:tcPr>
            <w:tcW w:w="71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1A722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    分</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E19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E1A8B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39134">
            <w:pPr>
              <w:jc w:val="center"/>
              <w:rPr>
                <w:rFonts w:hint="eastAsia" w:ascii="宋体" w:hAnsi="宋体" w:eastAsia="宋体" w:cs="宋体"/>
                <w:i w:val="0"/>
                <w:color w:val="000000"/>
                <w:sz w:val="18"/>
                <w:szCs w:val="18"/>
                <w:u w:val="none"/>
              </w:rPr>
            </w:pPr>
          </w:p>
        </w:tc>
      </w:tr>
      <w:tr w14:paraId="57837BFF">
        <w:tblPrEx>
          <w:shd w:val="clear" w:color="auto" w:fill="auto"/>
          <w:tblCellMar>
            <w:top w:w="0" w:type="dxa"/>
            <w:left w:w="0" w:type="dxa"/>
            <w:bottom w:w="0" w:type="dxa"/>
            <w:right w:w="0" w:type="dxa"/>
          </w:tblCellMar>
        </w:tblPrEx>
        <w:trPr>
          <w:trHeight w:val="430" w:hRule="atLeast"/>
        </w:trPr>
        <w:tc>
          <w:tcPr>
            <w:tcW w:w="4830"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C58765D">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预算执行率（10分）</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4530489">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5900C01">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7CE4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69214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81FC8">
            <w:pPr>
              <w:rPr>
                <w:rFonts w:hint="eastAsia" w:ascii="宋体" w:hAnsi="宋体" w:eastAsia="宋体" w:cs="宋体"/>
                <w:i w:val="0"/>
                <w:color w:val="000000"/>
                <w:sz w:val="18"/>
                <w:szCs w:val="18"/>
                <w:u w:val="none"/>
              </w:rPr>
            </w:pPr>
          </w:p>
        </w:tc>
      </w:tr>
      <w:tr w14:paraId="256E4905">
        <w:tblPrEx>
          <w:shd w:val="clear" w:color="auto" w:fill="auto"/>
          <w:tblCellMar>
            <w:top w:w="0" w:type="dxa"/>
            <w:left w:w="0" w:type="dxa"/>
            <w:bottom w:w="0" w:type="dxa"/>
            <w:right w:w="0" w:type="dxa"/>
          </w:tblCellMar>
        </w:tblPrEx>
        <w:trPr>
          <w:trHeight w:val="651" w:hRule="atLeast"/>
        </w:trPr>
        <w:tc>
          <w:tcPr>
            <w:tcW w:w="129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1785E84">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5C187D8">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02CE9A">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ascii="宋体" w:hAnsi="宋体" w:eastAsia="宋体" w:cs="宋体"/>
                <w:sz w:val="24"/>
                <w:szCs w:val="24"/>
              </w:rPr>
              <w:t>保证按照文件要求建设数量一致</w:t>
            </w:r>
          </w:p>
        </w:tc>
        <w:tc>
          <w:tcPr>
            <w:tcW w:w="124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26DCD1">
            <w:pPr>
              <w:keepNext w:val="0"/>
              <w:keepLines w:val="0"/>
              <w:widowControl/>
              <w:suppressLineNumbers w:val="0"/>
              <w:jc w:val="center"/>
              <w:textAlignment w:val="center"/>
              <w:rPr>
                <w:rFonts w:hint="default" w:ascii="宋体" w:hAnsi="宋体" w:eastAsia="宋体" w:cs="宋体"/>
                <w:i w:val="0"/>
                <w:color w:val="333333"/>
                <w:sz w:val="18"/>
                <w:szCs w:val="18"/>
                <w:u w:val="none"/>
                <w:lang w:val="en-US"/>
              </w:rPr>
            </w:pPr>
            <w:r>
              <w:rPr>
                <w:rFonts w:hint="eastAsia" w:ascii="宋体" w:hAnsi="宋体" w:eastAsia="宋体" w:cs="宋体"/>
                <w:i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D36810">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DFEE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9C6361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BEE97">
            <w:pPr>
              <w:rPr>
                <w:rFonts w:hint="eastAsia" w:ascii="宋体" w:hAnsi="宋体" w:eastAsia="宋体" w:cs="宋体"/>
                <w:i w:val="0"/>
                <w:color w:val="000000"/>
                <w:sz w:val="18"/>
                <w:szCs w:val="18"/>
                <w:u w:val="none"/>
              </w:rPr>
            </w:pPr>
          </w:p>
        </w:tc>
      </w:tr>
      <w:tr w14:paraId="485BBE1E">
        <w:tblPrEx>
          <w:shd w:val="clear" w:color="auto" w:fill="auto"/>
          <w:tblCellMar>
            <w:top w:w="0" w:type="dxa"/>
            <w:left w:w="0" w:type="dxa"/>
            <w:bottom w:w="0" w:type="dxa"/>
            <w:right w:w="0" w:type="dxa"/>
          </w:tblCellMar>
        </w:tblPrEx>
        <w:trPr>
          <w:trHeight w:val="651"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E66E731">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5A255E46">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8D8C01">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县级储备成品大米、成品油检验合格率</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A596C68">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652E37D">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5D9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894DE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2C49A">
            <w:pPr>
              <w:rPr>
                <w:rFonts w:hint="eastAsia" w:ascii="宋体" w:hAnsi="宋体" w:eastAsia="宋体" w:cs="宋体"/>
                <w:i w:val="0"/>
                <w:color w:val="000000"/>
                <w:sz w:val="18"/>
                <w:szCs w:val="18"/>
                <w:u w:val="none"/>
              </w:rPr>
            </w:pPr>
          </w:p>
        </w:tc>
      </w:tr>
      <w:tr w14:paraId="4E5F61D8">
        <w:tblPrEx>
          <w:shd w:val="clear" w:color="auto" w:fill="auto"/>
          <w:tblCellMar>
            <w:top w:w="0" w:type="dxa"/>
            <w:left w:w="0" w:type="dxa"/>
            <w:bottom w:w="0" w:type="dxa"/>
            <w:right w:w="0" w:type="dxa"/>
          </w:tblCellMar>
        </w:tblPrEx>
        <w:trPr>
          <w:trHeight w:val="581"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D2BD34C">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087BF740">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856B2A">
            <w:pPr>
              <w:keepNext w:val="0"/>
              <w:keepLines w:val="0"/>
              <w:widowControl/>
              <w:suppressLineNumbers w:val="0"/>
              <w:jc w:val="center"/>
              <w:textAlignment w:val="center"/>
              <w:rPr>
                <w:rFonts w:hint="default" w:ascii="宋体" w:hAnsi="宋体" w:eastAsia="宋体" w:cs="宋体"/>
                <w:i w:val="0"/>
                <w:color w:val="333333"/>
                <w:sz w:val="18"/>
                <w:szCs w:val="18"/>
                <w:u w:val="none"/>
                <w:lang w:val="en-US"/>
              </w:rPr>
            </w:pPr>
            <w:r>
              <w:rPr>
                <w:rFonts w:hint="eastAsia" w:ascii="宋体" w:hAnsi="宋体" w:eastAsia="宋体" w:cs="宋体"/>
                <w:i w:val="0"/>
                <w:color w:val="333333"/>
                <w:kern w:val="0"/>
                <w:sz w:val="18"/>
                <w:szCs w:val="18"/>
                <w:u w:val="none"/>
                <w:lang w:val="en-US" w:eastAsia="zh-CN" w:bidi="ar"/>
              </w:rPr>
              <w:t>按时完成</w:t>
            </w:r>
            <w:r>
              <w:rPr>
                <w:rFonts w:hint="eastAsia" w:ascii="宋体" w:hAnsi="宋体" w:cs="宋体"/>
                <w:i w:val="0"/>
                <w:color w:val="333333"/>
                <w:kern w:val="0"/>
                <w:sz w:val="18"/>
                <w:szCs w:val="18"/>
                <w:u w:val="none"/>
                <w:lang w:val="en-US" w:eastAsia="zh-CN" w:bidi="ar"/>
              </w:rPr>
              <w:t>2025年进度</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936F821">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cs="宋体"/>
                <w:i w:val="0"/>
                <w:color w:val="333333"/>
                <w:kern w:val="0"/>
                <w:sz w:val="18"/>
                <w:szCs w:val="18"/>
                <w:u w:val="none"/>
                <w:lang w:val="en-US" w:eastAsia="zh-CN" w:bidi="ar"/>
              </w:rPr>
              <w:t>2025</w:t>
            </w:r>
            <w:r>
              <w:rPr>
                <w:rFonts w:hint="eastAsia" w:ascii="宋体" w:hAnsi="宋体" w:eastAsia="宋体" w:cs="宋体"/>
                <w:i w:val="0"/>
                <w:color w:val="333333"/>
                <w:kern w:val="0"/>
                <w:sz w:val="18"/>
                <w:szCs w:val="18"/>
                <w:u w:val="none"/>
                <w:lang w:val="en-US" w:eastAsia="zh-CN" w:bidi="ar"/>
              </w:rPr>
              <w:t>年</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94E4D6A">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cs="宋体"/>
                <w:i w:val="0"/>
                <w:color w:val="333333"/>
                <w:kern w:val="0"/>
                <w:sz w:val="18"/>
                <w:szCs w:val="18"/>
                <w:u w:val="none"/>
                <w:lang w:val="en-US" w:eastAsia="zh-CN" w:bidi="ar"/>
              </w:rPr>
              <w:t>2025</w:t>
            </w:r>
            <w:r>
              <w:rPr>
                <w:rFonts w:hint="eastAsia" w:ascii="宋体" w:hAnsi="宋体" w:eastAsia="宋体" w:cs="宋体"/>
                <w:i w:val="0"/>
                <w:color w:val="333333"/>
                <w:kern w:val="0"/>
                <w:sz w:val="18"/>
                <w:szCs w:val="18"/>
                <w:u w:val="none"/>
                <w:lang w:val="en-US" w:eastAsia="zh-CN" w:bidi="ar"/>
              </w:rPr>
              <w:t>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128B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B4FD90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2094F">
            <w:pPr>
              <w:rPr>
                <w:rFonts w:hint="eastAsia" w:ascii="宋体" w:hAnsi="宋体" w:eastAsia="宋体" w:cs="宋体"/>
                <w:i w:val="0"/>
                <w:color w:val="000000"/>
                <w:sz w:val="18"/>
                <w:szCs w:val="18"/>
                <w:u w:val="none"/>
              </w:rPr>
            </w:pPr>
          </w:p>
        </w:tc>
      </w:tr>
      <w:tr w14:paraId="72CBC46D">
        <w:tblPrEx>
          <w:shd w:val="clear" w:color="auto" w:fill="auto"/>
          <w:tblCellMar>
            <w:top w:w="0" w:type="dxa"/>
            <w:left w:w="0" w:type="dxa"/>
            <w:bottom w:w="0" w:type="dxa"/>
            <w:right w:w="0" w:type="dxa"/>
          </w:tblCellMar>
        </w:tblPrEx>
        <w:trPr>
          <w:trHeight w:val="581"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1625A06">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7692D57">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3C8A7C">
            <w:pPr>
              <w:keepNext w:val="0"/>
              <w:keepLines w:val="0"/>
              <w:widowControl/>
              <w:suppressLineNumbers w:val="0"/>
              <w:jc w:val="center"/>
              <w:textAlignment w:val="center"/>
              <w:rPr>
                <w:rFonts w:hint="default" w:ascii="宋体" w:hAnsi="宋体" w:eastAsia="宋体" w:cs="宋体"/>
                <w:i w:val="0"/>
                <w:color w:val="333333"/>
                <w:sz w:val="18"/>
                <w:szCs w:val="18"/>
                <w:u w:val="none"/>
                <w:lang w:val="en-US"/>
              </w:rPr>
            </w:pPr>
            <w:r>
              <w:rPr>
                <w:rFonts w:hint="eastAsia" w:ascii="宋体" w:hAnsi="宋体" w:cs="宋体"/>
                <w:i w:val="0"/>
                <w:color w:val="333333"/>
                <w:kern w:val="0"/>
                <w:sz w:val="18"/>
                <w:szCs w:val="18"/>
                <w:u w:val="none"/>
                <w:lang w:val="en-US" w:eastAsia="zh-CN" w:bidi="ar"/>
              </w:rPr>
              <w:t>2025年投入资金</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A9EAC21">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cs="宋体"/>
                <w:i w:val="0"/>
                <w:color w:val="333333"/>
                <w:kern w:val="0"/>
                <w:sz w:val="18"/>
                <w:szCs w:val="18"/>
                <w:u w:val="none"/>
                <w:lang w:val="en-US" w:eastAsia="zh-CN" w:bidi="ar"/>
              </w:rPr>
              <w:t>3000</w:t>
            </w:r>
            <w:r>
              <w:rPr>
                <w:rFonts w:hint="eastAsia" w:ascii="宋体" w:hAnsi="宋体" w:eastAsia="宋体" w:cs="宋体"/>
                <w:i w:val="0"/>
                <w:color w:val="333333"/>
                <w:kern w:val="0"/>
                <w:sz w:val="18"/>
                <w:szCs w:val="18"/>
                <w:u w:val="none"/>
                <w:lang w:val="en-US" w:eastAsia="zh-CN" w:bidi="ar"/>
              </w:rPr>
              <w:t>万元</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090517D">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cs="宋体"/>
                <w:i w:val="0"/>
                <w:color w:val="333333"/>
                <w:kern w:val="0"/>
                <w:sz w:val="18"/>
                <w:szCs w:val="18"/>
                <w:u w:val="none"/>
                <w:lang w:val="en-US" w:eastAsia="zh-CN" w:bidi="ar"/>
              </w:rPr>
              <w:t>2000</w:t>
            </w:r>
            <w:r>
              <w:rPr>
                <w:rFonts w:hint="eastAsia" w:ascii="宋体" w:hAnsi="宋体" w:eastAsia="宋体" w:cs="宋体"/>
                <w:i w:val="0"/>
                <w:color w:val="333333"/>
                <w:kern w:val="0"/>
                <w:sz w:val="18"/>
                <w:szCs w:val="18"/>
                <w:u w:val="none"/>
                <w:lang w:val="en-US" w:eastAsia="zh-CN" w:bidi="ar"/>
              </w:rPr>
              <w:t>万元</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2B18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73F77D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3935D">
            <w:pPr>
              <w:rPr>
                <w:rFonts w:hint="eastAsia" w:ascii="宋体" w:hAnsi="宋体" w:eastAsia="宋体" w:cs="宋体"/>
                <w:i w:val="0"/>
                <w:color w:val="000000"/>
                <w:sz w:val="18"/>
                <w:szCs w:val="18"/>
                <w:u w:val="none"/>
              </w:rPr>
            </w:pPr>
          </w:p>
        </w:tc>
      </w:tr>
      <w:tr w14:paraId="7929E233">
        <w:tblPrEx>
          <w:shd w:val="clear" w:color="auto" w:fill="auto"/>
          <w:tblCellMar>
            <w:top w:w="0" w:type="dxa"/>
            <w:left w:w="0" w:type="dxa"/>
            <w:bottom w:w="0" w:type="dxa"/>
            <w:right w:w="0" w:type="dxa"/>
          </w:tblCellMar>
        </w:tblPrEx>
        <w:trPr>
          <w:trHeight w:val="430" w:hRule="atLeast"/>
        </w:trPr>
        <w:tc>
          <w:tcPr>
            <w:tcW w:w="129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914BFD3">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56903D06">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274CD0A">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粮食市场价格的基本稳定</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D9CF772">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93ECEBB">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95%</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2A1C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E08042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75319">
            <w:pPr>
              <w:rPr>
                <w:rFonts w:hint="eastAsia" w:ascii="宋体" w:hAnsi="宋体" w:eastAsia="宋体" w:cs="宋体"/>
                <w:i w:val="0"/>
                <w:color w:val="000000"/>
                <w:sz w:val="18"/>
                <w:szCs w:val="18"/>
                <w:u w:val="none"/>
              </w:rPr>
            </w:pPr>
          </w:p>
        </w:tc>
      </w:tr>
      <w:tr w14:paraId="27B0D960">
        <w:tblPrEx>
          <w:shd w:val="clear" w:color="auto" w:fill="auto"/>
          <w:tblCellMar>
            <w:top w:w="0" w:type="dxa"/>
            <w:left w:w="0" w:type="dxa"/>
            <w:bottom w:w="0" w:type="dxa"/>
            <w:right w:w="0" w:type="dxa"/>
          </w:tblCellMar>
        </w:tblPrEx>
        <w:trPr>
          <w:trHeight w:val="651"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BDBD475">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1F9ED129">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C502A0">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是否显著有效提高储备成品大米、成品油安全监管</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6FDFF02">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显著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39EBBD2">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显著</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3812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9EFB71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3567A">
            <w:pPr>
              <w:rPr>
                <w:rFonts w:hint="eastAsia" w:ascii="宋体" w:hAnsi="宋体" w:eastAsia="宋体" w:cs="宋体"/>
                <w:i w:val="0"/>
                <w:color w:val="000000"/>
                <w:sz w:val="18"/>
                <w:szCs w:val="18"/>
                <w:u w:val="none"/>
              </w:rPr>
            </w:pPr>
          </w:p>
        </w:tc>
      </w:tr>
      <w:tr w14:paraId="1C8E947E">
        <w:tblPrEx>
          <w:shd w:val="clear" w:color="auto" w:fill="auto"/>
          <w:tblCellMar>
            <w:top w:w="0" w:type="dxa"/>
            <w:left w:w="0" w:type="dxa"/>
            <w:bottom w:w="0" w:type="dxa"/>
            <w:right w:w="0" w:type="dxa"/>
          </w:tblCellMar>
        </w:tblPrEx>
        <w:trPr>
          <w:trHeight w:val="626"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B71ACCA">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C487C3B">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06BB4A">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储备成品大米、成品油安全问题数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8399BF8">
            <w:pPr>
              <w:keepNext w:val="0"/>
              <w:keepLines w:val="0"/>
              <w:widowControl/>
              <w:suppressLineNumbers w:val="0"/>
              <w:jc w:val="center"/>
              <w:textAlignment w:val="center"/>
              <w:rPr>
                <w:rFonts w:ascii="Arial" w:hAnsi="Arial" w:eastAsia="宋体" w:cs="Arial"/>
                <w:i w:val="0"/>
                <w:color w:val="333333"/>
                <w:sz w:val="18"/>
                <w:szCs w:val="18"/>
                <w:u w:val="none"/>
              </w:rPr>
            </w:pPr>
            <w:r>
              <w:rPr>
                <w:rFonts w:hint="default" w:ascii="Arial" w:hAnsi="Arial" w:eastAsia="宋体" w:cs="Arial"/>
                <w:i w:val="0"/>
                <w:color w:val="333333"/>
                <w:kern w:val="0"/>
                <w:sz w:val="18"/>
                <w:szCs w:val="18"/>
                <w:u w:val="none"/>
                <w:lang w:val="en-US" w:eastAsia="zh-CN" w:bidi="ar"/>
              </w:rPr>
              <w:t>≤</w:t>
            </w:r>
            <w:r>
              <w:rPr>
                <w:rFonts w:hint="eastAsia" w:ascii="宋体" w:hAnsi="宋体" w:eastAsia="宋体" w:cs="宋体"/>
                <w:i w:val="0"/>
                <w:color w:val="333333"/>
                <w:kern w:val="0"/>
                <w:sz w:val="18"/>
                <w:szCs w:val="18"/>
                <w:u w:val="none"/>
                <w:lang w:val="en-US" w:eastAsia="zh-CN" w:bidi="ar"/>
              </w:rPr>
              <w:t>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291785C">
            <w:pPr>
              <w:keepNext w:val="0"/>
              <w:keepLines w:val="0"/>
              <w:widowControl/>
              <w:suppressLineNumbers w:val="0"/>
              <w:jc w:val="center"/>
              <w:textAlignment w:val="center"/>
              <w:rPr>
                <w:rFonts w:hint="default" w:ascii="Arial" w:hAnsi="Arial" w:eastAsia="宋体" w:cs="Arial"/>
                <w:i w:val="0"/>
                <w:color w:val="333333"/>
                <w:sz w:val="18"/>
                <w:szCs w:val="18"/>
                <w:u w:val="none"/>
              </w:rPr>
            </w:pPr>
            <w:r>
              <w:rPr>
                <w:rFonts w:hint="default" w:ascii="Arial" w:hAnsi="Arial" w:eastAsia="宋体" w:cs="Arial"/>
                <w:i w:val="0"/>
                <w:color w:val="333333"/>
                <w:kern w:val="0"/>
                <w:sz w:val="18"/>
                <w:szCs w:val="18"/>
                <w:u w:val="none"/>
                <w:lang w:val="en-US" w:eastAsia="zh-CN" w:bidi="ar"/>
              </w:rPr>
              <w:t>≤</w:t>
            </w:r>
            <w:r>
              <w:rPr>
                <w:rFonts w:hint="eastAsia" w:ascii="宋体" w:hAnsi="宋体" w:eastAsia="宋体" w:cs="宋体"/>
                <w:i w:val="0"/>
                <w:color w:val="333333"/>
                <w:kern w:val="0"/>
                <w:sz w:val="18"/>
                <w:szCs w:val="18"/>
                <w:u w:val="none"/>
                <w:lang w:val="en-US" w:eastAsia="zh-CN" w:bidi="ar"/>
              </w:rPr>
              <w:t>0</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C568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7520EA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86B4A">
            <w:pPr>
              <w:rPr>
                <w:rFonts w:hint="eastAsia" w:ascii="宋体" w:hAnsi="宋体" w:eastAsia="宋体" w:cs="宋体"/>
                <w:i w:val="0"/>
                <w:color w:val="000000"/>
                <w:sz w:val="18"/>
                <w:szCs w:val="18"/>
                <w:u w:val="none"/>
              </w:rPr>
            </w:pPr>
          </w:p>
        </w:tc>
      </w:tr>
      <w:tr w14:paraId="2687BEB1">
        <w:tblPrEx>
          <w:shd w:val="clear" w:color="auto" w:fill="auto"/>
          <w:tblCellMar>
            <w:top w:w="0" w:type="dxa"/>
            <w:left w:w="0" w:type="dxa"/>
            <w:bottom w:w="0" w:type="dxa"/>
            <w:right w:w="0" w:type="dxa"/>
          </w:tblCellMar>
        </w:tblPrEx>
        <w:trPr>
          <w:trHeight w:val="651"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C9D585F">
            <w:pPr>
              <w:jc w:val="center"/>
              <w:rPr>
                <w:rFonts w:hint="eastAsia" w:ascii="宋体" w:hAnsi="宋体" w:eastAsia="宋体" w:cs="宋体"/>
                <w:i w:val="0"/>
                <w:color w:val="333333"/>
                <w:sz w:val="18"/>
                <w:szCs w:val="18"/>
                <w:u w:val="none"/>
              </w:rPr>
            </w:pP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6AC5CEC3">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ADC77B">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确保县域内储备成品大米、成品油应急供应</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D74DDB9">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CBF1751">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3C94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2A96F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34F7A">
            <w:pPr>
              <w:rPr>
                <w:rFonts w:hint="eastAsia" w:ascii="宋体" w:hAnsi="宋体" w:eastAsia="宋体" w:cs="宋体"/>
                <w:i w:val="0"/>
                <w:color w:val="000000"/>
                <w:sz w:val="18"/>
                <w:szCs w:val="18"/>
                <w:u w:val="none"/>
              </w:rPr>
            </w:pPr>
          </w:p>
        </w:tc>
      </w:tr>
      <w:tr w14:paraId="312E0066">
        <w:tblPrEx>
          <w:shd w:val="clear" w:color="auto" w:fill="auto"/>
          <w:tblCellMar>
            <w:top w:w="0" w:type="dxa"/>
            <w:left w:w="0" w:type="dxa"/>
            <w:bottom w:w="0" w:type="dxa"/>
            <w:right w:w="0" w:type="dxa"/>
          </w:tblCellMar>
        </w:tblPrEx>
        <w:trPr>
          <w:trHeight w:val="450" w:hRule="atLeast"/>
        </w:trPr>
        <w:tc>
          <w:tcPr>
            <w:tcW w:w="129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E18BDBA">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1520"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DEE15F4">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20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B8E4820">
            <w:pPr>
              <w:keepNext w:val="0"/>
              <w:keepLines w:val="0"/>
              <w:widowControl/>
              <w:suppressLineNumbers w:val="0"/>
              <w:jc w:val="center"/>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满意度95%</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9AA6189">
            <w:pPr>
              <w:keepNext w:val="0"/>
              <w:keepLines w:val="0"/>
              <w:widowControl/>
              <w:suppressLineNumbers w:val="0"/>
              <w:jc w:val="center"/>
              <w:textAlignment w:val="center"/>
              <w:rPr>
                <w:rFonts w:hint="default" w:ascii="Arial" w:hAnsi="Arial" w:eastAsia="宋体" w:cs="Arial"/>
                <w:i w:val="0"/>
                <w:color w:val="333333"/>
                <w:sz w:val="18"/>
                <w:szCs w:val="18"/>
                <w:u w:val="none"/>
              </w:rPr>
            </w:pPr>
            <w:r>
              <w:rPr>
                <w:rFonts w:hint="default" w:ascii="Arial" w:hAnsi="Arial" w:eastAsia="宋体" w:cs="Arial"/>
                <w:i w:val="0"/>
                <w:color w:val="333333"/>
                <w:kern w:val="0"/>
                <w:sz w:val="18"/>
                <w:szCs w:val="18"/>
                <w:u w:val="none"/>
                <w:lang w:val="en-US" w:eastAsia="zh-CN" w:bidi="ar"/>
              </w:rPr>
              <w:t>≥</w:t>
            </w:r>
            <w:r>
              <w:rPr>
                <w:rFonts w:hint="eastAsia" w:ascii="宋体" w:hAnsi="宋体" w:eastAsia="宋体" w:cs="宋体"/>
                <w:i w:val="0"/>
                <w:color w:val="333333"/>
                <w:kern w:val="0"/>
                <w:sz w:val="18"/>
                <w:szCs w:val="18"/>
                <w:u w:val="none"/>
                <w:lang w:val="en-US" w:eastAsia="zh-CN" w:bidi="ar"/>
              </w:rPr>
              <w:t>95%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396FB32">
            <w:pPr>
              <w:keepNext w:val="0"/>
              <w:keepLines w:val="0"/>
              <w:widowControl/>
              <w:suppressLineNumbers w:val="0"/>
              <w:jc w:val="center"/>
              <w:textAlignment w:val="center"/>
              <w:rPr>
                <w:rFonts w:ascii="宋体" w:hAnsi="宋体" w:eastAsia="宋体" w:cs="宋体"/>
                <w:i w:val="0"/>
                <w:color w:val="333333"/>
                <w:sz w:val="18"/>
                <w:szCs w:val="18"/>
                <w:u w:val="none"/>
              </w:rPr>
            </w:pPr>
            <w:r>
              <w:rPr>
                <w:rFonts w:ascii="宋体" w:hAnsi="宋体" w:eastAsia="宋体" w:cs="宋体"/>
                <w:i w:val="0"/>
                <w:color w:val="333333"/>
                <w:kern w:val="0"/>
                <w:sz w:val="18"/>
                <w:szCs w:val="18"/>
                <w:u w:val="none"/>
                <w:lang w:val="en-US" w:eastAsia="zh-CN" w:bidi="ar"/>
              </w:rPr>
              <w:t>≧</w:t>
            </w:r>
            <w:r>
              <w:rPr>
                <w:rFonts w:hint="eastAsia" w:ascii="宋体" w:hAnsi="宋体" w:eastAsia="宋体" w:cs="宋体"/>
                <w:i w:val="0"/>
                <w:color w:val="333333"/>
                <w:kern w:val="0"/>
                <w:sz w:val="18"/>
                <w:szCs w:val="18"/>
                <w:u w:val="none"/>
                <w:lang w:val="en-US" w:eastAsia="zh-CN" w:bidi="ar"/>
              </w:rPr>
              <w:t>95%</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50AA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403"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C8A81F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9AA11">
            <w:pPr>
              <w:rPr>
                <w:rFonts w:hint="eastAsia" w:ascii="宋体" w:hAnsi="宋体" w:eastAsia="宋体" w:cs="宋体"/>
                <w:i w:val="0"/>
                <w:color w:val="000000"/>
                <w:sz w:val="18"/>
                <w:szCs w:val="18"/>
                <w:u w:val="none"/>
              </w:rPr>
            </w:pPr>
          </w:p>
        </w:tc>
      </w:tr>
    </w:tbl>
    <w:p w14:paraId="5CF4BD9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28"/>
          <w:szCs w:val="28"/>
          <w:lang w:val="zh-CN"/>
        </w:rPr>
      </w:pPr>
    </w:p>
    <w:p w14:paraId="4FBF05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BE0F928">
      <w:pPr>
        <w:spacing w:line="600" w:lineRule="exact"/>
        <w:jc w:val="center"/>
        <w:outlineLvl w:val="0"/>
        <w:rPr>
          <w:rFonts w:hint="eastAsia" w:ascii="仿宋" w:hAnsi="仿宋" w:eastAsia="仿宋"/>
          <w:b w:val="0"/>
          <w:color w:val="auto"/>
          <w:highlight w:val="none"/>
        </w:rPr>
      </w:pPr>
      <w:bookmarkStart w:id="53" w:name="_Toc15396618"/>
      <w:r>
        <w:rPr>
          <w:rFonts w:hint="eastAsia" w:ascii="黑体" w:hAnsi="黑体" w:eastAsia="黑体"/>
          <w:color w:val="auto"/>
          <w:sz w:val="44"/>
          <w:szCs w:val="44"/>
          <w:highlight w:val="none"/>
        </w:rPr>
        <w:t>第</w:t>
      </w:r>
      <w:r>
        <w:rPr>
          <w:rStyle w:val="30"/>
          <w:rFonts w:hint="eastAsia" w:ascii="黑体" w:hAnsi="黑体" w:eastAsia="黑体"/>
          <w:b w:val="0"/>
          <w:color w:val="auto"/>
          <w:highlight w:val="none"/>
        </w:rPr>
        <w:t>五部分 附表</w:t>
      </w:r>
      <w:bookmarkEnd w:id="51"/>
      <w:bookmarkEnd w:id="53"/>
      <w:bookmarkStart w:id="54" w:name="_Toc15396619"/>
    </w:p>
    <w:p w14:paraId="048CB22A">
      <w:pPr>
        <w:pStyle w:val="5"/>
        <w:rPr>
          <w:rFonts w:ascii="仿宋" w:hAnsi="仿宋" w:eastAsia="仿宋"/>
          <w:color w:val="auto"/>
          <w:highlight w:val="none"/>
        </w:rPr>
      </w:pPr>
      <w:r>
        <w:rPr>
          <w:rFonts w:hint="eastAsia" w:ascii="仿宋" w:hAnsi="仿宋" w:eastAsia="仿宋"/>
          <w:b w:val="0"/>
          <w:color w:val="auto"/>
          <w:highlight w:val="none"/>
        </w:rPr>
        <w:t>一、收</w:t>
      </w:r>
      <w:r>
        <w:rPr>
          <w:rStyle w:val="31"/>
          <w:rFonts w:hint="eastAsia" w:ascii="仿宋" w:hAnsi="仿宋" w:eastAsia="仿宋"/>
          <w:b w:val="0"/>
          <w:bCs w:val="0"/>
          <w:color w:val="auto"/>
          <w:highlight w:val="none"/>
        </w:rPr>
        <w:t>入支出决算总表</w:t>
      </w:r>
      <w:bookmarkEnd w:id="54"/>
    </w:p>
    <w:p w14:paraId="0C10F40E">
      <w:pPr>
        <w:pStyle w:val="5"/>
        <w:rPr>
          <w:rFonts w:ascii="仿宋" w:hAnsi="仿宋" w:eastAsia="仿宋"/>
          <w:color w:val="auto"/>
          <w:highlight w:val="none"/>
        </w:rPr>
      </w:pPr>
      <w:bookmarkStart w:id="55" w:name="_Toc15396620"/>
      <w:r>
        <w:rPr>
          <w:rFonts w:hint="eastAsia" w:ascii="仿宋" w:hAnsi="仿宋" w:eastAsia="仿宋"/>
          <w:b w:val="0"/>
          <w:color w:val="auto"/>
          <w:highlight w:val="none"/>
        </w:rPr>
        <w:t>二、收</w:t>
      </w:r>
      <w:r>
        <w:rPr>
          <w:rStyle w:val="31"/>
          <w:rFonts w:hint="eastAsia" w:ascii="仿宋" w:hAnsi="仿宋" w:eastAsia="仿宋"/>
          <w:b w:val="0"/>
          <w:bCs w:val="0"/>
          <w:color w:val="auto"/>
          <w:highlight w:val="none"/>
        </w:rPr>
        <w:t>入决算表</w:t>
      </w:r>
      <w:bookmarkEnd w:id="55"/>
    </w:p>
    <w:p w14:paraId="3AC98BD0">
      <w:pPr>
        <w:pStyle w:val="5"/>
        <w:rPr>
          <w:rFonts w:ascii="仿宋" w:hAnsi="仿宋" w:eastAsia="仿宋"/>
          <w:color w:val="auto"/>
          <w:highlight w:val="none"/>
        </w:rPr>
      </w:pPr>
      <w:bookmarkStart w:id="56" w:name="_Toc15396621"/>
      <w:r>
        <w:rPr>
          <w:rStyle w:val="3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1"/>
          <w:rFonts w:hint="eastAsia" w:ascii="仿宋" w:hAnsi="仿宋" w:eastAsia="仿宋"/>
          <w:b w:val="0"/>
          <w:bCs w:val="0"/>
          <w:color w:val="auto"/>
          <w:highlight w:val="none"/>
        </w:rPr>
        <w:t>出决算表</w:t>
      </w:r>
      <w:bookmarkEnd w:id="56"/>
    </w:p>
    <w:p w14:paraId="1C3840C1">
      <w:pPr>
        <w:pStyle w:val="5"/>
        <w:rPr>
          <w:rFonts w:ascii="仿宋" w:hAnsi="仿宋" w:eastAsia="仿宋"/>
          <w:b w:val="0"/>
          <w:color w:val="auto"/>
          <w:highlight w:val="none"/>
        </w:rPr>
      </w:pPr>
      <w:bookmarkStart w:id="57" w:name="_Toc15396622"/>
      <w:r>
        <w:rPr>
          <w:rStyle w:val="3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政拨款收入支出决算总表</w:t>
      </w:r>
      <w:bookmarkEnd w:id="57"/>
    </w:p>
    <w:p w14:paraId="3F2FC34B">
      <w:pPr>
        <w:pStyle w:val="5"/>
        <w:rPr>
          <w:rStyle w:val="31"/>
          <w:rFonts w:ascii="仿宋" w:hAnsi="仿宋" w:eastAsia="仿宋"/>
          <w:b w:val="0"/>
          <w:bCs w:val="0"/>
          <w:color w:val="auto"/>
          <w:highlight w:val="none"/>
        </w:rPr>
      </w:pPr>
      <w:bookmarkStart w:id="58" w:name="_Toc15396623"/>
      <w:r>
        <w:rPr>
          <w:rStyle w:val="3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政拨款支出决算明细表</w:t>
      </w:r>
      <w:bookmarkEnd w:id="58"/>
      <w:bookmarkStart w:id="59" w:name="_Toc15396624"/>
    </w:p>
    <w:p w14:paraId="27BF0442">
      <w:pPr>
        <w:pStyle w:val="5"/>
        <w:rPr>
          <w:rFonts w:ascii="仿宋" w:hAnsi="仿宋" w:eastAsia="仿宋"/>
          <w:color w:val="auto"/>
          <w:highlight w:val="none"/>
        </w:rPr>
      </w:pPr>
      <w:r>
        <w:rPr>
          <w:rStyle w:val="3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般公共预算财政拨款支出决算表</w:t>
      </w:r>
      <w:bookmarkEnd w:id="59"/>
    </w:p>
    <w:p w14:paraId="5B5A18E3">
      <w:pPr>
        <w:pStyle w:val="5"/>
        <w:rPr>
          <w:rFonts w:ascii="仿宋" w:hAnsi="仿宋" w:eastAsia="仿宋"/>
          <w:color w:val="auto"/>
          <w:highlight w:val="none"/>
        </w:rPr>
      </w:pPr>
      <w:bookmarkStart w:id="60" w:name="_Toc15396625"/>
      <w:r>
        <w:rPr>
          <w:rStyle w:val="3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般公共预算财政拨款支出决算明细表</w:t>
      </w:r>
      <w:bookmarkEnd w:id="60"/>
    </w:p>
    <w:p w14:paraId="20B148B0">
      <w:pPr>
        <w:pStyle w:val="5"/>
        <w:rPr>
          <w:rFonts w:ascii="仿宋" w:hAnsi="仿宋" w:eastAsia="仿宋"/>
          <w:color w:val="auto"/>
          <w:highlight w:val="none"/>
        </w:rPr>
      </w:pPr>
      <w:bookmarkStart w:id="61" w:name="_Toc15396626"/>
      <w:r>
        <w:rPr>
          <w:rStyle w:val="3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般公共预算财政拨款基本支出决算表</w:t>
      </w:r>
      <w:bookmarkEnd w:id="61"/>
    </w:p>
    <w:p w14:paraId="63DD2E9E">
      <w:pPr>
        <w:pStyle w:val="5"/>
        <w:rPr>
          <w:rFonts w:ascii="仿宋" w:hAnsi="仿宋" w:eastAsia="仿宋"/>
          <w:color w:val="auto"/>
          <w:highlight w:val="none"/>
        </w:rPr>
      </w:pPr>
      <w:bookmarkStart w:id="62" w:name="_Toc15396627"/>
      <w:r>
        <w:rPr>
          <w:rStyle w:val="3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般公共预算财政拨款项目支出决算表</w:t>
      </w:r>
      <w:bookmarkEnd w:id="62"/>
    </w:p>
    <w:p w14:paraId="4789F58A">
      <w:pPr>
        <w:pStyle w:val="5"/>
        <w:rPr>
          <w:rFonts w:ascii="仿宋" w:hAnsi="仿宋" w:eastAsia="仿宋"/>
          <w:color w:val="auto"/>
          <w:highlight w:val="none"/>
        </w:rPr>
      </w:pPr>
      <w:bookmarkStart w:id="63" w:name="_Toc15396628"/>
      <w:r>
        <w:rPr>
          <w:rStyle w:val="31"/>
          <w:rFonts w:hint="eastAsia" w:ascii="仿宋" w:hAnsi="仿宋" w:eastAsia="仿宋"/>
          <w:b w:val="0"/>
          <w:bCs w:val="0"/>
          <w:color w:val="auto"/>
          <w:highlight w:val="none"/>
        </w:rPr>
        <w:t>十、</w:t>
      </w:r>
      <w:bookmarkEnd w:id="63"/>
      <w:r>
        <w:rPr>
          <w:rFonts w:hint="eastAsia" w:ascii="仿宋" w:hAnsi="仿宋" w:eastAsia="仿宋"/>
          <w:b w:val="0"/>
          <w:color w:val="auto"/>
          <w:highlight w:val="none"/>
        </w:rPr>
        <w:t>政</w:t>
      </w:r>
      <w:r>
        <w:rPr>
          <w:rStyle w:val="31"/>
          <w:rFonts w:hint="eastAsia" w:ascii="仿宋" w:hAnsi="仿宋" w:eastAsia="仿宋"/>
          <w:b w:val="0"/>
          <w:bCs w:val="0"/>
          <w:color w:val="auto"/>
          <w:highlight w:val="none"/>
        </w:rPr>
        <w:t>府性基金预算财政拨款收入支出决算表</w:t>
      </w:r>
    </w:p>
    <w:p w14:paraId="60D1945F">
      <w:pPr>
        <w:pStyle w:val="5"/>
        <w:rPr>
          <w:rFonts w:ascii="仿宋" w:hAnsi="仿宋" w:eastAsia="仿宋"/>
          <w:color w:val="auto"/>
          <w:highlight w:val="none"/>
        </w:rPr>
      </w:pPr>
      <w:bookmarkStart w:id="64" w:name="_Toc15396629"/>
      <w:r>
        <w:rPr>
          <w:rStyle w:val="31"/>
          <w:rFonts w:hint="eastAsia" w:ascii="仿宋" w:hAnsi="仿宋" w:eastAsia="仿宋"/>
          <w:b w:val="0"/>
          <w:bCs w:val="0"/>
          <w:color w:val="auto"/>
          <w:highlight w:val="none"/>
        </w:rPr>
        <w:t>十一、</w:t>
      </w:r>
      <w:bookmarkEnd w:id="64"/>
      <w:r>
        <w:rPr>
          <w:rFonts w:hint="eastAsia" w:ascii="仿宋" w:hAnsi="仿宋" w:eastAsia="仿宋"/>
          <w:b w:val="0"/>
          <w:color w:val="auto"/>
          <w:highlight w:val="none"/>
        </w:rPr>
        <w:t>国</w:t>
      </w:r>
      <w:r>
        <w:rPr>
          <w:rStyle w:val="31"/>
          <w:rFonts w:hint="eastAsia" w:ascii="仿宋" w:hAnsi="仿宋" w:eastAsia="仿宋"/>
          <w:b w:val="0"/>
          <w:bCs w:val="0"/>
          <w:color w:val="auto"/>
          <w:highlight w:val="none"/>
        </w:rPr>
        <w:t>有资本经营预算</w:t>
      </w:r>
      <w:r>
        <w:rPr>
          <w:rStyle w:val="31"/>
          <w:rFonts w:hint="eastAsia" w:ascii="仿宋" w:hAnsi="仿宋" w:eastAsia="仿宋"/>
          <w:b w:val="0"/>
          <w:bCs w:val="0"/>
          <w:color w:val="auto"/>
          <w:highlight w:val="none"/>
          <w:lang w:eastAsia="zh-CN"/>
        </w:rPr>
        <w:t>财政拨款收入</w:t>
      </w:r>
      <w:r>
        <w:rPr>
          <w:rStyle w:val="31"/>
          <w:rFonts w:hint="eastAsia" w:ascii="仿宋" w:hAnsi="仿宋" w:eastAsia="仿宋"/>
          <w:b w:val="0"/>
          <w:bCs w:val="0"/>
          <w:color w:val="auto"/>
          <w:highlight w:val="none"/>
        </w:rPr>
        <w:t>支出决算表</w:t>
      </w:r>
    </w:p>
    <w:p w14:paraId="44595435">
      <w:pPr>
        <w:pStyle w:val="5"/>
        <w:rPr>
          <w:rFonts w:ascii="仿宋" w:hAnsi="仿宋" w:eastAsia="仿宋"/>
          <w:color w:val="auto"/>
          <w:highlight w:val="none"/>
        </w:rPr>
      </w:pPr>
      <w:bookmarkStart w:id="65" w:name="_Toc15396630"/>
      <w:r>
        <w:rPr>
          <w:rStyle w:val="31"/>
          <w:rFonts w:hint="eastAsia" w:ascii="仿宋" w:hAnsi="仿宋" w:eastAsia="仿宋"/>
          <w:b w:val="0"/>
          <w:bCs w:val="0"/>
          <w:color w:val="auto"/>
          <w:highlight w:val="none"/>
        </w:rPr>
        <w:t>十二、</w:t>
      </w:r>
      <w:bookmarkEnd w:id="65"/>
      <w:r>
        <w:rPr>
          <w:rStyle w:val="31"/>
          <w:rFonts w:hint="eastAsia" w:ascii="仿宋" w:hAnsi="仿宋" w:eastAsia="仿宋"/>
          <w:b w:val="0"/>
          <w:bCs w:val="0"/>
          <w:color w:val="auto"/>
          <w:highlight w:val="none"/>
          <w:lang w:eastAsia="zh-CN"/>
        </w:rPr>
        <w:t>国有资本经营预算财政拨款支出决算表</w:t>
      </w:r>
    </w:p>
    <w:p w14:paraId="67E733AA">
      <w:pPr>
        <w:pStyle w:val="5"/>
        <w:rPr>
          <w:rFonts w:hint="eastAsia" w:eastAsia="仿宋"/>
          <w:color w:val="auto"/>
          <w:highlight w:val="none"/>
          <w:lang w:eastAsia="zh-CN"/>
        </w:rPr>
      </w:pPr>
      <w:bookmarkStart w:id="66" w:name="_Toc15396631"/>
      <w:r>
        <w:rPr>
          <w:rStyle w:val="31"/>
          <w:rFonts w:hint="eastAsia" w:ascii="仿宋" w:hAnsi="仿宋" w:eastAsia="仿宋"/>
          <w:b w:val="0"/>
          <w:bCs w:val="0"/>
          <w:color w:val="auto"/>
          <w:highlight w:val="none"/>
        </w:rPr>
        <w:t>十三、</w:t>
      </w:r>
      <w:bookmarkEnd w:id="66"/>
      <w:r>
        <w:rPr>
          <w:rStyle w:val="31"/>
          <w:rFonts w:hint="eastAsia" w:ascii="仿宋" w:hAnsi="仿宋" w:eastAsia="仿宋"/>
          <w:b w:val="0"/>
          <w:bCs w:val="0"/>
          <w:color w:val="auto"/>
          <w:highlight w:val="none"/>
          <w:lang w:eastAsia="zh-CN"/>
        </w:rPr>
        <w:t>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GWZT-EN">
    <w:panose1 w:val="02020400000000000000"/>
    <w:charset w:val="86"/>
    <w:family w:val="auto"/>
    <w:pitch w:val="default"/>
    <w:sig w:usb0="A00002BF" w:usb1="38CF7CFA" w:usb2="00082016" w:usb3="00000000" w:csb0="00040001" w:csb1="00000000"/>
  </w:font>
  <w:font w:name="Noto Music">
    <w:panose1 w:val="020B0502040504020204"/>
    <w:charset w:val="00"/>
    <w:family w:val="auto"/>
    <w:pitch w:val="default"/>
    <w:sig w:usb0="00000003" w:usb1="02006000" w:usb2="01000000" w:usb3="00000000" w:csb0="00000001" w:csb1="00000000"/>
  </w:font>
  <w:font w:name="仿宋_GB2312">
    <w:altName w:val="方正仿宋_GBK"/>
    <w:panose1 w:val="02010609030101010101"/>
    <w:charset w:val="00"/>
    <w:family w:val="modern"/>
    <w:pitch w:val="default"/>
    <w:sig w:usb0="00000000" w:usb1="0000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8A8EBAF">
        <w:pPr>
          <w:pStyle w:val="10"/>
          <w:jc w:val="center"/>
        </w:pPr>
        <w:r>
          <w:fldChar w:fldCharType="begin"/>
        </w:r>
        <w:r>
          <w:instrText xml:space="preserve">PAGE   \* MERGEFORMAT</w:instrText>
        </w:r>
        <w:r>
          <w:fldChar w:fldCharType="separate"/>
        </w:r>
        <w:r>
          <w:rPr>
            <w:lang w:val="zh-CN"/>
          </w:rPr>
          <w:t>8</w:t>
        </w:r>
        <w:r>
          <w:fldChar w:fldCharType="end"/>
        </w:r>
      </w:p>
    </w:sdtContent>
  </w:sdt>
  <w:p w14:paraId="7FCBF3C6">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5DBCC">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45E77"/>
    <w:multiLevelType w:val="singleLevel"/>
    <w:tmpl w:val="94445E77"/>
    <w:lvl w:ilvl="0" w:tentative="0">
      <w:start w:val="3"/>
      <w:numFmt w:val="chineseCounting"/>
      <w:lvlText w:val="(%1)"/>
      <w:lvlJc w:val="left"/>
      <w:pPr>
        <w:tabs>
          <w:tab w:val="left" w:pos="312"/>
        </w:tabs>
      </w:pPr>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04BD2028"/>
    <w:multiLevelType w:val="singleLevel"/>
    <w:tmpl w:val="04BD2028"/>
    <w:lvl w:ilvl="0" w:tentative="0">
      <w:start w:val="2"/>
      <w:numFmt w:val="decimal"/>
      <w:lvlText w:val="%1."/>
      <w:lvlJc w:val="left"/>
      <w:pPr>
        <w:tabs>
          <w:tab w:val="left" w:pos="312"/>
        </w:tabs>
      </w:pPr>
    </w:lvl>
  </w:abstractNum>
  <w:abstractNum w:abstractNumId="3">
    <w:nsid w:val="2CEF8CB5"/>
    <w:multiLevelType w:val="singleLevel"/>
    <w:tmpl w:val="2CEF8CB5"/>
    <w:lvl w:ilvl="0" w:tentative="0">
      <w:start w:val="1"/>
      <w:numFmt w:val="decimal"/>
      <w:lvlText w:val="%1."/>
      <w:lvlJc w:val="left"/>
      <w:pPr>
        <w:tabs>
          <w:tab w:val="left" w:pos="312"/>
        </w:tabs>
      </w:pPr>
    </w:lvl>
  </w:abstractNum>
  <w:abstractNum w:abstractNumId="4">
    <w:nsid w:val="402DF8ED"/>
    <w:multiLevelType w:val="singleLevel"/>
    <w:tmpl w:val="402DF8ED"/>
    <w:lvl w:ilvl="0" w:tentative="0">
      <w:start w:val="3"/>
      <w:numFmt w:val="chineseCounting"/>
      <w:suff w:val="nothing"/>
      <w:lvlText w:val="%1、"/>
      <w:lvlJc w:val="left"/>
      <w:rPr>
        <w:rFonts w:hint="eastAsia" w:ascii="黑体" w:hAnsi="黑体" w:eastAsia="黑体" w:cs="黑体"/>
        <w:sz w:val="30"/>
        <w:szCs w:val="3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NjE1NzljZDMwNjYzNzFmMjBiYWRhOWFmNGM5Nz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3E2E"/>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DED"/>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2274"/>
    <w:rsid w:val="00FF30B4"/>
    <w:rsid w:val="015975B8"/>
    <w:rsid w:val="01C052BD"/>
    <w:rsid w:val="02143E91"/>
    <w:rsid w:val="035F552A"/>
    <w:rsid w:val="04A22C31"/>
    <w:rsid w:val="066E0107"/>
    <w:rsid w:val="07632B04"/>
    <w:rsid w:val="07996F6E"/>
    <w:rsid w:val="07FE2362"/>
    <w:rsid w:val="080E0A9D"/>
    <w:rsid w:val="08787A11"/>
    <w:rsid w:val="089A5136"/>
    <w:rsid w:val="097C499D"/>
    <w:rsid w:val="09F97710"/>
    <w:rsid w:val="0A0E23EB"/>
    <w:rsid w:val="0A105735"/>
    <w:rsid w:val="0A2032A3"/>
    <w:rsid w:val="0A874FDA"/>
    <w:rsid w:val="0A9B76B7"/>
    <w:rsid w:val="0C662609"/>
    <w:rsid w:val="0D632FE7"/>
    <w:rsid w:val="0F8C2E8A"/>
    <w:rsid w:val="0F98263C"/>
    <w:rsid w:val="0FBB3857"/>
    <w:rsid w:val="101860EC"/>
    <w:rsid w:val="103101EA"/>
    <w:rsid w:val="103E49C8"/>
    <w:rsid w:val="10B4468D"/>
    <w:rsid w:val="10C055FF"/>
    <w:rsid w:val="11236697"/>
    <w:rsid w:val="112965B7"/>
    <w:rsid w:val="113769F9"/>
    <w:rsid w:val="118107EC"/>
    <w:rsid w:val="130B54E9"/>
    <w:rsid w:val="13C45C71"/>
    <w:rsid w:val="13D50BC4"/>
    <w:rsid w:val="149C3E2F"/>
    <w:rsid w:val="16BB723D"/>
    <w:rsid w:val="181F2F5E"/>
    <w:rsid w:val="199C6DBD"/>
    <w:rsid w:val="19A70906"/>
    <w:rsid w:val="1A5F5B97"/>
    <w:rsid w:val="1A7355B9"/>
    <w:rsid w:val="1A8D744B"/>
    <w:rsid w:val="1ADE3924"/>
    <w:rsid w:val="1B595420"/>
    <w:rsid w:val="1BA74194"/>
    <w:rsid w:val="1BE8440E"/>
    <w:rsid w:val="1D155CEE"/>
    <w:rsid w:val="1FF35744"/>
    <w:rsid w:val="20410038"/>
    <w:rsid w:val="204B7CB6"/>
    <w:rsid w:val="212D027A"/>
    <w:rsid w:val="229A73E1"/>
    <w:rsid w:val="23860B96"/>
    <w:rsid w:val="240371BF"/>
    <w:rsid w:val="24A06287"/>
    <w:rsid w:val="2885741C"/>
    <w:rsid w:val="295703A3"/>
    <w:rsid w:val="29FD04D3"/>
    <w:rsid w:val="2C053FBD"/>
    <w:rsid w:val="2C8A61B5"/>
    <w:rsid w:val="2DF04E50"/>
    <w:rsid w:val="2EDD584C"/>
    <w:rsid w:val="2EE76ABB"/>
    <w:rsid w:val="2EFA1F34"/>
    <w:rsid w:val="2F0010E1"/>
    <w:rsid w:val="2F040D46"/>
    <w:rsid w:val="2F5C1D08"/>
    <w:rsid w:val="2FE46EBA"/>
    <w:rsid w:val="302E0DDF"/>
    <w:rsid w:val="319F7F4E"/>
    <w:rsid w:val="32B91048"/>
    <w:rsid w:val="32C500F7"/>
    <w:rsid w:val="3304709D"/>
    <w:rsid w:val="332B4ADC"/>
    <w:rsid w:val="34754A82"/>
    <w:rsid w:val="356741F1"/>
    <w:rsid w:val="3601302A"/>
    <w:rsid w:val="36AA5135"/>
    <w:rsid w:val="376D39B2"/>
    <w:rsid w:val="37806ABA"/>
    <w:rsid w:val="379C68BB"/>
    <w:rsid w:val="37BB7666"/>
    <w:rsid w:val="37E16F03"/>
    <w:rsid w:val="37F26F1F"/>
    <w:rsid w:val="382C5453"/>
    <w:rsid w:val="385F1548"/>
    <w:rsid w:val="38D469F0"/>
    <w:rsid w:val="3AA3051E"/>
    <w:rsid w:val="3AFE1866"/>
    <w:rsid w:val="3D98207C"/>
    <w:rsid w:val="3DD02F81"/>
    <w:rsid w:val="3E78745D"/>
    <w:rsid w:val="3EF48A81"/>
    <w:rsid w:val="3FAD4C11"/>
    <w:rsid w:val="407625E6"/>
    <w:rsid w:val="40C722E0"/>
    <w:rsid w:val="41B77F0D"/>
    <w:rsid w:val="428533BB"/>
    <w:rsid w:val="433938AF"/>
    <w:rsid w:val="44BF2356"/>
    <w:rsid w:val="44E268DA"/>
    <w:rsid w:val="45D51E34"/>
    <w:rsid w:val="4817637B"/>
    <w:rsid w:val="48312BA2"/>
    <w:rsid w:val="49176EC6"/>
    <w:rsid w:val="49BE0EDC"/>
    <w:rsid w:val="4A627F82"/>
    <w:rsid w:val="4B0E749A"/>
    <w:rsid w:val="4B4F25DA"/>
    <w:rsid w:val="4BE068DB"/>
    <w:rsid w:val="4CEA10BD"/>
    <w:rsid w:val="4D577224"/>
    <w:rsid w:val="4E4B753A"/>
    <w:rsid w:val="4E7DF6CD"/>
    <w:rsid w:val="4EAB630A"/>
    <w:rsid w:val="4ECE2238"/>
    <w:rsid w:val="4EF66FFD"/>
    <w:rsid w:val="4F6B55C2"/>
    <w:rsid w:val="501536DA"/>
    <w:rsid w:val="5056550B"/>
    <w:rsid w:val="516576F7"/>
    <w:rsid w:val="53674940"/>
    <w:rsid w:val="537E6D0A"/>
    <w:rsid w:val="57655F79"/>
    <w:rsid w:val="5777197D"/>
    <w:rsid w:val="580E15A6"/>
    <w:rsid w:val="58180C9A"/>
    <w:rsid w:val="59464810"/>
    <w:rsid w:val="5AC112E2"/>
    <w:rsid w:val="5AF92295"/>
    <w:rsid w:val="5BD511B1"/>
    <w:rsid w:val="5BDC5A15"/>
    <w:rsid w:val="5CD71FC4"/>
    <w:rsid w:val="5DD35524"/>
    <w:rsid w:val="5EA839CF"/>
    <w:rsid w:val="5EC14176"/>
    <w:rsid w:val="5FB74D23"/>
    <w:rsid w:val="5FECDDF9"/>
    <w:rsid w:val="66B56234"/>
    <w:rsid w:val="67A4738D"/>
    <w:rsid w:val="69413DE5"/>
    <w:rsid w:val="6A97790B"/>
    <w:rsid w:val="6C047286"/>
    <w:rsid w:val="6C4A05C8"/>
    <w:rsid w:val="6E3A46A0"/>
    <w:rsid w:val="6E7E3605"/>
    <w:rsid w:val="6F4C2FDB"/>
    <w:rsid w:val="6F9834CC"/>
    <w:rsid w:val="6FF5CC65"/>
    <w:rsid w:val="6FF92790"/>
    <w:rsid w:val="715C0E4B"/>
    <w:rsid w:val="723A6ED9"/>
    <w:rsid w:val="72734D90"/>
    <w:rsid w:val="72B74A9B"/>
    <w:rsid w:val="72EF8B01"/>
    <w:rsid w:val="72F314FE"/>
    <w:rsid w:val="731F5DC3"/>
    <w:rsid w:val="736B5F29"/>
    <w:rsid w:val="73AD73D5"/>
    <w:rsid w:val="73B6EB34"/>
    <w:rsid w:val="73FF28BB"/>
    <w:rsid w:val="743C42CB"/>
    <w:rsid w:val="744731E5"/>
    <w:rsid w:val="74EC6246"/>
    <w:rsid w:val="756D72AB"/>
    <w:rsid w:val="76E3355F"/>
    <w:rsid w:val="778769C8"/>
    <w:rsid w:val="78B703E4"/>
    <w:rsid w:val="78E86916"/>
    <w:rsid w:val="79B80AA6"/>
    <w:rsid w:val="79EE5BA4"/>
    <w:rsid w:val="7A050BED"/>
    <w:rsid w:val="7A894339"/>
    <w:rsid w:val="7AD532C5"/>
    <w:rsid w:val="7B7F00C5"/>
    <w:rsid w:val="7BA9DC54"/>
    <w:rsid w:val="7C1E2EE2"/>
    <w:rsid w:val="7C5227CE"/>
    <w:rsid w:val="7CFD4910"/>
    <w:rsid w:val="7D3F6EA7"/>
    <w:rsid w:val="7EBDDCFC"/>
    <w:rsid w:val="7EDF753A"/>
    <w:rsid w:val="7EEF11D3"/>
    <w:rsid w:val="7F7B0087"/>
    <w:rsid w:val="7F9D7A6B"/>
    <w:rsid w:val="7FA30C79"/>
    <w:rsid w:val="7FAD16E8"/>
    <w:rsid w:val="7FB7269E"/>
    <w:rsid w:val="7FC96657"/>
    <w:rsid w:val="AB5FD89F"/>
    <w:rsid w:val="B5FF9C7D"/>
    <w:rsid w:val="B93F88AA"/>
    <w:rsid w:val="D8D6DB89"/>
    <w:rsid w:val="D9CBFEE7"/>
    <w:rsid w:val="DB6F4CAB"/>
    <w:rsid w:val="DEBD668B"/>
    <w:rsid w:val="DF6F9789"/>
    <w:rsid w:val="EDAFDB92"/>
    <w:rsid w:val="EF647BF5"/>
    <w:rsid w:val="FDF791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spacing w:after="120"/>
      <w:ind w:leftChars="200"/>
    </w:pPr>
    <w:rPr>
      <w:rFonts w:ascii="仿宋_GB2312"/>
      <w:szCs w:val="32"/>
    </w:rPr>
  </w:style>
  <w:style w:type="paragraph" w:customStyle="1" w:styleId="3">
    <w:name w:val="样式 正文文本缩进 + Times New Roman"/>
    <w:next w:val="1"/>
    <w:unhideWhenUsed/>
    <w:qFormat/>
    <w:uiPriority w:val="0"/>
    <w:pPr>
      <w:widowControl w:val="0"/>
      <w:tabs>
        <w:tab w:val="left" w:pos="7654"/>
      </w:tabs>
      <w:autoSpaceDE w:val="0"/>
      <w:autoSpaceDN w:val="0"/>
      <w:adjustRightInd w:val="0"/>
      <w:snapToGrid w:val="0"/>
      <w:spacing w:beforeLines="0" w:after="120" w:afterLines="0" w:line="360" w:lineRule="auto"/>
      <w:ind w:left="420" w:leftChars="200" w:firstLine="560" w:firstLineChars="200"/>
      <w:jc w:val="left"/>
    </w:pPr>
    <w:rPr>
      <w:rFonts w:hint="eastAsia" w:ascii="宋体" w:hAnsi="Times New Roman" w:eastAsia="宋体" w:cs="宋体"/>
      <w:kern w:val="2"/>
      <w:sz w:val="28"/>
      <w:szCs w:val="28"/>
      <w:lang w:val="en-US" w:eastAsia="zh-CN" w:bidi="ar-SA"/>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99"/>
    <w:pPr>
      <w:spacing w:before="100" w:beforeAutospacing="1" w:after="100" w:afterAutospacing="1"/>
      <w:jc w:val="left"/>
    </w:pPr>
    <w:rPr>
      <w:rFonts w:ascii="Calibri" w:hAnsi="Calibri" w:eastAsia="宋体"/>
      <w:kern w:val="0"/>
      <w:sz w:val="24"/>
    </w:rPr>
  </w:style>
  <w:style w:type="paragraph" w:styleId="15">
    <w:name w:val="Title"/>
    <w:basedOn w:val="1"/>
    <w:next w:val="1"/>
    <w:qFormat/>
    <w:uiPriority w:val="99"/>
    <w:pPr>
      <w:spacing w:before="240" w:after="60"/>
      <w:jc w:val="center"/>
      <w:outlineLvl w:val="0"/>
    </w:pPr>
    <w:rPr>
      <w:rFonts w:ascii="Arial" w:hAnsi="Arial" w:cs="Arial"/>
      <w:b/>
      <w:bCs/>
    </w:rPr>
  </w:style>
  <w:style w:type="paragraph" w:styleId="16">
    <w:name w:val="Body Text First Indent 2"/>
    <w:basedOn w:val="2"/>
    <w:unhideWhenUsed/>
    <w:qFormat/>
    <w:uiPriority w:val="99"/>
    <w:pPr>
      <w:ind w:firstLine="420" w:firstLine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31"/>
    <w:basedOn w:val="18"/>
    <w:qFormat/>
    <w:uiPriority w:val="0"/>
    <w:rPr>
      <w:rFonts w:hint="eastAsia" w:ascii="宋体" w:hAnsi="宋体" w:eastAsia="宋体" w:cs="宋体"/>
      <w:color w:val="333333"/>
      <w:sz w:val="18"/>
      <w:szCs w:val="18"/>
      <w:u w:val="none"/>
    </w:rPr>
  </w:style>
  <w:style w:type="paragraph" w:customStyle="1" w:styleId="38">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edia/huawei/29E036386C2FDD6F1/&#30005;&#33041;&#26356;&#25442;/&#26417;&#26149;&#38686;/&#39044;&#20915;&#31639;/2025&#24180;&#20915;&#31639;/ls%20/&#20851;&#20110;&#20915;&#31639;&#20316;&#22270;&#30456;&#20851;&#20107;&#23452;&#20165;&#20379;&#21442;&#3277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48728348082"/>
          <c:y val="0.0471354166666667"/>
          <c:w val="0.681026902887139"/>
          <c:h val="0.832619568387285"/>
        </c:manualLayout>
      </c:layout>
      <c:barChart>
        <c:barDir val="col"/>
        <c:grouping val="clustered"/>
        <c:varyColors val="0"/>
        <c:ser>
          <c:idx val="0"/>
          <c:order val="0"/>
          <c:tx>
            <c:strRef>
              <c:f>[关于决算作图相关事宜仅供参考.xlsx]Sheet1!$A$3</c:f>
              <c:strCache>
                <c:ptCount val="1"/>
                <c:pt idx="0">
                  <c:v>2024年</c:v>
                </c:pt>
              </c:strCache>
            </c:strRef>
          </c:tx>
          <c:invertIfNegative val="0"/>
          <c:dLbls>
            <c:dLbl>
              <c:idx val="0"/>
              <c:layout>
                <c:manualLayout>
                  <c:x val="-0.0104587923581091"/>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[关于决算作图相关事宜仅供参考.xlsx]Sheet1!$B$2:$B$2</c:f>
              <c:strCache>
                <c:ptCount val="1"/>
                <c:pt idx="0">
                  <c:v>财政拨款收入、支出决算</c:v>
                </c:pt>
              </c:strCache>
            </c:strRef>
          </c:cat>
          <c:val>
            <c:numRef>
              <c:f>[关于决算作图相关事宜仅供参考.xlsx]Sheet1!$B$3:$B$3</c:f>
              <c:numCache>
                <c:formatCode>#,##0.00</c:formatCode>
                <c:ptCount val="1"/>
                <c:pt idx="0">
                  <c:v>2686.44</c:v>
                </c:pt>
              </c:numCache>
            </c:numRef>
          </c:val>
        </c:ser>
        <c:ser>
          <c:idx val="1"/>
          <c:order val="1"/>
          <c:tx>
            <c:strRef>
              <c:f>[关于决算作图相关事宜仅供参考.xlsx]Sheet1!$A$4</c:f>
              <c:strCache>
                <c:ptCount val="1"/>
                <c:pt idx="0">
                  <c:v>2025年</c:v>
                </c:pt>
              </c:strCache>
            </c:strRef>
          </c:tx>
          <c:invertIfNegative val="0"/>
          <c:dLbls>
            <c:dLbl>
              <c:idx val="0"/>
              <c:layout>
                <c:manualLayout>
                  <c:x val="-0.00418351694324362"/>
                  <c:y val="0.0195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[关于决算作图相关事宜仅供参考.xlsx]Sheet1!$B$2:$B$2</c:f>
              <c:strCache>
                <c:ptCount val="1"/>
                <c:pt idx="0">
                  <c:v>财政拨款收入、支出决算</c:v>
                </c:pt>
              </c:strCache>
            </c:strRef>
          </c:cat>
          <c:val>
            <c:numRef>
              <c:f>[关于决算作图相关事宜仅供参考.xlsx]Sheet1!$B$4:$C$4</c:f>
              <c:numCache>
                <c:formatCode>#,##0.00</c:formatCode>
                <c:ptCount val="2"/>
                <c:pt idx="0">
                  <c:v>1799.62</c:v>
                </c:pt>
              </c:numCache>
            </c:numRef>
          </c:val>
        </c:ser>
        <c:dLbls>
          <c:showLegendKey val="0"/>
          <c:showVal val="0"/>
          <c:showCatName val="0"/>
          <c:showSerName val="0"/>
          <c:showPercent val="0"/>
          <c:showBubbleSize val="0"/>
        </c:dLbls>
        <c:gapWidth val="150"/>
        <c:axId val="207082624"/>
        <c:axId val="207084160"/>
      </c:barChart>
      <c:catAx>
        <c:axId val="2070826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084160"/>
        <c:crosses val="autoZero"/>
        <c:auto val="1"/>
        <c:lblAlgn val="ctr"/>
        <c:lblOffset val="100"/>
        <c:noMultiLvlLbl val="0"/>
      </c:catAx>
      <c:valAx>
        <c:axId val="207084160"/>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08262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0cf5660-8b8f-48f3-a50e-aebcbf72be49}"/>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t>20</a:t>
            </a:r>
            <a:r>
              <a:rPr lang="en-US" altLang="zh-CN"/>
              <a:t>25</a:t>
            </a:r>
            <a:r>
              <a:t>年收入情况         单位：万元</a:t>
            </a:r>
          </a:p>
        </c:rich>
      </c:tx>
      <c:layout>
        <c:manualLayout>
          <c:xMode val="edge"/>
          <c:yMode val="edge"/>
          <c:x val="0.0844489519945911"/>
          <c:y val="0.0257345056830367"/>
        </c:manualLayout>
      </c:layout>
      <c:overlay val="0"/>
      <c:spPr>
        <a:noFill/>
        <a:ln>
          <a:noFill/>
        </a:ln>
        <a:effectLst/>
      </c:spPr>
    </c:title>
    <c:autoTitleDeleted val="0"/>
    <c:plotArea>
      <c:layout/>
      <c:pieChart>
        <c:varyColors val="1"/>
        <c:ser>
          <c:idx val="0"/>
          <c:order val="0"/>
          <c:tx>
            <c:strRef>
              <c:f>[关于决算作图相关事宜仅供参考.xlsx]Sheet1!$H$2</c:f>
              <c:strCache>
                <c:ptCount val="1"/>
                <c:pt idx="0">
                  <c:v>2025年收入情况   单位：万元</c:v>
                </c:pt>
              </c:strCache>
            </c:strRef>
          </c:tx>
          <c:spPr/>
          <c:explosion val="1"/>
          <c:dPt>
            <c:idx val="0"/>
            <c:bubble3D val="0"/>
            <c:explosion val="2"/>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dLbl>
              <c:idx val="1"/>
              <c:layout>
                <c:manualLayout>
                  <c:x val="-0.0205469429605585"/>
                  <c:y val="0.107490044673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654820091635188"/>
                  <c:y val="0.08549569189930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[关于决算作图相关事宜仅供参考.xlsx]Sheet1!$H$3:$H$6</c:f>
              <c:strCache>
                <c:ptCount val="4"/>
                <c:pt idx="0">
                  <c:v>一般公共预算财政拨款收入</c:v>
                </c:pt>
                <c:pt idx="1">
                  <c:v>其他收入</c:v>
                </c:pt>
                <c:pt idx="2">
                  <c:v>政府性基金预算财政拨款收入</c:v>
                </c:pt>
              </c:strCache>
            </c:strRef>
          </c:cat>
          <c:val>
            <c:numRef>
              <c:f>[关于决算作图相关事宜仅供参考.xlsx]Sheet1!$I$3:$I$6</c:f>
              <c:numCache>
                <c:formatCode>#,##0.00</c:formatCode>
                <c:ptCount val="4"/>
                <c:pt idx="0">
                  <c:v>337.64</c:v>
                </c:pt>
                <c:pt idx="2">
                  <c:v>1461.98</c:v>
                </c:pt>
              </c:numCache>
            </c:numRef>
          </c:val>
        </c:ser>
        <c:dLbls>
          <c:showLegendKey val="0"/>
          <c:showVal val="0"/>
          <c:showCatName val="0"/>
          <c:showSerName val="0"/>
          <c:showPercent val="1"/>
          <c:showBubbleSize val="0"/>
          <c:showLeaderLines val="0"/>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0"/>
    <c:dispBlanksAs val="gap"/>
    <c:showDLblsOverMax val="0"/>
    <c:extLst>
      <c:ext uri="{0b15fc19-7d7d-44ad-8c2d-2c3a37ce22c3}">
        <chartProps xmlns="https://web.wps.cn/et/2018/main" chartId="{93751363-02fa-424b-a220-562cc8fd61a4}"/>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年支出情况            </a:t>
            </a:r>
            <a:r>
              <a:rPr lang="zh-CN" altLang="en-US" sz="1000"/>
              <a:t>单位：万元</a:t>
            </a:r>
            <a:endParaRPr lang="zh-CN" altLang="en-US" sz="1000"/>
          </a:p>
        </c:rich>
      </c:tx>
      <c:layout>
        <c:manualLayout>
          <c:xMode val="edge"/>
          <c:yMode val="edge"/>
          <c:x val="0.214610472541507"/>
          <c:y val="0.0305137086902039"/>
        </c:manualLayout>
      </c:layout>
      <c:overlay val="0"/>
    </c:title>
    <c:autoTitleDeleted val="0"/>
    <c:plotArea>
      <c:layout>
        <c:manualLayout>
          <c:layoutTarget val="inner"/>
          <c:xMode val="edge"/>
          <c:yMode val="edge"/>
          <c:x val="0.100756602426838"/>
          <c:y val="0.306165342579919"/>
          <c:w val="0.367560179174605"/>
          <c:h val="0.558213440575881"/>
        </c:manualLayout>
      </c:layout>
      <c:pieChart>
        <c:varyColors val="1"/>
        <c:ser>
          <c:idx val="0"/>
          <c:order val="0"/>
          <c:tx>
            <c:strRef>
              <c:f>[关于决算作图相关事宜仅供参考.xlsx]Sheet1!$H$10</c:f>
              <c:strCache>
                <c:ptCount val="1"/>
                <c:pt idx="0">
                  <c:v>2024年支出情况    单位：万元</c:v>
                </c:pt>
              </c:strCache>
            </c:strRef>
          </c:tx>
          <c:explosion val="0"/>
          <c:dPt>
            <c:idx val="0"/>
            <c:bubble3D val="0"/>
          </c:dPt>
          <c:dPt>
            <c:idx val="1"/>
            <c:bubble3D val="0"/>
          </c:dPt>
          <c:dPt>
            <c:idx val="2"/>
            <c:bubble3D val="0"/>
          </c:dPt>
          <c:dPt>
            <c:idx val="3"/>
            <c:bubble3D val="0"/>
          </c:dPt>
          <c:dPt>
            <c:idx val="4"/>
            <c:bubble3D val="0"/>
          </c:dPt>
          <c:dLbls>
            <c:dLbl>
              <c:idx val="2"/>
              <c:layout/>
              <c:dLblPos val="bestFit"/>
              <c:showLegendKey val="1"/>
              <c:showVal val="1"/>
              <c:showCatName val="1"/>
              <c:showSerName val="1"/>
              <c:showPercent val="1"/>
              <c:showBubbleSize val="1"/>
              <c:extLst>
                <c:ext xmlns:c15="http://schemas.microsoft.com/office/drawing/2012/chart" uri="{CE6537A1-D6FC-4f65-9D91-7224C49458BB}"/>
              </c:extLst>
            </c:dLbl>
            <c:dLbl>
              <c:idx val="3"/>
              <c:layout>
                <c:manualLayout>
                  <c:x val="-0.105379959196749"/>
                  <c:y val="-0.0075372054776186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sz="1000"/>
                      <a:t>20.</a:t>
                    </a:r>
                    <a:endParaRPr lang="en-US" altLang="en-US" sz="1000"/>
                  </a:p>
                  <a:p>
                    <a:pPr>
                      <a:defRPr lang="zh-CN" sz="1000" b="0" i="0" u="none" strike="noStrike" kern="1200" baseline="0">
                        <a:solidFill>
                          <a:schemeClr val="tx1"/>
                        </a:solidFill>
                        <a:latin typeface="+mn-lt"/>
                        <a:ea typeface="+mn-ea"/>
                        <a:cs typeface="+mn-cs"/>
                      </a:defRPr>
                    </a:pPr>
                    <a:r>
                      <a:rPr lang="en-US" altLang="en-US" sz="1000"/>
                      <a:t>97</a:t>
                    </a:r>
                    <a:r>
                      <a:rPr lang="en-US" altLang="zh-CN" sz="1000"/>
                      <a:t>%</a:t>
                    </a:r>
                    <a:endParaRPr lang="en-US" altLang="zh-CN" sz="1000"/>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109109691053072"/>
                  <c:y val="0.014143015025587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79.03</a:t>
                    </a:r>
                    <a:r>
                      <a:rPr lang="en-US" altLang="zh-CN"/>
                      <a:t>%</a:t>
                    </a:r>
                    <a:endParaRPr lang="en-US" altLang="zh-CN"/>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[关于决算作图相关事宜仅供参考.xlsx]Sheet1!$H$11:$H$15</c:f>
              <c:strCache>
                <c:ptCount val="5"/>
                <c:pt idx="0">
                  <c:v>基本支出</c:v>
                </c:pt>
                <c:pt idx="1">
                  <c:v>项目支出</c:v>
                </c:pt>
              </c:strCache>
            </c:strRef>
          </c:cat>
          <c:val>
            <c:numRef>
              <c:f>[关于决算作图相关事宜仅供参考.xlsx]Sheet1!$I$11:$I$15</c:f>
              <c:numCache>
                <c:formatCode>#,##0.00</c:formatCode>
                <c:ptCount val="5"/>
                <c:pt idx="0">
                  <c:v>229.21</c:v>
                </c:pt>
                <c:pt idx="1">
                  <c:v>1570.41</c:v>
                </c:pt>
              </c:numCache>
            </c:numRef>
          </c:val>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ff41c74-03cd-4b4d-ac02-36ae73d05287}"/>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6655383413618"/>
          <c:y val="0.0910739148058721"/>
          <c:w val="0.869361111111111"/>
          <c:h val="0.757608695652174"/>
        </c:manualLayout>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lumMod val="60000"/>
                  <a:lumOff val="40000"/>
                </a:schemeClr>
              </a:solidFill>
              <a:ln>
                <a:noFill/>
              </a:ln>
              <a:effectLst/>
            </c:spPr>
          </c:dPt>
          <c:dPt>
            <c:idx val="3"/>
            <c:invertIfNegative val="0"/>
            <c:bubble3D val="0"/>
            <c:spPr>
              <a:solidFill>
                <a:schemeClr val="accent2">
                  <a:lumMod val="60000"/>
                  <a:lumOff val="40000"/>
                </a:schemeClr>
              </a:solidFill>
              <a:ln>
                <a:no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[关于决算作图相关事宜仅供参考.xlsx]Sheet1!$A$118:$B$121</c:f>
              <c:multiLvlStrCache>
                <c:ptCount val="4"/>
                <c:lvl>
                  <c:pt idx="0">
                    <c:v>财政拨款收入</c:v>
                  </c:pt>
                  <c:pt idx="1">
                    <c:v>财政拨款支出</c:v>
                  </c:pt>
                  <c:pt idx="2">
                    <c:v>财政拨款收入</c:v>
                  </c:pt>
                  <c:pt idx="3">
                    <c:v>财政拨款支出</c:v>
                  </c:pt>
                </c:lvl>
                <c:lvl>
                  <c:pt idx="0">
                    <c:v>2024年</c:v>
                  </c:pt>
                  <c:pt idx="1">
                    <c:v>2024年</c:v>
                  </c:pt>
                  <c:pt idx="2">
                    <c:v>2025年</c:v>
                  </c:pt>
                  <c:pt idx="3">
                    <c:v>2025年</c:v>
                  </c:pt>
                </c:lvl>
              </c:multiLvlStrCache>
            </c:multiLvlStrRef>
          </c:cat>
          <c:val>
            <c:numRef>
              <c:f>[关于决算作图相关事宜仅供参考.xlsx]Sheet1!$C$118:$C$121</c:f>
              <c:numCache>
                <c:formatCode>#,##0.00</c:formatCode>
                <c:ptCount val="4"/>
                <c:pt idx="0">
                  <c:v>2686.44</c:v>
                </c:pt>
                <c:pt idx="1">
                  <c:v>2686.44</c:v>
                </c:pt>
                <c:pt idx="2">
                  <c:v>1799.62</c:v>
                </c:pt>
                <c:pt idx="3">
                  <c:v>1799.62</c:v>
                </c:pt>
              </c:numCache>
            </c:numRef>
          </c:val>
        </c:ser>
        <c:dLbls>
          <c:showLegendKey val="0"/>
          <c:showVal val="1"/>
          <c:showCatName val="0"/>
          <c:showSerName val="0"/>
          <c:showPercent val="0"/>
          <c:showBubbleSize val="0"/>
        </c:dLbls>
        <c:gapWidth val="75"/>
        <c:overlap val="0"/>
        <c:axId val="370026797"/>
        <c:axId val="507572668"/>
      </c:barChart>
      <c:catAx>
        <c:axId val="37002679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572668"/>
        <c:crosses val="autoZero"/>
        <c:auto val="1"/>
        <c:lblAlgn val="ctr"/>
        <c:lblOffset val="100"/>
        <c:noMultiLvlLbl val="0"/>
      </c:catAx>
      <c:valAx>
        <c:axId val="507572668"/>
        <c:scaling>
          <c:orientation val="minMax"/>
        </c:scaling>
        <c:delete val="0"/>
        <c:axPos val="l"/>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026797"/>
        <c:crosses val="autoZero"/>
        <c:crossBetween val="between"/>
      </c:valAx>
      <c:spPr>
        <a:noFill/>
        <a:ln>
          <a:noFill/>
        </a:ln>
        <a:effectLst/>
      </c:spPr>
    </c:plotArea>
    <c:legend>
      <c:legendPos val="b"/>
      <c:layout>
        <c:manualLayout>
          <c:xMode val="edge"/>
          <c:yMode val="edge"/>
          <c:x val="0.493974822917356"/>
          <c:y val="0.0425725173132938"/>
          <c:w val="0.502408540554615"/>
          <c:h val="0.1430887717875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ccd31a1-6433-47ab-8fa7-704b3ebd33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a:t>              一般公共预算财政拨款支出         </a:t>
            </a:r>
            <a:r>
              <a:rPr lang="zh-CN" altLang="en-US" sz="1000"/>
              <a:t>单位：万元</a:t>
            </a:r>
            <a:endParaRPr lang="zh-CN" altLang="en-US" sz="1000"/>
          </a:p>
        </c:rich>
      </c:tx>
      <c:layout>
        <c:manualLayout>
          <c:xMode val="edge"/>
          <c:yMode val="edge"/>
          <c:x val="0.0972777777777778"/>
          <c:y val="0.0277777777777778"/>
        </c:manualLayout>
      </c:layout>
      <c:overlay val="0"/>
      <c:spPr>
        <a:noFill/>
        <a:ln>
          <a:noFill/>
        </a:ln>
        <a:effectLst/>
      </c:spPr>
    </c:title>
    <c:autoTitleDeleted val="0"/>
    <c:plotArea>
      <c:layout>
        <c:manualLayout>
          <c:layoutTarget val="inner"/>
          <c:xMode val="edge"/>
          <c:yMode val="edge"/>
          <c:x val="0.0861209964412811"/>
          <c:y val="0.177220661335639"/>
          <c:w val="0.618505338078292"/>
          <c:h val="0.701318348822131"/>
        </c:manualLayout>
      </c:layout>
      <c:barChart>
        <c:barDir val="col"/>
        <c:grouping val="clustered"/>
        <c:varyColors val="0"/>
        <c:ser>
          <c:idx val="0"/>
          <c:order val="0"/>
          <c:tx>
            <c:strRef>
              <c:f>[关于决算作图相关事宜仅供参考.xlsx]Sheet1!$A$64</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[关于决算作图相关事宜仅供参考.xlsx]Sheet1!$A$65:$A$66</c:f>
              <c:strCache>
                <c:ptCount val="2"/>
                <c:pt idx="0">
                  <c:v>2024年</c:v>
                </c:pt>
                <c:pt idx="1">
                  <c:v>2025年</c:v>
                </c:pt>
              </c:strCache>
            </c:strRef>
          </c:cat>
          <c:val>
            <c:numRef>
              <c:f>[关于决算作图相关事宜仅供参考.xlsx]Sheet1!$B$65:$B$66</c:f>
              <c:numCache>
                <c:formatCode>#,##0.00</c:formatCode>
                <c:ptCount val="2"/>
                <c:pt idx="0">
                  <c:v>795.5</c:v>
                </c:pt>
                <c:pt idx="1">
                  <c:v>337.64</c:v>
                </c:pt>
              </c:numCache>
            </c:numRef>
          </c:val>
        </c:ser>
        <c:dLbls>
          <c:showLegendKey val="0"/>
          <c:showVal val="0"/>
          <c:showCatName val="0"/>
          <c:showSerName val="0"/>
          <c:showPercent val="0"/>
          <c:showBubbleSize val="0"/>
        </c:dLbls>
        <c:gapWidth val="150"/>
        <c:axId val="215623936"/>
        <c:axId val="215625728"/>
      </c:barChart>
      <c:catAx>
        <c:axId val="215623936"/>
        <c:scaling>
          <c:orientation val="minMax"/>
        </c:scaling>
        <c:delete val="0"/>
        <c:axPos val="b"/>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5728"/>
        <c:crosses val="autoZero"/>
        <c:auto val="1"/>
        <c:lblAlgn val="ctr"/>
        <c:lblOffset val="100"/>
        <c:noMultiLvlLbl val="0"/>
      </c:catAx>
      <c:valAx>
        <c:axId val="21562572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0.0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5623936"/>
        <c:crosses val="autoZero"/>
        <c:crossBetween val="between"/>
      </c:valAx>
      <c:spPr>
        <a:solidFill>
          <a:schemeClr val="bg1"/>
        </a:solidFill>
        <a:ln>
          <a:noFill/>
        </a:ln>
        <a:effectLst/>
      </c:spPr>
    </c:plotArea>
    <c:legend>
      <c:legendPos val="r"/>
      <c:layout>
        <c:manualLayout>
          <c:xMode val="edge"/>
          <c:yMode val="edge"/>
          <c:x val="0.722265310586177"/>
          <c:y val="0.493134660250802"/>
          <c:w val="0.252734689413823"/>
          <c:h val="0.139656605424322"/>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a6d375d-6969-4a6a-80d3-25f93e6214e7}"/>
      </c:ext>
    </c:extLst>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年度一般公共预算财政拨款支出                                        </a:t>
            </a:r>
            <a:r>
              <a:rPr lang="en-US" altLang="zh-CN"/>
              <a:t>    </a:t>
            </a:r>
            <a:r>
              <a:t>单位：万元</a:t>
            </a:r>
          </a:p>
        </c:rich>
      </c:tx>
      <c:layout>
        <c:manualLayout>
          <c:xMode val="edge"/>
          <c:yMode val="edge"/>
          <c:x val="0.2444053965941"/>
          <c:y val="0.00881661442006269"/>
        </c:manualLayout>
      </c:layout>
      <c:overlay val="0"/>
      <c:spPr>
        <a:noFill/>
        <a:ln>
          <a:noFill/>
        </a:ln>
        <a:effectLst/>
      </c:spPr>
    </c:title>
    <c:autoTitleDeleted val="0"/>
    <c:plotArea>
      <c:layout/>
      <c:pieChart>
        <c:varyColors val="1"/>
        <c:ser>
          <c:idx val="0"/>
          <c:order val="0"/>
          <c:tx>
            <c:strRef>
              <c:f>[关于决算作图相关事宜仅供参考.xlsx]Sheet1!$A$37</c:f>
              <c:strCache>
                <c:ptCount val="1"/>
                <c:pt idx="0">
                  <c:v>2022年度一般公共预算财政拨款支出</c:v>
                </c:pt>
              </c:strCache>
            </c:strRef>
          </c:tx>
          <c:spPr/>
          <c:explosion val="0"/>
          <c:dPt>
            <c:idx val="0"/>
            <c:bubble3D val="0"/>
            <c:spPr>
              <a:solidFill>
                <a:schemeClr val="accent1">
                  <a:shade val="76667"/>
                </a:schemeClr>
              </a:solidFill>
              <a:ln w="19050">
                <a:solidFill>
                  <a:schemeClr val="lt1"/>
                </a:solidFill>
              </a:ln>
              <a:effectLst/>
            </c:spPr>
          </c:dPt>
          <c:dPt>
            <c:idx val="1"/>
            <c:bubble3D val="0"/>
            <c:explosion val="0"/>
            <c:spPr>
              <a:solidFill>
                <a:schemeClr val="accent2">
                  <a:shade val="76667"/>
                </a:schemeClr>
              </a:solidFill>
              <a:ln w="19050">
                <a:solidFill>
                  <a:schemeClr val="lt1"/>
                </a:solidFill>
              </a:ln>
              <a:effectLst/>
            </c:spPr>
          </c:dPt>
          <c:dPt>
            <c:idx val="2"/>
            <c:bubble3D val="0"/>
            <c:spPr>
              <a:solidFill>
                <a:schemeClr val="accent3">
                  <a:shade val="76667"/>
                </a:schemeClr>
              </a:solidFill>
              <a:ln w="19050">
                <a:solidFill>
                  <a:schemeClr val="lt1"/>
                </a:solidFill>
              </a:ln>
              <a:effectLst/>
            </c:spPr>
          </c:dPt>
          <c:dPt>
            <c:idx val="3"/>
            <c:bubble3D val="0"/>
            <c:spPr>
              <a:solidFill>
                <a:schemeClr val="accent4">
                  <a:shade val="76667"/>
                </a:schemeClr>
              </a:solidFill>
              <a:ln w="19050">
                <a:solidFill>
                  <a:schemeClr val="lt1"/>
                </a:solidFill>
              </a:ln>
              <a:effectLst/>
            </c:spPr>
          </c:dPt>
          <c:dPt>
            <c:idx val="4"/>
            <c:bubble3D val="0"/>
            <c:spPr>
              <a:solidFill>
                <a:schemeClr val="accent5">
                  <a:shade val="76667"/>
                </a:schemeClr>
              </a:solidFill>
              <a:ln w="19050">
                <a:solidFill>
                  <a:schemeClr val="lt1"/>
                </a:solidFill>
              </a:ln>
              <a:effectLst/>
            </c:spPr>
          </c:dPt>
          <c:dPt>
            <c:idx val="5"/>
            <c:bubble3D val="0"/>
            <c:spPr>
              <a:solidFill>
                <a:schemeClr val="accent6">
                  <a:shade val="76667"/>
                </a:schemeClr>
              </a:solidFill>
              <a:ln w="19050">
                <a:solidFill>
                  <a:schemeClr val="lt1"/>
                </a:solidFill>
              </a:ln>
              <a:effectLst/>
            </c:spPr>
          </c:dPt>
          <c:dPt>
            <c:idx val="6"/>
            <c:bubble3D val="0"/>
            <c:spPr>
              <a:solidFill>
                <a:schemeClr val="accent1">
                  <a:tint val="76667"/>
                </a:schemeClr>
              </a:solidFill>
              <a:ln w="19050">
                <a:solidFill>
                  <a:schemeClr val="lt1"/>
                </a:solidFill>
              </a:ln>
              <a:effectLst/>
            </c:spPr>
          </c:dPt>
          <c:dLbls>
            <c:dLbl>
              <c:idx val="0"/>
              <c:layout>
                <c:manualLayout>
                  <c:x val="0.115703521492101"/>
                  <c:y val="0.082532679737735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863253899861104"/>
                  <c:y val="0.12927949728607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68191512649498"/>
                  <c:y val="0.046834187854855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330588909584836"/>
                  <c:y val="0.011779553975227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manualLayout>
                  <c:x val="-0.0555365429803577"/>
                  <c:y val="-0.0524241371525057"/>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6"/>
              <c:layout>
                <c:manualLayout>
                  <c:x val="0.103869774833472"/>
                  <c:y val="0.020440150339476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[关于决算作图相关事宜仅供参考.xlsx]Sheet1!$A$38:$A$44</c:f>
              <c:strCache>
                <c:ptCount val="7"/>
                <c:pt idx="3">
                  <c:v>社会保障和就业支出</c:v>
                </c:pt>
                <c:pt idx="4">
                  <c:v>卫生健康支出</c:v>
                </c:pt>
                <c:pt idx="5">
                  <c:v>粮油物资储备支出</c:v>
                </c:pt>
                <c:pt idx="6">
                  <c:v>住房保障支出</c:v>
                </c:pt>
              </c:strCache>
            </c:strRef>
          </c:cat>
          <c:val>
            <c:numRef>
              <c:f>[关于决算作图相关事宜仅供参考.xlsx]Sheet1!$B$38:$B$44</c:f>
              <c:numCache>
                <c:formatCode>General</c:formatCode>
                <c:ptCount val="7"/>
                <c:pt idx="3" c:formatCode="#,##0.00">
                  <c:v>77.62</c:v>
                </c:pt>
                <c:pt idx="4" c:formatCode="#,##0.00">
                  <c:v>5.73</c:v>
                </c:pt>
                <c:pt idx="5" c:formatCode="#,##0.00">
                  <c:v>242.52</c:v>
                </c:pt>
                <c:pt idx="6" c:formatCode="#,##0.00">
                  <c:v>11.77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a2f56c-cc07-4784-b8b9-20029fdede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ysClr val="windowText" lastClr="000000"/>
                </a:solidFill>
                <a:latin typeface="+mn-lt"/>
                <a:ea typeface="+mn-ea"/>
                <a:cs typeface="+mn-cs"/>
              </a:defRPr>
            </a:pPr>
            <a:r>
              <a:rPr>
                <a:solidFill>
                  <a:sysClr val="windowText" lastClr="000000"/>
                </a:solidFill>
              </a:rPr>
              <a:t>20</a:t>
            </a:r>
            <a:r>
              <a:rPr lang="en-US" altLang="zh-CN">
                <a:solidFill>
                  <a:sysClr val="windowText" lastClr="000000"/>
                </a:solidFill>
              </a:rPr>
              <a:t>25</a:t>
            </a:r>
            <a:r>
              <a:rPr>
                <a:solidFill>
                  <a:sysClr val="windowText" lastClr="000000"/>
                </a:solidFill>
              </a:rPr>
              <a:t>年度“三公”经费财政拨款支出决算</a:t>
            </a:r>
            <a:endParaRPr>
              <a:solidFill>
                <a:sysClr val="windowText" lastClr="000000"/>
              </a:solidFill>
            </a:endParaRPr>
          </a:p>
        </c:rich>
      </c:tx>
      <c:layout>
        <c:manualLayout>
          <c:xMode val="edge"/>
          <c:yMode val="edge"/>
          <c:x val="0.122173626589419"/>
          <c:y val="0.0384465883866544"/>
        </c:manualLayout>
      </c:layout>
      <c:overlay val="0"/>
    </c:title>
    <c:autoTitleDeleted val="0"/>
    <c:plotArea>
      <c:layout>
        <c:manualLayout>
          <c:layoutTarget val="inner"/>
          <c:xMode val="edge"/>
          <c:yMode val="edge"/>
          <c:x val="0.215279812051466"/>
          <c:y val="0.217319079480423"/>
          <c:w val="0.342924398436209"/>
          <c:h val="0.644179933401417"/>
        </c:manualLayout>
      </c:layout>
      <c:pieChart>
        <c:varyColors val="1"/>
        <c:ser>
          <c:idx val="0"/>
          <c:order val="0"/>
          <c:tx>
            <c:strRef>
              <c:f>[关于决算作图相关事宜仅供参考.xlsx]Sheet1!$A$80</c:f>
              <c:strCache>
                <c:ptCount val="1"/>
                <c:pt idx="0">
                  <c:v>20121年度“三公”经费财政拨款支出决算</c:v>
                </c:pt>
              </c:strCache>
            </c:strRef>
          </c:tx>
          <c:explosion val="0"/>
          <c:dPt>
            <c:idx val="0"/>
            <c:bubble3D val="0"/>
          </c:dPt>
          <c:dPt>
            <c:idx val="1"/>
            <c:bubble3D val="0"/>
          </c:dPt>
          <c:dPt>
            <c:idx val="2"/>
            <c:bubble3D val="0"/>
          </c:dPt>
          <c:dPt>
            <c:idx val="3"/>
            <c:bubble3D val="0"/>
          </c:dPt>
          <c:dPt>
            <c:idx val="4"/>
            <c:bubble3D val="0"/>
          </c:dPt>
          <c:dLbls>
            <c:dLbl>
              <c:idx val="1"/>
              <c:layout>
                <c:manualLayout>
                  <c:x val="-0.160878447395301"/>
                  <c:y val="0.0082146768893756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50329447541814"/>
                  <c:y val="0.10268346111719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sz="900"/>
                      <a:t>0.</a:t>
                    </a:r>
                    <a:r>
                      <a:t>94, 31.97%</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[关于决算作图相关事宜仅供参考.xlsx]Sheet1!$A$81:$A$83</c:f>
              <c:strCache>
                <c:ptCount val="3"/>
                <c:pt idx="0">
                  <c:v>因公出国（境）费支出决算</c:v>
                </c:pt>
                <c:pt idx="1">
                  <c:v>公务用车购置及运行维护费支出决算</c:v>
                </c:pt>
                <c:pt idx="2">
                  <c:v>公务接待费支出决算</c:v>
                </c:pt>
              </c:strCache>
            </c:strRef>
          </c:cat>
          <c:val>
            <c:numRef>
              <c:f>[关于决算作图相关事宜仅供参考.xlsx]Sheet1!$B$79:$B$83</c:f>
              <c:numCache>
                <c:formatCode>General</c:formatCode>
                <c:ptCount val="5"/>
                <c:pt idx="2">
                  <c:v>0</c:v>
                </c:pt>
                <c:pt idx="4">
                  <c:v>0.08</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57250792103339"/>
          <c:y val="0.30999465526456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83042b6-b59a-40bc-956d-b8477d18f9b0}"/>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0.88084</cdr:x>
      <cdr:y>0.16146</cdr:y>
    </cdr:from>
    <cdr:to>
      <cdr:x>0.97587</cdr:x>
      <cdr:y>0.25868</cdr:y>
    </cdr:to>
    <cdr:sp>
      <cdr:nvSpPr>
        <cdr:cNvPr id="2" name="矩形 1"/>
        <cdr:cNvSpPr/>
      </cdr:nvSpPr>
      <cdr:spPr xmlns:a="http://schemas.openxmlformats.org/drawingml/2006/main">
        <a:xfrm xmlns:a="http://schemas.openxmlformats.org/drawingml/2006/main">
          <a:off x="5562600" y="442913"/>
          <a:ext cx="600075" cy="26670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0.83861</cdr:x>
      <cdr:y>0.18924</cdr:y>
    </cdr:from>
    <cdr:to>
      <cdr:x>0.98793</cdr:x>
      <cdr:y>0.37326</cdr:y>
    </cdr:to>
    <cdr:sp>
      <cdr:nvSpPr>
        <cdr:cNvPr id="3" name="矩形 2"/>
        <cdr:cNvSpPr/>
      </cdr:nvSpPr>
      <cdr:spPr xmlns:a="http://schemas.openxmlformats.org/drawingml/2006/main">
        <a:xfrm xmlns:a="http://schemas.openxmlformats.org/drawingml/2006/main">
          <a:off x="5295900" y="519112"/>
          <a:ext cx="942975" cy="5048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000"/>
            <a:t>    单位：万元</a:t>
          </a:r>
          <a:endParaRPr lang="en-US" altLang="zh-CN" sz="1000"/>
        </a:p>
        <a:p>
          <a:endParaRPr lang="zh-CN" alt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11571</Words>
  <Characters>13122</Characters>
  <Lines>61</Lines>
  <Paragraphs>17</Paragraphs>
  <TotalTime>0</TotalTime>
  <ScaleCrop>false</ScaleCrop>
  <LinksUpToDate>false</LinksUpToDate>
  <CharactersWithSpaces>13163</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2020-08-06T01:49:00Z</dcterms:created>
  <dc:creator>曹颖</dc:creator>
  <cp:lastModifiedBy>huawei</cp:lastModifiedBy>
  <cp:lastPrinted>2023-08-01T02:35:00Z</cp:lastPrinted>
  <dcterms:modified xsi:type="dcterms:W3CDTF">2026-10-27T17:42:24Z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B5707ABD54B14D45A674CB49BE1D30AE_12</vt:lpwstr>
  </property>
</Properties>
</file>