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0" w:name="_Toc15396475"/>
      <w:bookmarkStart w:id="1" w:name="_Toc15377193"/>
      <w:bookmarkStart w:id="2" w:name="_Toc15377425"/>
      <w:bookmarkStart w:id="3" w:name="_Toc15378441"/>
      <w:bookmarkStart w:id="4" w:name="_Toc15306267"/>
      <w:bookmarkStart w:id="5" w:name="_Toc15396597"/>
    </w:p>
    <w:bookmarkEnd w:id="0"/>
    <w:bookmarkEnd w:id="1"/>
    <w:bookmarkEnd w:id="2"/>
    <w:bookmarkEnd w:id="3"/>
    <w:bookmarkEnd w:id="4"/>
    <w:bookmarkEnd w:id="5"/>
    <w:p>
      <w:pPr>
        <w:pStyle w:val="9"/>
        <w:jc w:val="both"/>
        <w:rPr>
          <w:rFonts w:hint="eastAsia" w:ascii="方正小标宋简体" w:hAnsi="宋体" w:eastAsia="方正小标宋简体" w:cs="Times New Roman"/>
          <w:color w:val="auto"/>
          <w:kern w:val="2"/>
          <w:sz w:val="44"/>
          <w:szCs w:val="44"/>
          <w:highlight w:val="none"/>
          <w:lang w:val="en-US" w:eastAsia="zh-CN" w:bidi="ar-SA"/>
        </w:rPr>
      </w:pPr>
    </w:p>
    <w:p>
      <w:pPr>
        <w:pStyle w:val="9"/>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2024年度</w:t>
      </w:r>
      <w:bookmarkStart w:id="6" w:name="_Toc15306268"/>
    </w:p>
    <w:p>
      <w:pPr>
        <w:pStyle w:val="9"/>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马边彝族自治县民政局单位决算</w:t>
      </w:r>
      <w:bookmarkEnd w:id="6"/>
    </w:p>
    <w:p>
      <w:pPr>
        <w:pStyle w:val="9"/>
        <w:jc w:val="center"/>
        <w:rPr>
          <w:rFonts w:hint="eastAsia" w:ascii="方正小标宋简体" w:hAnsi="宋体" w:eastAsia="方正小标宋简体" w:cs="Times New Roman"/>
          <w:color w:val="auto"/>
          <w:kern w:val="2"/>
          <w:sz w:val="44"/>
          <w:szCs w:val="44"/>
          <w:highlight w:val="none"/>
          <w:lang w:val="en-US" w:eastAsia="zh-CN" w:bidi="ar-SA"/>
        </w:rPr>
      </w:pPr>
    </w:p>
    <w:p>
      <w:pPr>
        <w:widowControl/>
        <w:jc w:val="center"/>
        <w:rPr>
          <w:rFonts w:ascii="Times New Roman" w:hAnsi="Times New Roman" w:eastAsia="黑体"/>
          <w:color w:val="auto"/>
          <w:sz w:val="48"/>
          <w:szCs w:val="48"/>
          <w:highlight w:val="none"/>
        </w:rPr>
      </w:pPr>
      <w:r>
        <w:rPr>
          <w:rFonts w:ascii="Times New Roman" w:hAnsi="Times New Roman" w:eastAsia="方正小标宋简体"/>
          <w:color w:val="auto"/>
          <w:sz w:val="36"/>
          <w:szCs w:val="36"/>
          <w:highlight w:val="none"/>
        </w:rPr>
        <w:br w:type="page"/>
      </w: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25</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24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eastAsia="zh-CN"/>
        </w:rPr>
        <w:t>单位</w:t>
      </w:r>
      <w:r>
        <w:rPr>
          <w:rFonts w:hint="eastAsia" w:ascii="Times New Roman" w:hAnsi="Times New Roman" w:eastAsia="仿宋_GB2312" w:cs="仿宋_GB2312"/>
          <w:color w:val="auto"/>
          <w:sz w:val="32"/>
          <w:szCs w:val="32"/>
          <w:highlight w:val="none"/>
          <w:lang w:eastAsia="zh-CN"/>
        </w:rPr>
        <w:t>职责</w:t>
      </w:r>
      <w:r>
        <w:rPr>
          <w:rFonts w:hint="eastAsia" w:eastAsia="仿宋_GB2312" w:cs="仿宋_GB2312"/>
          <w:color w:val="auto"/>
          <w:sz w:val="32"/>
          <w:szCs w:val="32"/>
          <w:highlight w:val="none"/>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.................................................................5</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2024年度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.........9</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.14</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.........14</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.....................................17</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...............................................................18</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.......................................................................25</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.......................................................................26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bookmarkStart w:id="62" w:name="_GoBack"/>
      <w:bookmarkEnd w:id="62"/>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7" w:name="_Toc15377196"/>
      <w:bookmarkStart w:id="8" w:name="_Toc15396599"/>
      <w:r>
        <w:rPr>
          <w:rFonts w:hint="eastAsia" w:ascii="Times New Roman" w:hAnsi="Times New Roman" w:eastAsia="仿宋_GB2312" w:cs="仿宋_GB2312"/>
          <w:b/>
          <w:color w:val="auto"/>
          <w:sz w:val="32"/>
          <w:szCs w:val="32"/>
          <w:highlight w:val="none"/>
        </w:rPr>
        <w:br w:type="page"/>
      </w:r>
    </w:p>
    <w:p>
      <w:pPr>
        <w:pStyle w:val="5"/>
        <w:jc w:val="center"/>
        <w:rPr>
          <w:rStyle w:val="31"/>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eastAsia="方正小标宋简体" w:cs="方正小标宋简体"/>
          <w:b w:val="0"/>
          <w:bCs w:val="0"/>
          <w:color w:val="auto"/>
          <w:highlight w:val="none"/>
          <w:lang w:eastAsia="zh-CN"/>
        </w:rPr>
        <w:t>单位</w:t>
      </w:r>
      <w:r>
        <w:rPr>
          <w:rStyle w:val="31"/>
          <w:rFonts w:hint="eastAsia" w:ascii="Times New Roman" w:hAnsi="Times New Roman" w:eastAsia="方正小标宋简体" w:cs="方正小标宋简体"/>
          <w:b w:val="0"/>
          <w:bCs w:val="0"/>
          <w:color w:val="auto"/>
          <w:highlight w:val="none"/>
        </w:rPr>
        <w:t>概况</w:t>
      </w:r>
      <w:bookmarkEnd w:id="7"/>
      <w:bookmarkEnd w:id="8"/>
    </w:p>
    <w:p>
      <w:pPr>
        <w:widowControl/>
        <w:jc w:val="left"/>
        <w:rPr>
          <w:rFonts w:ascii="Times New Roman" w:hAnsi="Times New Roman" w:eastAsia="黑体"/>
          <w:color w:val="auto"/>
          <w:sz w:val="32"/>
          <w:szCs w:val="32"/>
          <w:highlight w:val="none"/>
        </w:rPr>
      </w:pPr>
    </w:p>
    <w:p>
      <w:pPr>
        <w:pStyle w:val="6"/>
        <w:numPr>
          <w:ilvl w:val="0"/>
          <w:numId w:val="1"/>
        </w:numPr>
        <w:rPr>
          <w:rStyle w:val="32"/>
          <w:rFonts w:hint="eastAsia" w:ascii="黑体" w:hAnsi="黑体" w:eastAsia="黑体"/>
          <w:b w:val="0"/>
          <w:bCs w:val="0"/>
          <w:color w:val="auto"/>
          <w:highlight w:val="none"/>
          <w:lang w:eastAsia="zh-CN"/>
        </w:rPr>
      </w:pPr>
      <w:r>
        <w:rPr>
          <w:rStyle w:val="32"/>
          <w:rFonts w:hint="eastAsia" w:ascii="黑体" w:hAnsi="黑体" w:eastAsia="黑体"/>
          <w:b w:val="0"/>
          <w:bCs w:val="0"/>
          <w:color w:val="auto"/>
          <w:highlight w:val="none"/>
          <w:lang w:eastAsia="zh-CN"/>
        </w:rPr>
        <w:t>主要职责</w:t>
      </w:r>
    </w:p>
    <w:p>
      <w:pPr>
        <w:pStyle w:val="1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（一）贯彻执行党和国家的民政工作各项方针、政策及法律、法规，拟定民政工作地方性文件和地方性政策措施。编制全县民政事业中、长期发展规划，制定年度工作计划并组织实施和监督检查。</w:t>
      </w:r>
    </w:p>
    <w:p>
      <w:pPr>
        <w:pStyle w:val="1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二）拟定社会救助规划、政策和标准并监督实施；负责城乡居民最低生活保障、特困人员救助供养、临时救助和城乡低收入家庭认定工作；负责生活无着流浪乞讨人员救助工作，承担跨县（市、区）生活无着流浪乞讨人员救助管理和协调工作。</w:t>
      </w:r>
    </w:p>
    <w:p>
      <w:pPr>
        <w:pStyle w:val="1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三）拟定并组织实施社会福利事业发展规划，负责城市社会福利事业单位的管理和社区服务工作；协助管理福彩发行工作；负责管理本级福彩公益金并监督全县福彩公益金的管理使用；负责全县福彩公益金资助项目的审核报批工作；拟定残疾人权益保护政策并组织实施；组织、指导社会捐助工作；指导和推进慈善事业的发展。</w:t>
      </w:r>
    </w:p>
    <w:p>
      <w:pPr>
        <w:pStyle w:val="1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（四）拟订养老服务体系建设规划、政策、标准并组织实施,承担老年人福利和特殊困难老年人救助工作;协调推进农村留守老年人关爱服务工作,承担城乡老年社会组织管理工作; 承担特困人员、孤老(儿)和残疾人等特殊群体权益保障工作。</w:t>
      </w:r>
      <w:r>
        <w:rPr>
          <w:rFonts w:hint="eastAsia" w:ascii="仿宋" w:hAnsi="仿宋" w:eastAsia="仿宋" w:cs="Times New Roman"/>
          <w:kern w:val="2"/>
          <w:sz w:val="32"/>
          <w:szCs w:val="32"/>
          <w:lang w:val="en-US" w:eastAsia="zh-CN" w:bidi="ar-SA"/>
        </w:rPr>
        <w:br w:type="textWrapping"/>
      </w:r>
      <w:r>
        <w:rPr>
          <w:rFonts w:hint="eastAsia" w:ascii="仿宋" w:hAnsi="仿宋" w:eastAsia="仿宋" w:cs="Times New Roman"/>
          <w:kern w:val="2"/>
          <w:sz w:val="32"/>
          <w:szCs w:val="32"/>
          <w:lang w:val="en-US" w:eastAsia="zh-CN" w:bidi="ar-SA"/>
        </w:rPr>
        <w:t xml:space="preserve">    （五）拟订城乡基层群众自治组织建设和社区治理政策意见并指导实施，指导村(居)委员会民主选举、民主决策、民主管理和民主监督工作，推动村务公开和基层民主政治建设； 研究提出加强和改进城乡基层政权建设的建议；指导修订村规民约；开展依法治村；配合做好乡村振兴工作。</w:t>
      </w:r>
      <w:r>
        <w:rPr>
          <w:rFonts w:hint="eastAsia" w:ascii="仿宋" w:hAnsi="仿宋" w:eastAsia="仿宋" w:cs="Times New Roman"/>
          <w:kern w:val="2"/>
          <w:sz w:val="32"/>
          <w:szCs w:val="32"/>
          <w:lang w:val="en-US" w:eastAsia="zh-CN" w:bidi="ar-SA"/>
        </w:rPr>
        <w:br w:type="textWrapping"/>
      </w:r>
      <w:r>
        <w:rPr>
          <w:rFonts w:hint="eastAsia" w:ascii="仿宋" w:hAnsi="仿宋" w:eastAsia="仿宋" w:cs="Times New Roman"/>
          <w:kern w:val="2"/>
          <w:sz w:val="32"/>
          <w:szCs w:val="32"/>
          <w:lang w:val="en-US" w:eastAsia="zh-CN" w:bidi="ar-SA"/>
        </w:rPr>
        <w:t xml:space="preserve">    （六）拟订全县行政区划管理政策和行政区域界线、地名管理办法，负责乡镇的设立、 撤销、变更和政府驻地迁移以及地名命名、更名的审核报批工作； 组织与邻县行政区域界线的勘定和管理工作；指导乡镇行政区域界线勘定工作; 承办县、乡镇边界纠纷调处工作; 负责地名标志设置和管理工作; 负责全县标准地名图书资料的收集,审定和保管。</w:t>
      </w:r>
    </w:p>
    <w:p>
      <w:pPr>
        <w:pStyle w:val="1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（七）指导全县婚姻登记工作，推进婚俗改革; 负责殡葬管理工作，推进殡葬改革。</w:t>
      </w:r>
      <w:r>
        <w:rPr>
          <w:rFonts w:hint="eastAsia" w:ascii="仿宋" w:hAnsi="仿宋" w:eastAsia="仿宋" w:cs="Times New Roman"/>
          <w:kern w:val="2"/>
          <w:sz w:val="32"/>
          <w:szCs w:val="32"/>
          <w:lang w:val="en-US" w:eastAsia="zh-CN" w:bidi="ar-SA"/>
        </w:rPr>
        <w:br w:type="textWrapping"/>
      </w:r>
      <w:r>
        <w:rPr>
          <w:rFonts w:hint="eastAsia" w:ascii="仿宋" w:hAnsi="仿宋" w:eastAsia="仿宋" w:cs="Times New Roman"/>
          <w:kern w:val="2"/>
          <w:sz w:val="32"/>
          <w:szCs w:val="32"/>
          <w:lang w:val="en-US" w:eastAsia="zh-CN" w:bidi="ar-SA"/>
        </w:rPr>
        <w:t xml:space="preserve">    （八）负责依法对全县社会团体、民办非企业单位的登记管理和监督管理；负责社会团体的行政复议工作。</w:t>
      </w:r>
      <w:r>
        <w:rPr>
          <w:rFonts w:hint="eastAsia" w:ascii="仿宋" w:hAnsi="仿宋" w:eastAsia="仿宋" w:cs="Times New Roman"/>
          <w:kern w:val="2"/>
          <w:sz w:val="32"/>
          <w:szCs w:val="32"/>
          <w:lang w:val="en-US" w:eastAsia="zh-CN" w:bidi="ar-SA"/>
        </w:rPr>
        <w:br w:type="textWrapping"/>
      </w:r>
      <w:r>
        <w:rPr>
          <w:rFonts w:hint="eastAsia" w:ascii="仿宋" w:hAnsi="仿宋" w:eastAsia="仿宋" w:cs="Times New Roman"/>
          <w:kern w:val="2"/>
          <w:sz w:val="32"/>
          <w:szCs w:val="32"/>
          <w:lang w:val="en-US" w:eastAsia="zh-CN" w:bidi="ar-SA"/>
        </w:rPr>
        <w:t xml:space="preserve">    （九）会同有关部门拟订全县社会工作、志愿服务发展规划、政策和职业规范，推进社会工作人才队伍建设和志愿者队伍建设。</w:t>
      </w:r>
      <w:r>
        <w:rPr>
          <w:rFonts w:hint="eastAsia" w:ascii="仿宋" w:hAnsi="仿宋" w:eastAsia="仿宋" w:cs="Times New Roman"/>
          <w:kern w:val="2"/>
          <w:sz w:val="32"/>
          <w:szCs w:val="32"/>
          <w:lang w:val="en-US" w:eastAsia="zh-CN" w:bidi="ar-SA"/>
        </w:rPr>
        <w:br w:type="textWrapping"/>
      </w:r>
      <w:r>
        <w:rPr>
          <w:rFonts w:hint="eastAsia" w:ascii="仿宋" w:hAnsi="仿宋" w:eastAsia="仿宋" w:cs="Times New Roman"/>
          <w:kern w:val="2"/>
          <w:sz w:val="32"/>
          <w:szCs w:val="32"/>
          <w:lang w:val="en-US" w:eastAsia="zh-CN" w:bidi="ar-SA"/>
        </w:rPr>
        <w:t xml:space="preserve">    （十）指导、监督民政事业经费的使用和管理，负责民政统计管理工作。</w:t>
      </w:r>
      <w:r>
        <w:rPr>
          <w:rFonts w:hint="eastAsia" w:ascii="仿宋" w:hAnsi="仿宋" w:eastAsia="仿宋" w:cs="Times New Roman"/>
          <w:kern w:val="2"/>
          <w:sz w:val="32"/>
          <w:szCs w:val="32"/>
          <w:lang w:val="en-US" w:eastAsia="zh-CN" w:bidi="ar-SA"/>
        </w:rPr>
        <w:br w:type="textWrapping"/>
      </w:r>
      <w:r>
        <w:rPr>
          <w:rFonts w:hint="eastAsia" w:ascii="仿宋" w:hAnsi="仿宋" w:eastAsia="仿宋" w:cs="Times New Roman"/>
          <w:kern w:val="2"/>
          <w:sz w:val="32"/>
          <w:szCs w:val="32"/>
          <w:lang w:val="en-US" w:eastAsia="zh-CN" w:bidi="ar-SA"/>
        </w:rPr>
        <w:t xml:space="preserve">    （十一）拟订儿童福利、孤弃儿童保障、儿童收养登记、儿童救助保护工作政策和标准；负责农村留守儿童关爱服务体系建设和困境儿童保障工作；负责生活无着流浪乞讨未成年人救助保护工作。</w:t>
      </w:r>
    </w:p>
    <w:p>
      <w:pPr>
        <w:pStyle w:val="1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（十二）依法依规负责康复辅助器具行业和社会福利、养老服务、殡葬服务、救助管理机构安全生产监督管理工作。 负责职责范围内的安全生产和职业健康、生态环境保护、审批服务便民化等工作。</w:t>
      </w:r>
      <w:r>
        <w:rPr>
          <w:rFonts w:hint="eastAsia" w:ascii="仿宋" w:hAnsi="仿宋" w:eastAsia="仿宋" w:cs="Times New Roman"/>
          <w:kern w:val="2"/>
          <w:sz w:val="32"/>
          <w:szCs w:val="32"/>
          <w:lang w:val="en-US" w:eastAsia="zh-CN" w:bidi="ar-SA"/>
        </w:rPr>
        <w:br w:type="textWrapping"/>
      </w:r>
      <w:r>
        <w:rPr>
          <w:rFonts w:hint="eastAsia" w:ascii="仿宋" w:hAnsi="仿宋" w:eastAsia="仿宋" w:cs="Times New Roman"/>
          <w:kern w:val="2"/>
          <w:sz w:val="32"/>
          <w:szCs w:val="32"/>
          <w:lang w:val="en-US" w:eastAsia="zh-CN" w:bidi="ar-SA"/>
        </w:rPr>
        <w:t xml:space="preserve">    （十三）完成县委、县政府交办的其它任务。</w:t>
      </w:r>
      <w:r>
        <w:rPr>
          <w:rFonts w:hint="eastAsia" w:ascii="仿宋" w:hAnsi="仿宋" w:eastAsia="仿宋" w:cs="Times New Roman"/>
          <w:kern w:val="2"/>
          <w:sz w:val="32"/>
          <w:szCs w:val="32"/>
          <w:lang w:val="en-US" w:eastAsia="zh-CN" w:bidi="ar-SA"/>
        </w:rPr>
        <w:br w:type="textWrapping"/>
      </w:r>
      <w:r>
        <w:rPr>
          <w:rFonts w:hint="eastAsia" w:ascii="仿宋" w:hAnsi="仿宋" w:eastAsia="仿宋" w:cs="Times New Roman"/>
          <w:kern w:val="2"/>
          <w:sz w:val="32"/>
          <w:szCs w:val="32"/>
          <w:lang w:val="en-US" w:eastAsia="zh-CN" w:bidi="ar-SA"/>
        </w:rPr>
        <w:t xml:space="preserve">    （十四）职能转变。 县民政局应强化基本民生保障职能,为困难群众、孤老孤残孤儿等特殊群众提供基本社会服务,促进资源向薄弱地区、领域和环节倾斜。 积极培育社会组织、社会工作者等多元参与主体,推动搭建基层社会治理和社区公共服务平台。</w:t>
      </w:r>
    </w:p>
    <w:p>
      <w:pPr>
        <w:pStyle w:val="1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（十五）有关职责分工.</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lang w:eastAsia="zh-CN"/>
        </w:rPr>
      </w:pPr>
      <w:r>
        <w:rPr>
          <w:rFonts w:hint="eastAsia" w:ascii="仿宋" w:hAnsi="仿宋" w:eastAsia="仿宋" w:cs="Times New Roman"/>
          <w:color w:val="auto"/>
          <w:kern w:val="2"/>
          <w:sz w:val="32"/>
          <w:szCs w:val="32"/>
          <w:lang w:val="en-US" w:eastAsia="zh-CN" w:bidi="ar-SA"/>
        </w:rPr>
        <w:t>与县卫生健康局的有关职责分工。县民政局负责统筹推进、督促指导、监督管理养老服务工作，拟订养老服务体系建设规划、政策标准并组织实施，承担老年人福利和特殊困难老年人救助工作。县卫生健康局负责拟订应对人口老龄化、医养结合政策措施，综合协调、督促指导、组织推进老龄健康事业发展，承担老年疾病防治、老年人医疗照护、老年人心理健康与关怀服务等老年健康工作。</w:t>
      </w:r>
    </w:p>
    <w:p>
      <w:pPr>
        <w:pStyle w:val="6"/>
        <w:rPr>
          <w:rStyle w:val="32"/>
          <w:rFonts w:ascii="Times New Roman" w:hAnsi="Times New Roman"/>
          <w:b w:val="0"/>
          <w:bCs w:val="0"/>
          <w:color w:val="auto"/>
          <w:highlight w:val="none"/>
        </w:rPr>
      </w:pPr>
      <w:bookmarkStart w:id="9" w:name="_Toc15396601"/>
      <w:bookmarkStart w:id="10" w:name="_Toc15377200"/>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9"/>
      <w:bookmarkEnd w:id="10"/>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县民政局</w:t>
      </w:r>
      <w:r>
        <w:rPr>
          <w:rFonts w:hint="eastAsia" w:ascii="仿宋" w:hAnsi="仿宋" w:eastAsia="仿宋"/>
          <w:color w:val="auto"/>
          <w:sz w:val="32"/>
          <w:szCs w:val="32"/>
          <w:highlight w:val="none"/>
        </w:rPr>
        <w:t>下属二级</w:t>
      </w:r>
      <w:r>
        <w:rPr>
          <w:rFonts w:hint="eastAsia" w:ascii="仿宋" w:hAnsi="仿宋" w:eastAsia="仿宋"/>
          <w:color w:val="auto"/>
          <w:sz w:val="32"/>
          <w:szCs w:val="32"/>
          <w:highlight w:val="none"/>
          <w:lang w:eastAsia="zh-CN"/>
        </w:rPr>
        <w:t>预算</w:t>
      </w:r>
      <w:r>
        <w:rPr>
          <w:rFonts w:hint="eastAsia" w:ascii="仿宋" w:hAnsi="仿宋" w:eastAsia="仿宋"/>
          <w:color w:val="auto"/>
          <w:sz w:val="32"/>
          <w:szCs w:val="32"/>
          <w:highlight w:val="none"/>
        </w:rPr>
        <w:t>单位</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个，其中行政单位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个，其他事业单位</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个。</w:t>
      </w:r>
    </w:p>
    <w:p>
      <w:pPr>
        <w:widowControl/>
        <w:ind w:firstLine="640" w:firstLineChars="200"/>
        <w:jc w:val="left"/>
        <w:rPr>
          <w:rFonts w:ascii="Times New Roman" w:hAnsi="Times New Roman" w:eastAsia="仿宋"/>
          <w:color w:val="auto"/>
          <w:kern w:val="0"/>
          <w:sz w:val="32"/>
          <w:szCs w:val="32"/>
          <w:highlight w:val="none"/>
        </w:rPr>
      </w:pPr>
      <w:r>
        <w:rPr>
          <w:rFonts w:hint="eastAsia" w:ascii="仿宋" w:hAnsi="仿宋" w:eastAsia="仿宋" w:cs="Times New Roman"/>
          <w:color w:val="auto"/>
          <w:sz w:val="32"/>
          <w:szCs w:val="32"/>
          <w:highlight w:val="none"/>
          <w:lang w:eastAsia="zh-CN"/>
        </w:rPr>
        <w:t>民政局202</w:t>
      </w:r>
      <w:r>
        <w:rPr>
          <w:rFonts w:hint="eastAsia" w:ascii="仿宋" w:hAnsi="仿宋" w:eastAsia="仿宋" w:cs="Times New Roman"/>
          <w:color w:val="auto"/>
          <w:sz w:val="32"/>
          <w:szCs w:val="32"/>
          <w:highlight w:val="none"/>
          <w:lang w:val="en-US" w:eastAsia="zh-CN"/>
        </w:rPr>
        <w:t>4</w:t>
      </w:r>
      <w:r>
        <w:rPr>
          <w:rFonts w:hint="eastAsia" w:ascii="仿宋" w:hAnsi="仿宋" w:eastAsia="仿宋" w:cs="Times New Roman"/>
          <w:color w:val="auto"/>
          <w:sz w:val="32"/>
          <w:szCs w:val="32"/>
          <w:highlight w:val="none"/>
          <w:lang w:eastAsia="zh-CN"/>
        </w:rPr>
        <w:t>年度没有单独核算的二级预算单位。</w:t>
      </w:r>
      <w:r>
        <w:rPr>
          <w:rFonts w:ascii="Times New Roman" w:hAnsi="Times New Roman" w:eastAsia="仿宋"/>
          <w:color w:val="auto"/>
          <w:sz w:val="32"/>
          <w:szCs w:val="32"/>
          <w:highlight w:val="none"/>
        </w:rPr>
        <w:br w:type="page"/>
      </w:r>
    </w:p>
    <w:p>
      <w:pPr>
        <w:pStyle w:val="5"/>
        <w:jc w:val="center"/>
        <w:rPr>
          <w:rFonts w:hint="eastAsia" w:ascii="Times New Roman" w:hAnsi="Times New Roman" w:eastAsia="方正小标宋简体" w:cs="方正小标宋简体"/>
          <w:b w:val="0"/>
          <w:color w:val="auto"/>
          <w:highlight w:val="none"/>
        </w:rPr>
      </w:pPr>
      <w:bookmarkStart w:id="11" w:name="_Toc15396602"/>
      <w:bookmarkStart w:id="12"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2024年度</w:t>
      </w:r>
      <w:r>
        <w:rPr>
          <w:rFonts w:hint="eastAsia" w:eastAsia="方正小标宋简体" w:cs="方正小标宋简体"/>
          <w:b w:val="0"/>
          <w:color w:val="auto"/>
          <w:highlight w:val="none"/>
          <w:lang w:eastAsia="zh-CN"/>
        </w:rPr>
        <w:t>单位</w:t>
      </w:r>
      <w:r>
        <w:rPr>
          <w:rFonts w:hint="eastAsia" w:ascii="Times New Roman" w:hAnsi="Times New Roman" w:eastAsia="方正小标宋简体" w:cs="方正小标宋简体"/>
          <w:b w:val="0"/>
          <w:color w:val="auto"/>
          <w:highlight w:val="none"/>
        </w:rPr>
        <w:t>决算情况说明</w:t>
      </w:r>
      <w:bookmarkEnd w:id="11"/>
      <w:bookmarkEnd w:id="12"/>
    </w:p>
    <w:p>
      <w:pPr>
        <w:rPr>
          <w:rFonts w:ascii="Times New Roman" w:hAnsi="Times New Roman"/>
          <w:color w:val="auto"/>
          <w:highlight w:val="none"/>
        </w:rPr>
      </w:pP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3" w:name="_Toc15396603"/>
      <w:bookmarkStart w:id="14"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3"/>
      <w:bookmarkEnd w:id="14"/>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2024年度收入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Times New Roman" w:hAnsi="Times New Roman" w:eastAsia="仿宋_GB2312" w:cs="仿宋_GB2312"/>
          <w:color w:val="auto"/>
          <w:sz w:val="32"/>
          <w:szCs w:val="32"/>
          <w:highlight w:val="none"/>
        </w:rPr>
        <w:t>14845.37万元。与</w:t>
      </w: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855.3</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5.45</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中省项目资金减少。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0000" cy="3810000"/>
            <wp:effectExtent l="4445" t="4445" r="2095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5" w:name="_Toc15377206"/>
      <w:bookmarkStart w:id="16" w:name="_Toc15396604"/>
      <w:r>
        <w:rPr>
          <w:rFonts w:hint="eastAsia" w:ascii="Times New Roman" w:hAnsi="Times New Roman" w:eastAsia="黑体"/>
          <w:color w:val="auto"/>
          <w:sz w:val="32"/>
          <w:szCs w:val="32"/>
          <w:highlight w:val="none"/>
          <w:lang w:eastAsia="zh-CN"/>
        </w:rPr>
        <w:t>二、收入决算情况说明</w:t>
      </w:r>
      <w:bookmarkEnd w:id="15"/>
      <w:bookmarkEnd w:id="16"/>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2024年度本年收入合计</w:t>
      </w:r>
      <w:r>
        <w:rPr>
          <w:rFonts w:hint="eastAsia" w:ascii="Times New Roman" w:hAnsi="Times New Roman" w:eastAsia="仿宋_GB2312" w:cs="仿宋_GB2312"/>
          <w:color w:val="auto"/>
          <w:sz w:val="32"/>
          <w:szCs w:val="32"/>
          <w:highlight w:val="none"/>
        </w:rPr>
        <w:t>14797.45</w:t>
      </w:r>
      <w:r>
        <w:rPr>
          <w:rFonts w:hint="eastAsia" w:ascii="仿宋_GB2312" w:hAnsi="仿宋_GB2312" w:eastAsia="仿宋_GB2312" w:cs="仿宋_GB2312"/>
          <w:sz w:val="32"/>
          <w:szCs w:val="32"/>
        </w:rPr>
        <w:t>万元，其中：一般公共预算财政拨款收入</w:t>
      </w:r>
      <w:r>
        <w:rPr>
          <w:rFonts w:hint="eastAsia" w:ascii="Times New Roman" w:hAnsi="Times New Roman" w:eastAsia="仿宋_GB2312" w:cs="仿宋_GB2312"/>
          <w:color w:val="auto"/>
          <w:sz w:val="32"/>
          <w:szCs w:val="32"/>
          <w:highlight w:val="none"/>
        </w:rPr>
        <w:t>14343.2</w:t>
      </w:r>
      <w:r>
        <w:rPr>
          <w:rFonts w:hint="eastAsia"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96.93</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lang w:eastAsia="zh-CN"/>
        </w:rPr>
        <w:t>454.16万元</w:t>
      </w:r>
      <w:r>
        <w:rPr>
          <w:rFonts w:hint="eastAsia" w:ascii="仿宋_GB2312" w:hAnsi="仿宋_GB2312" w:eastAsia="仿宋_GB2312" w:cs="仿宋_GB2312"/>
          <w:color w:val="auto"/>
          <w:sz w:val="32"/>
          <w:szCs w:val="32"/>
          <w:highlight w:val="none"/>
          <w:lang w:eastAsia="zh-CN"/>
        </w:rPr>
        <w:t>，占</w:t>
      </w:r>
      <w:r>
        <w:rPr>
          <w:rFonts w:hint="eastAsia" w:ascii="仿宋_GB2312" w:hAnsi="仿宋_GB2312" w:eastAsia="仿宋_GB2312" w:cs="仿宋_GB2312"/>
          <w:sz w:val="32"/>
          <w:szCs w:val="32"/>
          <w:lang w:val="en-US" w:eastAsia="zh-CN"/>
        </w:rPr>
        <w:t>3.07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highlight w:val="none"/>
          <w:lang w:eastAsia="zh-CN"/>
        </w:rPr>
        <w:t>。</w:t>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pStyle w:val="22"/>
        <w:rPr>
          <w:rFonts w:hint="eastAsia"/>
          <w:lang w:eastAsia="zh-CN"/>
        </w:rPr>
      </w:pPr>
      <w:r>
        <w:rPr>
          <w:rFonts w:hint="eastAsia"/>
          <w:lang w:eastAsia="zh-CN"/>
        </w:rPr>
        <w:drawing>
          <wp:inline distT="0" distB="0" distL="114300" distR="114300">
            <wp:extent cx="5279390" cy="4180840"/>
            <wp:effectExtent l="4445" t="4445" r="12065" b="571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ind w:firstLine="800" w:firstLineChars="250"/>
        <w:rPr>
          <w:rFonts w:hint="eastAsia" w:ascii="Times New Roman" w:hAnsi="Times New Roman" w:eastAsia="仿宋_GB2312" w:cs="仿宋_GB2312"/>
          <w:color w:val="auto"/>
          <w:sz w:val="32"/>
          <w:szCs w:val="32"/>
          <w:highlight w:val="none"/>
          <w:lang w:eastAsia="zh-CN"/>
        </w:rPr>
      </w:pP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7" w:name="_Toc15396605"/>
      <w:bookmarkStart w:id="18"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17"/>
      <w:bookmarkEnd w:id="18"/>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2024年度本年支出合计</w:t>
      </w:r>
      <w:r>
        <w:rPr>
          <w:rFonts w:hint="eastAsia" w:ascii="Times New Roman" w:hAnsi="Times New Roman" w:eastAsia="仿宋_GB2312" w:cs="仿宋_GB2312"/>
          <w:color w:val="auto"/>
          <w:sz w:val="32"/>
          <w:szCs w:val="32"/>
          <w:highlight w:val="none"/>
        </w:rPr>
        <w:t>14845.37</w:t>
      </w:r>
      <w:r>
        <w:rPr>
          <w:rFonts w:hint="eastAsia" w:ascii="仿宋_GB2312" w:hAnsi="仿宋_GB2312" w:eastAsia="仿宋_GB2312" w:cs="仿宋_GB2312"/>
          <w:color w:val="auto"/>
          <w:sz w:val="32"/>
          <w:szCs w:val="32"/>
          <w:highlight w:val="none"/>
          <w:lang w:eastAsia="zh-CN"/>
        </w:rPr>
        <w:t>万元，其中：基本支出</w:t>
      </w:r>
      <w:r>
        <w:rPr>
          <w:rFonts w:hint="eastAsia" w:ascii="Times New Roman" w:hAnsi="Times New Roman" w:eastAsia="仿宋_GB2312" w:cs="仿宋_GB2312"/>
          <w:color w:val="auto"/>
          <w:sz w:val="32"/>
          <w:szCs w:val="32"/>
          <w:highlight w:val="none"/>
        </w:rPr>
        <w:t>682.4</w:t>
      </w:r>
      <w:r>
        <w:rPr>
          <w:rFonts w:hint="eastAsia"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4.6</w:t>
      </w:r>
      <w:r>
        <w:rPr>
          <w:rFonts w:hint="eastAsia" w:ascii="仿宋_GB2312" w:hAnsi="仿宋_GB2312" w:eastAsia="仿宋_GB2312" w:cs="仿宋_GB2312"/>
          <w:color w:val="auto"/>
          <w:sz w:val="32"/>
          <w:szCs w:val="32"/>
          <w:highlight w:val="none"/>
          <w:lang w:eastAsia="zh-CN"/>
        </w:rPr>
        <w:t>%；项目支出</w:t>
      </w:r>
      <w:r>
        <w:rPr>
          <w:rFonts w:hint="eastAsia" w:ascii="Times New Roman" w:hAnsi="Times New Roman" w:eastAsia="仿宋_GB2312" w:cs="仿宋_GB2312"/>
          <w:color w:val="auto"/>
          <w:sz w:val="32"/>
          <w:szCs w:val="32"/>
          <w:highlight w:val="none"/>
        </w:rPr>
        <w:t>14162.8</w:t>
      </w:r>
      <w:r>
        <w:rPr>
          <w:rFonts w:hint="eastAsia"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95.4</w:t>
      </w:r>
      <w:r>
        <w:rPr>
          <w:rFonts w:hint="eastAsia" w:ascii="仿宋_GB2312" w:hAnsi="仿宋_GB2312" w:eastAsia="仿宋_GB2312" w:cs="仿宋_GB2312"/>
          <w:color w:val="auto"/>
          <w:sz w:val="32"/>
          <w:szCs w:val="32"/>
          <w:highlight w:val="none"/>
          <w:lang w:eastAsia="zh-CN"/>
        </w:rPr>
        <w:t>%。</w:t>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0000" cy="3810000"/>
            <wp:effectExtent l="4445" t="4445" r="20955" b="1460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line="600" w:lineRule="exact"/>
        <w:ind w:firstLine="640" w:firstLineChars="200"/>
        <w:outlineLvl w:val="1"/>
        <w:rPr>
          <w:rStyle w:val="32"/>
          <w:rFonts w:ascii="Times New Roman" w:hAnsi="Times New Roman" w:eastAsia="黑体"/>
          <w:b w:val="0"/>
          <w:color w:val="auto"/>
          <w:highlight w:val="none"/>
        </w:rPr>
      </w:pPr>
      <w:bookmarkStart w:id="19" w:name="_Toc15396606"/>
      <w:bookmarkStart w:id="20" w:name="_Toc15377208"/>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19"/>
      <w:bookmarkEnd w:id="2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2024年度财政拨款收入、支出总计均为</w:t>
      </w:r>
      <w:r>
        <w:rPr>
          <w:rFonts w:hint="eastAsia" w:ascii="Times New Roman" w:hAnsi="Times New Roman" w:eastAsia="仿宋_GB2312" w:cs="仿宋_GB2312"/>
          <w:color w:val="auto"/>
          <w:sz w:val="32"/>
          <w:szCs w:val="32"/>
          <w:highlight w:val="none"/>
        </w:rPr>
        <w:t>14845.37</w:t>
      </w:r>
      <w:r>
        <w:rPr>
          <w:rFonts w:hint="eastAsia" w:ascii="Times New Roman" w:hAnsi="Times New Roman" w:eastAsia="仿宋_GB2312" w:cs="仿宋_GB2312"/>
          <w:color w:val="auto"/>
          <w:kern w:val="2"/>
          <w:sz w:val="32"/>
          <w:szCs w:val="32"/>
          <w:highlight w:val="none"/>
          <w:lang w:val="en-US" w:eastAsia="zh-CN" w:bidi="ar-SA"/>
        </w:rPr>
        <w:t>万元。与2023年度相比，财政拨款收入总计、支出总计各减少</w:t>
      </w:r>
      <w:r>
        <w:rPr>
          <w:rFonts w:hint="eastAsia" w:eastAsia="仿宋_GB2312" w:cs="仿宋_GB2312"/>
          <w:color w:val="auto"/>
          <w:sz w:val="32"/>
          <w:szCs w:val="32"/>
          <w:highlight w:val="none"/>
          <w:lang w:val="en-US" w:eastAsia="zh-CN"/>
        </w:rPr>
        <w:t>855.3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5.45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中省项目资金减少。</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2"/>
        <w:rPr>
          <w:rFonts w:hint="eastAsia"/>
          <w:lang w:val="en-US" w:eastAsia="zh-CN"/>
        </w:rPr>
      </w:pPr>
      <w:r>
        <w:rPr>
          <w:rFonts w:hint="eastAsia"/>
          <w:lang w:val="en-US" w:eastAsia="zh-CN"/>
        </w:rPr>
        <w:drawing>
          <wp:inline distT="0" distB="0" distL="114300" distR="114300">
            <wp:extent cx="5375275" cy="3886200"/>
            <wp:effectExtent l="4445" t="4445" r="11430" b="1460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640" w:firstLineChars="200"/>
        <w:outlineLvl w:val="1"/>
        <w:rPr>
          <w:rStyle w:val="32"/>
          <w:rFonts w:ascii="Times New Roman" w:hAnsi="Times New Roman" w:eastAsia="黑体"/>
          <w:b w:val="0"/>
          <w:color w:val="auto"/>
          <w:highlight w:val="none"/>
        </w:rPr>
      </w:pPr>
      <w:bookmarkStart w:id="21" w:name="_Toc15377209"/>
      <w:bookmarkStart w:id="22"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1"/>
      <w:bookmarkEnd w:id="22"/>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3"/>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2024年度一般公共预算财政拨款支出</w:t>
      </w:r>
      <w:r>
        <w:rPr>
          <w:rFonts w:hint="eastAsia" w:ascii="Times New Roman" w:hAnsi="Times New Roman" w:eastAsia="仿宋_GB2312" w:cs="仿宋_GB2312"/>
          <w:color w:val="auto"/>
          <w:sz w:val="32"/>
          <w:szCs w:val="32"/>
          <w:highlight w:val="none"/>
        </w:rPr>
        <w:t>14391.20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sz w:val="32"/>
          <w:szCs w:val="32"/>
          <w:highlight w:val="none"/>
          <w:lang w:val="en-US" w:eastAsia="zh-CN"/>
        </w:rPr>
        <w:t>96.94</w:t>
      </w:r>
      <w:r>
        <w:rPr>
          <w:rFonts w:hint="eastAsia" w:ascii="仿宋_GB2312" w:hAnsi="仿宋_GB2312" w:eastAsia="仿宋_GB2312" w:cs="仿宋_GB2312"/>
          <w:color w:val="auto"/>
          <w:kern w:val="2"/>
          <w:sz w:val="32"/>
          <w:szCs w:val="32"/>
          <w:highlight w:val="none"/>
          <w:lang w:val="en-US" w:eastAsia="zh-CN" w:bidi="ar-SA"/>
        </w:rPr>
        <w:t>%。与2023年度相比，一般公共预算财政拨款支出减少148.94万元，下降1.02%。主要变动原因是</w:t>
      </w:r>
      <w:r>
        <w:rPr>
          <w:rFonts w:hint="eastAsia" w:eastAsia="仿宋_GB2312" w:cs="仿宋_GB2312"/>
          <w:color w:val="auto"/>
          <w:sz w:val="32"/>
          <w:szCs w:val="32"/>
          <w:highlight w:val="none"/>
          <w:lang w:eastAsia="zh-CN"/>
        </w:rPr>
        <w:t>中省项目资金减少。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2"/>
        <w:rPr>
          <w:rFonts w:hint="eastAsia"/>
          <w:lang w:val="en-US" w:eastAsia="zh-CN"/>
        </w:rPr>
      </w:pPr>
      <w:r>
        <w:rPr>
          <w:rFonts w:hint="eastAsia"/>
          <w:lang w:val="en-US" w:eastAsia="zh-CN"/>
        </w:rPr>
        <w:drawing>
          <wp:inline distT="0" distB="0" distL="114300" distR="114300">
            <wp:extent cx="5613400" cy="3828415"/>
            <wp:effectExtent l="4445" t="4445" r="20955" b="1524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2024年度一般公共预算财政拨款支出</w:t>
      </w:r>
      <w:r>
        <w:rPr>
          <w:rFonts w:hint="eastAsia" w:ascii="Times New Roman" w:hAnsi="Times New Roman" w:eastAsia="仿宋_GB2312" w:cs="仿宋_GB2312"/>
          <w:color w:val="auto"/>
          <w:sz w:val="32"/>
          <w:szCs w:val="32"/>
          <w:highlight w:val="none"/>
        </w:rPr>
        <w:t>14391.20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社会保障和就业支出12959.76万元，占90.05%；卫生健康支出1375.57万元，占9.56%；农林水支出5.98万元，占0.04%；住房保障支出49.90万元，占</w:t>
      </w:r>
      <w:r>
        <w:rPr>
          <w:rFonts w:hint="eastAsia" w:eastAsia="仿宋_GB2312" w:cs="仿宋_GB2312"/>
          <w:color w:val="auto"/>
          <w:kern w:val="2"/>
          <w:sz w:val="32"/>
          <w:szCs w:val="32"/>
          <w:highlight w:val="none"/>
          <w:lang w:val="en-US" w:eastAsia="zh-CN" w:bidi="ar-SA"/>
        </w:rPr>
        <w:t>0.35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2"/>
        <w:rPr>
          <w:rFonts w:hint="eastAsia"/>
          <w:lang w:val="en-US" w:eastAsia="zh-CN"/>
        </w:rPr>
      </w:pPr>
      <w:r>
        <w:rPr>
          <w:rFonts w:hint="eastAsia"/>
          <w:lang w:val="en-US" w:eastAsia="zh-CN"/>
        </w:rPr>
        <w:drawing>
          <wp:inline distT="0" distB="0" distL="114300" distR="114300">
            <wp:extent cx="5080000" cy="3810000"/>
            <wp:effectExtent l="4445" t="4445" r="20955" b="1460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5"/>
    </w:p>
    <w:p>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bookmarkStart w:id="26" w:name="_Toc15377213"/>
      <w:bookmarkStart w:id="27" w:name="_Toc15377444"/>
      <w:bookmarkStart w:id="28" w:name="_Toc15378460"/>
      <w:r>
        <w:rPr>
          <w:rFonts w:hint="eastAsia" w:ascii="Times New Roman" w:hAnsi="Times New Roman" w:eastAsia="仿宋_GB2312" w:cs="仿宋_GB2312"/>
          <w:color w:val="auto"/>
          <w:kern w:val="2"/>
          <w:sz w:val="32"/>
          <w:szCs w:val="32"/>
          <w:highlight w:val="none"/>
          <w:lang w:val="en-US" w:eastAsia="zh-CN" w:bidi="ar-SA"/>
        </w:rPr>
        <w:t>2024年度一般公共预算财政拨款支出决算数为</w:t>
      </w:r>
      <w:r>
        <w:rPr>
          <w:rFonts w:hint="eastAsia" w:ascii="Times New Roman" w:hAnsi="Times New Roman" w:eastAsia="仿宋_GB2312" w:cs="仿宋_GB2312"/>
          <w:color w:val="auto"/>
          <w:sz w:val="32"/>
          <w:szCs w:val="32"/>
          <w:highlight w:val="none"/>
        </w:rPr>
        <w:t>14391.2</w:t>
      </w:r>
      <w:r>
        <w:rPr>
          <w:rFonts w:hint="eastAsia" w:eastAsia="仿宋_GB2312" w:cs="仿宋_GB2312"/>
          <w:color w:val="auto"/>
          <w:sz w:val="32"/>
          <w:szCs w:val="32"/>
          <w:highlight w:val="none"/>
          <w:lang w:eastAsia="zh-CN"/>
        </w:rPr>
        <w:t>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6"/>
      <w:bookmarkEnd w:id="27"/>
      <w:bookmarkEnd w:id="2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1.社会保障和就业（类）民政管理事务（款）行政运行（项）: 支出决算为285.65万元，完成预算100%，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2.社会保障和就业（类）民政管理事务（款）机关服务（项）：支出决算为238.15万元，完成预算100%。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3.社会保障和就业（类）民政管理事务（款）其他民政管理事务支出（项）：支出决算为46.01万元，完成预算100%。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4.社会保障和就业（类）行政事业单位养老支出（款）机关事业单位基本养老保险缴费支出（项）: 支出决算为59.01万元，完成预算100%。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5.社会保障和就业（类）行政事业单位养老支出（款）机关事业单位职业年金缴费支出（项）: 支出决算为24.45万元，完成预算100%。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6.社会保障和就业（类）社会福利（款）儿童福利（项）: 支出决算为271.48万元，完成预算100%。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7.社会保障和就业（类）社会福利（款）老年福利（项）: 支出决算为312.78万元，完成预算100%。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8.社会保障和就业（类）社会福利（款）殡葬（项）: 支出决算为857.76万元，完成预算100%。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9.社会保障和就业（类）社会福利（款）养老服务（项）: 支出决算为30.83万元，完成预算100%。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10.社会保障和就业（类）社会福利（款）其他社会福利支出（项）: 支出决算为720.00万元，完成预算100%。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11.社会保障和就业（类）残疾人事业（款）残疾人生活和护理补贴（项）: 支出决算为684.96万元，完成预算100%。</w:t>
      </w:r>
    </w:p>
    <w:p>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12.社会保障和就业（类）最低生活保障（款）城市最低生活保障金支出（项）: 支出决算为285.00万元，完成预算100%。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13.社会保障和就业（类）最低生活保障（款）农村最低生活保障金支出（项）: 支出决算为7,549.38万元，完成预算100%。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14.社会保障和就业（类）临时救助（款）临时救助支出（项）: 支出决算为88.55万元，完成预算100%。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15.社会保障和就业（类）临时救助（款）流浪乞讨人员救助支出（项）: 支出决算为1.95万元，完成预算100%。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16.社会保障和就业（类）特困人员救助供养支出（款）城市特困人员救助供养支出（项）: 支出决算为40.00万元，完成预算100%。</w:t>
      </w:r>
    </w:p>
    <w:p>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17.社会保障和就业（类）特困人员救助供养支出（款）农村特困人员救助供养支出（项）: 支出决算为832.31万元，完成预算100%。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18.社会保障和就业（类）其他生活救助（款）其他农村生活救助（项）: 支出决算为429.30万元，完成预算100%。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19.社会保障和就业（类）其他社会保障和就业支出（款）其他社会保障和就业支出（项）: 支出决算为202.18万元，完成预算100%。</w:t>
      </w:r>
    </w:p>
    <w:p>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20.卫生健康支出（类）卫生健康管理事务（款）其他卫生健康管理事务支出（项）: 支出决算为1288.67万元，完成预算100%。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21.卫生健康支出（类）行政事业单位医疗（款）行政单位医疗（项）: 支出决算为5.85万元，完成预算100%。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22.卫生健康支出（类）行政事业单位医疗（款）事业单位医疗（项）: 支出决算为10.96万元，完成预算100%。</w:t>
      </w:r>
    </w:p>
    <w:p>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23.卫生健康支出（类）行政事业单位医疗（款）公务员医疗补助（项）: 支出决算为2.84万元，完成预算100%。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24.卫生健康支出（类）其他卫生健康支出（款）其他卫生健康支出（项）：支出决算为67.25万元，完成预算100%。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25.农林水支出（类）巩固脱贫攻坚成果衔接乡村振兴（款）其他巩固脱贫攻坚成果衔接乡村振兴支出（项）：支出决算为5.98万元，完成预算100%。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26.住房保障（类）住房改革支出（款）住房公积金（项）：支出决算为49.90万元，完成预算100%。</w:t>
      </w:r>
    </w:p>
    <w:p>
      <w:pPr>
        <w:tabs>
          <w:tab w:val="right" w:pos="8306"/>
        </w:tabs>
        <w:spacing w:line="600" w:lineRule="exact"/>
        <w:ind w:firstLine="640"/>
        <w:outlineLvl w:val="1"/>
        <w:rPr>
          <w:rStyle w:val="32"/>
          <w:rFonts w:ascii="Times New Roman" w:hAnsi="Times New Roman"/>
          <w:color w:val="auto"/>
          <w:highlight w:val="none"/>
        </w:rPr>
      </w:pPr>
      <w:bookmarkStart w:id="29" w:name="_Toc15396608"/>
      <w:bookmarkStart w:id="30"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29"/>
      <w:bookmarkEnd w:id="30"/>
      <w:r>
        <w:rPr>
          <w:rStyle w:val="32"/>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2024年度一般公共预算财政拨款基本支出</w:t>
      </w:r>
      <w:r>
        <w:rPr>
          <w:rFonts w:hint="eastAsia" w:ascii="Times New Roman" w:hAnsi="Times New Roman" w:eastAsia="仿宋_GB2312" w:cs="仿宋_GB2312"/>
          <w:color w:val="auto"/>
          <w:sz w:val="32"/>
          <w:szCs w:val="32"/>
          <w:highlight w:val="none"/>
        </w:rPr>
        <w:t>682.48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Times New Roman" w:hAnsi="Times New Roman" w:eastAsia="仿宋_GB2312" w:cs="仿宋_GB2312"/>
          <w:color w:val="auto"/>
          <w:sz w:val="32"/>
          <w:szCs w:val="32"/>
          <w:highlight w:val="none"/>
        </w:rPr>
        <w:t>609.30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生活补助、医疗费补助、住房公积金、其他对个人和家庭的补助支出。</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Times New Roman" w:hAnsi="Times New Roman" w:eastAsia="仿宋_GB2312" w:cs="仿宋_GB2312"/>
          <w:color w:val="auto"/>
          <w:sz w:val="32"/>
          <w:szCs w:val="32"/>
          <w:highlight w:val="none"/>
        </w:rPr>
        <w:t>73.18</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32"/>
          <w:rFonts w:ascii="Times New Roman" w:hAnsi="Times New Roman" w:eastAsia="黑体"/>
          <w:b w:val="0"/>
          <w:color w:val="auto"/>
          <w:highlight w:val="none"/>
        </w:rPr>
      </w:pPr>
      <w:bookmarkStart w:id="31" w:name="_Toc15396609"/>
      <w:bookmarkStart w:id="32" w:name="_Toc15377215"/>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31"/>
      <w:bookmarkEnd w:id="32"/>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3"/>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2024年度“三公”经费财政拨款支出决算为</w:t>
      </w:r>
      <w:r>
        <w:rPr>
          <w:rFonts w:hint="eastAsia" w:eastAsia="仿宋_GB2312" w:cs="仿宋_GB2312"/>
          <w:color w:val="auto"/>
          <w:sz w:val="32"/>
          <w:szCs w:val="32"/>
          <w:highlight w:val="none"/>
          <w:lang w:val="en-US" w:eastAsia="zh-CN"/>
        </w:rPr>
        <w:t>3.27</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eastAsia="仿宋_GB2312" w:cs="仿宋_GB2312"/>
          <w:color w:val="auto"/>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0.57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14.84</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4"/>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2024年度“三公”经费财政拨款支出决算中，因公出国（境）费支出决算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，占0%；公务用车购置及运行维护费支出决算</w:t>
      </w:r>
      <w:r>
        <w:rPr>
          <w:rFonts w:hint="eastAsia" w:eastAsia="仿宋_GB2312" w:cs="仿宋_GB2312"/>
          <w:color w:val="auto"/>
          <w:sz w:val="32"/>
          <w:szCs w:val="32"/>
          <w:highlight w:val="none"/>
          <w:lang w:val="en-US" w:eastAsia="zh-CN"/>
        </w:rPr>
        <w:t>2.9</w:t>
      </w:r>
      <w:r>
        <w:rPr>
          <w:rFonts w:hint="eastAsia" w:ascii="仿宋_GB2312" w:hAnsi="仿宋_GB2312" w:eastAsia="仿宋_GB2312" w:cs="仿宋_GB2312"/>
          <w:color w:val="auto"/>
          <w:kern w:val="2"/>
          <w:sz w:val="32"/>
          <w:szCs w:val="32"/>
          <w:highlight w:val="none"/>
          <w:lang w:val="en-US" w:eastAsia="zh-CN" w:bidi="ar-SA"/>
        </w:rPr>
        <w:t>万元，占88.69%；公务接待费支出决算</w:t>
      </w:r>
      <w:r>
        <w:rPr>
          <w:rFonts w:hint="eastAsia" w:eastAsia="仿宋_GB2312" w:cs="仿宋_GB2312"/>
          <w:color w:val="auto"/>
          <w:sz w:val="32"/>
          <w:szCs w:val="32"/>
          <w:highlight w:val="none"/>
          <w:lang w:val="en-US" w:eastAsia="zh-CN"/>
        </w:rPr>
        <w:t>0.37</w:t>
      </w:r>
      <w:r>
        <w:rPr>
          <w:rFonts w:hint="eastAsia" w:ascii="仿宋_GB2312" w:hAnsi="仿宋_GB2312" w:eastAsia="仿宋_GB2312" w:cs="仿宋_GB2312"/>
          <w:color w:val="auto"/>
          <w:kern w:val="2"/>
          <w:sz w:val="32"/>
          <w:szCs w:val="32"/>
          <w:highlight w:val="none"/>
          <w:lang w:val="en-US" w:eastAsia="zh-CN" w:bidi="ar-SA"/>
        </w:rPr>
        <w:t>万元，占11.31%。具体情况如下：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pPr>
        <w:rPr>
          <w:rFonts w:hint="eastAsia"/>
          <w:lang w:val="en-US" w:eastAsia="zh-CN"/>
        </w:rPr>
      </w:pPr>
      <w:r>
        <w:rPr>
          <w:rFonts w:hint="eastAsia"/>
          <w:lang w:val="en-US" w:eastAsia="zh-CN"/>
        </w:rPr>
        <w:drawing>
          <wp:inline distT="0" distB="0" distL="114300" distR="114300">
            <wp:extent cx="5080000" cy="3810000"/>
            <wp:effectExtent l="4445" t="4445" r="20955" b="1460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。因公出国（境）支出决算比2023年增加/减少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color w:val="auto"/>
          <w:sz w:val="32"/>
          <w:szCs w:val="32"/>
          <w:highlight w:val="none"/>
          <w:lang w:val="en-US" w:eastAsia="zh-CN"/>
        </w:rPr>
        <w:t>2.9</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公务用车购置及运行维护费支出决算比2023年度增加</w:t>
      </w:r>
      <w:r>
        <w:rPr>
          <w:rFonts w:hint="eastAsia" w:eastAsia="仿宋_GB2312" w:cs="仿宋_GB2312"/>
          <w:color w:val="auto"/>
          <w:kern w:val="2"/>
          <w:sz w:val="32"/>
          <w:szCs w:val="32"/>
          <w:highlight w:val="none"/>
          <w:lang w:val="en-US" w:eastAsia="zh-CN" w:bidi="ar-SA"/>
        </w:rPr>
        <w:t>0.16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5.84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出差和下乡增多。</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w:t>
      </w:r>
      <w:r>
        <w:rPr>
          <w:rFonts w:hint="eastAsia" w:ascii="Times New Roman" w:hAnsi="Times New Roman" w:eastAsia="仿宋_GB2312" w:cs="仿宋_GB2312"/>
          <w:color w:val="auto"/>
          <w:kern w:val="2"/>
          <w:sz w:val="32"/>
          <w:szCs w:val="32"/>
          <w:highlight w:val="none"/>
          <w:lang w:val="en-US" w:eastAsia="zh-CN" w:bidi="ar-SA"/>
        </w:rPr>
        <w:t>。全年按规定更新购置公务用车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万元。截至2024年12月31日，单位共有公务用车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eastAsia="仿宋_GB2312" w:cs="仿宋_GB2312"/>
          <w:color w:val="auto"/>
          <w:sz w:val="32"/>
          <w:szCs w:val="32"/>
          <w:highlight w:val="none"/>
          <w:lang w:val="en-US" w:eastAsia="zh-CN"/>
        </w:rPr>
        <w:t>2.9</w:t>
      </w:r>
      <w:r>
        <w:rPr>
          <w:rFonts w:hint="eastAsia" w:ascii="Times New Roman" w:hAnsi="Times New Roman" w:eastAsia="仿宋_GB2312" w:cs="仿宋_GB2312"/>
          <w:color w:val="auto"/>
          <w:kern w:val="2"/>
          <w:sz w:val="32"/>
          <w:szCs w:val="32"/>
          <w:highlight w:val="none"/>
          <w:lang w:val="en-US" w:eastAsia="zh-CN" w:bidi="ar-SA"/>
        </w:rPr>
        <w:t>万元。主要用于公务用车燃料费、维修费、过路过桥费、保险费等支出。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color w:val="auto"/>
          <w:sz w:val="32"/>
          <w:szCs w:val="32"/>
          <w:highlight w:val="none"/>
          <w:lang w:val="en-US" w:eastAsia="zh-CN"/>
        </w:rPr>
        <w:t>0.37</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公务接待费支出决算比2023年度减少</w:t>
      </w:r>
      <w:r>
        <w:rPr>
          <w:rFonts w:hint="eastAsia" w:eastAsia="仿宋_GB2312" w:cs="仿宋_GB2312"/>
          <w:color w:val="auto"/>
          <w:kern w:val="2"/>
          <w:sz w:val="32"/>
          <w:szCs w:val="32"/>
          <w:highlight w:val="none"/>
          <w:lang w:val="en-US" w:eastAsia="zh-CN" w:bidi="ar-SA"/>
        </w:rPr>
        <w:t>0.73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66.36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接待减少</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eastAsia="仿宋_GB2312" w:cs="仿宋_GB2312"/>
          <w:color w:val="auto"/>
          <w:sz w:val="32"/>
          <w:szCs w:val="32"/>
          <w:highlight w:val="none"/>
          <w:lang w:val="en-US" w:eastAsia="zh-CN"/>
        </w:rPr>
        <w:t>0.37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w:t>
      </w:r>
      <w:r>
        <w:rPr>
          <w:rFonts w:hint="eastAsia" w:ascii="仿宋_GB2312" w:eastAsia="仿宋_GB2312"/>
          <w:color w:val="auto"/>
          <w:sz w:val="32"/>
          <w:szCs w:val="32"/>
          <w:highlight w:val="none"/>
        </w:rPr>
        <w:t>执行公务、开展业务活动开支的交通费、住宿费、用餐费等</w:t>
      </w:r>
      <w:r>
        <w:rPr>
          <w:rFonts w:hint="eastAsia" w:ascii="Times New Roman" w:hAnsi="Times New Roman" w:eastAsia="仿宋_GB2312" w:cs="仿宋_GB2312"/>
          <w:color w:val="auto"/>
          <w:kern w:val="2"/>
          <w:sz w:val="32"/>
          <w:szCs w:val="32"/>
          <w:highlight w:val="none"/>
          <w:lang w:val="en-US" w:eastAsia="zh-CN" w:bidi="ar-SA"/>
        </w:rPr>
        <w:t>。国内公务接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eastAsia="仿宋_GB2312" w:cs="仿宋_GB2312"/>
          <w:color w:val="auto"/>
          <w:sz w:val="32"/>
          <w:szCs w:val="32"/>
          <w:highlight w:val="none"/>
          <w:lang w:val="en-US" w:eastAsia="zh-CN"/>
        </w:rPr>
        <w:t>6</w:t>
      </w:r>
      <w:r>
        <w:rPr>
          <w:rFonts w:hint="eastAsia" w:ascii="仿宋_GB2312" w:hAnsi="仿宋_GB2312" w:eastAsia="仿宋_GB2312" w:cs="仿宋_GB2312"/>
          <w:color w:val="auto"/>
          <w:kern w:val="2"/>
          <w:sz w:val="32"/>
          <w:szCs w:val="32"/>
          <w:highlight w:val="none"/>
          <w:lang w:val="en-US" w:eastAsia="zh-CN" w:bidi="ar-SA"/>
        </w:rPr>
        <w:t>批次，</w:t>
      </w:r>
      <w:r>
        <w:rPr>
          <w:rFonts w:hint="eastAsia" w:eastAsia="仿宋_GB2312" w:cs="仿宋_GB2312"/>
          <w:color w:val="auto"/>
          <w:sz w:val="32"/>
          <w:szCs w:val="32"/>
          <w:highlight w:val="none"/>
          <w:lang w:val="en-US" w:eastAsia="zh-CN"/>
        </w:rPr>
        <w:t>28</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0.37</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接待省厅建设项目检查、市局民政系统综合评估工作检查、市局开展散居孤儿走访及检查嘉爱小屋项目、市救助站2次、接待资中县民政局婚俗改革交流学习。</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出0</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外事接待</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35" w:name="_Toc15377218"/>
      <w:bookmarkStart w:id="36" w:name="_Toc15396610"/>
    </w:p>
    <w:p>
      <w:pPr>
        <w:spacing w:line="600" w:lineRule="exact"/>
        <w:ind w:firstLine="640"/>
        <w:outlineLvl w:val="1"/>
        <w:rPr>
          <w:rStyle w:val="32"/>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35"/>
      <w:bookmarkEnd w:id="3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2024年度政府性基金预算财政拨款支出</w:t>
      </w:r>
      <w:r>
        <w:rPr>
          <w:rFonts w:hint="eastAsia" w:ascii="仿宋_GB2312" w:hAnsi="仿宋_GB2312" w:eastAsia="仿宋_GB2312" w:cs="仿宋_GB2312"/>
          <w:sz w:val="32"/>
          <w:szCs w:val="32"/>
          <w:lang w:eastAsia="zh-CN"/>
        </w:rPr>
        <w:t>454.16万元</w:t>
      </w:r>
      <w:r>
        <w:rPr>
          <w:rFonts w:hint="eastAsia" w:ascii="仿宋_GB2312" w:hAnsi="仿宋_GB2312" w:eastAsia="仿宋_GB2312" w:cs="仿宋_GB2312"/>
          <w:color w:val="auto"/>
          <w:kern w:val="2"/>
          <w:sz w:val="32"/>
          <w:szCs w:val="32"/>
          <w:highlight w:val="none"/>
          <w:lang w:val="en-US" w:eastAsia="zh-CN" w:bidi="ar-SA"/>
        </w:rPr>
        <w:t>，占本年支出合计的</w:t>
      </w:r>
      <w:r>
        <w:rPr>
          <w:rFonts w:hint="eastAsia" w:ascii="仿宋_GB2312" w:hAnsi="仿宋_GB2312" w:eastAsia="仿宋_GB2312" w:cs="仿宋_GB2312"/>
          <w:sz w:val="32"/>
          <w:szCs w:val="32"/>
          <w:lang w:val="en-US" w:eastAsia="zh-CN"/>
        </w:rPr>
        <w:t>3.06</w:t>
      </w: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t>。与2023年度相比，政府性基金预算财政拨款支出减少</w:t>
      </w:r>
      <w:r>
        <w:rPr>
          <w:rFonts w:hint="eastAsia" w:eastAsia="仿宋_GB2312" w:cs="仿宋_GB2312"/>
          <w:color w:val="auto"/>
          <w:kern w:val="2"/>
          <w:sz w:val="32"/>
          <w:szCs w:val="32"/>
          <w:highlight w:val="none"/>
          <w:lang w:val="en-US" w:eastAsia="zh-CN" w:bidi="ar-SA"/>
        </w:rPr>
        <w:t>706.37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60.87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中省项目资金减少。</w:t>
      </w:r>
    </w:p>
    <w:p>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37" w:name="_Toc15396611"/>
      <w:bookmarkStart w:id="38"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37"/>
      <w:bookmarkEnd w:id="3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2024年度国有资本经营预算财政拨款支出</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，占本年支出合计的</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。与2023年度相比，国有资本经营预算财政拨款支出增加/减少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39" w:name="_Toc15396612"/>
      <w:bookmarkStart w:id="40" w:name="_Toc15377221"/>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39"/>
      <w:bookmarkEnd w:id="40"/>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2"/>
      <w:r>
        <w:rPr>
          <w:rFonts w:hint="eastAsia" w:ascii="Times New Roman" w:hAnsi="Times New Roman" w:eastAsia="楷体_GB2312" w:cs="楷体_GB2312"/>
          <w:b/>
          <w:color w:val="auto"/>
          <w:sz w:val="32"/>
          <w:szCs w:val="32"/>
          <w:highlight w:val="none"/>
        </w:rPr>
        <w:t>（一）机关运行经费支出情况</w:t>
      </w:r>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Times New Roman" w:hAnsi="Times New Roman" w:eastAsia="仿宋_GB2312" w:cs="仿宋_GB2312"/>
          <w:color w:val="auto"/>
          <w:sz w:val="32"/>
          <w:szCs w:val="32"/>
          <w:highlight w:val="none"/>
        </w:rPr>
        <w:t>73.18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元，比2023年度减少</w:t>
      </w:r>
      <w:r>
        <w:rPr>
          <w:rFonts w:hint="eastAsia" w:eastAsia="仿宋_GB2312" w:cs="仿宋_GB2312"/>
          <w:color w:val="auto"/>
          <w:kern w:val="2"/>
          <w:sz w:val="32"/>
          <w:szCs w:val="32"/>
          <w:highlight w:val="none"/>
          <w:lang w:val="en-US" w:eastAsia="zh-CN" w:bidi="ar-SA"/>
        </w:rPr>
        <w:t>2.48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3.28</w:t>
      </w:r>
      <w:r>
        <w:rPr>
          <w:rFonts w:hint="eastAsia" w:ascii="Times New Roman" w:hAnsi="Times New Roman" w:eastAsia="仿宋_GB2312" w:cs="仿宋_GB2312"/>
          <w:color w:val="auto"/>
          <w:kern w:val="2"/>
          <w:sz w:val="32"/>
          <w:szCs w:val="32"/>
          <w:highlight w:val="none"/>
          <w:lang w:val="en-US" w:eastAsia="zh-CN" w:bidi="ar-SA"/>
        </w:rPr>
        <w:t>%。主要原因是人员减少</w:t>
      </w:r>
      <w:r>
        <w:rPr>
          <w:rFonts w:hint="eastAsia"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3"/>
      <w:r>
        <w:rPr>
          <w:rFonts w:hint="eastAsia" w:ascii="Times New Roman" w:hAnsi="Times New Roman" w:eastAsia="楷体_GB2312" w:cs="楷体_GB2312"/>
          <w:b/>
          <w:color w:val="auto"/>
          <w:sz w:val="32"/>
          <w:szCs w:val="32"/>
          <w:highlight w:val="none"/>
        </w:rPr>
        <w:t>（二）政府采购支出情况</w:t>
      </w:r>
      <w:bookmarkEnd w:id="4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2024年度，政府采购支出总额</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、政府采购服务支出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，占政府采购支出总额的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，占政府采购支出总额的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24"/>
      <w:r>
        <w:rPr>
          <w:rFonts w:hint="eastAsia" w:ascii="Times New Roman" w:hAnsi="Times New Roman" w:eastAsia="楷体_GB2312" w:cs="楷体_GB2312"/>
          <w:b/>
          <w:color w:val="auto"/>
          <w:sz w:val="32"/>
          <w:szCs w:val="32"/>
          <w:highlight w:val="none"/>
        </w:rPr>
        <w:t>（三）国有资产占有使用情况</w:t>
      </w:r>
      <w:bookmarkEnd w:id="4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截至2024年12月31日，共有车辆</w:t>
      </w:r>
      <w:r>
        <w:rPr>
          <w:rFonts w:hint="eastAsia" w:eastAsia="仿宋_GB2312" w:cs="仿宋_GB2312"/>
          <w:color w:val="auto"/>
          <w:sz w:val="32"/>
          <w:szCs w:val="32"/>
          <w:highlight w:val="none"/>
          <w:lang w:val="en-US" w:eastAsia="zh-CN"/>
        </w:rPr>
        <w:t>1</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eastAsia="仿宋_GB2312" w:cs="仿宋_GB2312"/>
          <w:color w:val="auto"/>
          <w:sz w:val="32"/>
          <w:szCs w:val="32"/>
          <w:highlight w:val="none"/>
          <w:lang w:val="en-US" w:eastAsia="zh-CN"/>
        </w:rPr>
        <w:t>1</w:t>
      </w:r>
      <w:r>
        <w:rPr>
          <w:rFonts w:hint="eastAsia" w:ascii="仿宋_GB2312" w:hAnsi="仿宋_GB2312" w:eastAsia="仿宋_GB2312" w:cs="仿宋_GB2312"/>
          <w:color w:val="auto"/>
          <w:kern w:val="2"/>
          <w:sz w:val="32"/>
          <w:szCs w:val="32"/>
          <w:highlight w:val="none"/>
          <w:lang w:val="en-US" w:eastAsia="zh-CN" w:bidi="ar-SA"/>
        </w:rPr>
        <w:t>辆，其他用车主要是用于</w:t>
      </w:r>
      <w:r>
        <w:rPr>
          <w:rFonts w:hint="eastAsia" w:ascii="仿宋_GB2312" w:eastAsia="仿宋_GB2312" w:cs="Times New Roman"/>
          <w:sz w:val="32"/>
          <w:szCs w:val="32"/>
          <w:lang w:eastAsia="zh-CN"/>
        </w:rPr>
        <w:t>流浪乞讨救助、下乡核查困难群众情况</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，本部门</w:t>
      </w:r>
      <w:r>
        <w:rPr>
          <w:rFonts w:hint="eastAsia" w:ascii="Times New Roman" w:hAnsi="Times New Roman" w:eastAsia="仿宋_GB2312" w:cs="仿宋_GB2312"/>
          <w:color w:val="auto"/>
          <w:kern w:val="2"/>
          <w:sz w:val="32"/>
          <w:szCs w:val="32"/>
          <w:highlight w:val="none"/>
          <w:lang w:val="en-US" w:eastAsia="zh-CN" w:bidi="ar-SA"/>
        </w:rPr>
        <w:t>在2024年度预算编制阶段，组织对</w:t>
      </w:r>
      <w:r>
        <w:rPr>
          <w:rFonts w:hint="eastAsia" w:eastAsia="仿宋_GB2312" w:cs="仿宋_GB2312"/>
          <w:color w:val="auto"/>
          <w:kern w:val="2"/>
          <w:sz w:val="32"/>
          <w:szCs w:val="32"/>
          <w:highlight w:val="none"/>
          <w:lang w:val="en-US" w:eastAsia="zh-CN" w:bidi="ar-SA"/>
        </w:rPr>
        <w:t>孤儿和事实无人抚养儿童生活费、高龄补贴、困难残疾人生活补贴、重度残疾人护理补贴、城乡居民最低生活保障金、特困人员供养、居家和集中救助</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组织对2024年度一般公共预算、政府性基金预算、国有资本经营预算、社会保险基金预算以及资本资产、债券资金等全面开展绩效自评，形成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马边彝族自治县民政局</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w:t>
      </w:r>
      <w:r>
        <w:rPr>
          <w:rFonts w:hint="eastAsia" w:eastAsia="仿宋_GB2312" w:cs="仿宋_GB2312"/>
          <w:color w:val="auto"/>
          <w:kern w:val="2"/>
          <w:sz w:val="32"/>
          <w:szCs w:val="32"/>
          <w:highlight w:val="none"/>
          <w:lang w:val="en-US" w:eastAsia="zh-CN" w:bidi="ar-SA"/>
        </w:rPr>
        <w:t>困难群众救助资金</w:t>
      </w:r>
      <w:r>
        <w:rPr>
          <w:rFonts w:hint="eastAsia" w:ascii="Times New Roman" w:hAnsi="Times New Roman" w:eastAsia="仿宋_GB2312" w:cs="仿宋_GB2312"/>
          <w:color w:val="auto"/>
          <w:kern w:val="2"/>
          <w:sz w:val="32"/>
          <w:szCs w:val="32"/>
          <w:highlight w:val="none"/>
          <w:lang w:val="en-US" w:eastAsia="zh-CN" w:bidi="ar-SA"/>
        </w:rPr>
        <w:t>等专项预算项目绩效自评报告，其中，</w:t>
      </w:r>
      <w:r>
        <w:rPr>
          <w:rFonts w:hint="eastAsia" w:eastAsia="仿宋_GB2312" w:cs="仿宋_GB2312"/>
          <w:color w:val="auto"/>
          <w:kern w:val="2"/>
          <w:sz w:val="32"/>
          <w:szCs w:val="32"/>
          <w:highlight w:val="none"/>
          <w:lang w:val="en-US" w:eastAsia="zh-CN" w:bidi="ar-SA"/>
        </w:rPr>
        <w:t>马边彝族自治县民政局</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部门整体（含部门预算项目）绩效自评得分为</w:t>
      </w:r>
      <w:r>
        <w:rPr>
          <w:rFonts w:hint="eastAsia" w:eastAsia="仿宋_GB2312" w:cs="仿宋_GB2312"/>
          <w:color w:val="auto"/>
          <w:kern w:val="2"/>
          <w:sz w:val="32"/>
          <w:szCs w:val="32"/>
          <w:highlight w:val="none"/>
          <w:lang w:val="en-US" w:eastAsia="zh-CN" w:bidi="ar-SA"/>
        </w:rPr>
        <w:t>97</w:t>
      </w:r>
      <w:r>
        <w:rPr>
          <w:rFonts w:hint="eastAsia" w:ascii="Times New Roman" w:hAnsi="Times New Roman" w:eastAsia="仿宋_GB2312" w:cs="仿宋_GB2312"/>
          <w:color w:val="auto"/>
          <w:kern w:val="2"/>
          <w:sz w:val="32"/>
          <w:szCs w:val="32"/>
          <w:highlight w:val="none"/>
          <w:lang w:val="en-US" w:eastAsia="zh-CN" w:bidi="ar-SA"/>
        </w:rPr>
        <w:t>分。绩效自评报告详见附件。</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4" w:name="_Toc15377225"/>
      <w:bookmarkStart w:id="45"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4"/>
      <w:bookmarkEnd w:id="45"/>
    </w:p>
    <w:p>
      <w:pPr>
        <w:spacing w:line="600" w:lineRule="exact"/>
        <w:jc w:val="left"/>
        <w:rPr>
          <w:rFonts w:ascii="Times New Roman" w:hAnsi="Times New Roman"/>
          <w:b/>
          <w:color w:val="auto"/>
          <w:sz w:val="44"/>
          <w:szCs w:val="44"/>
          <w:highlight w:val="none"/>
        </w:rPr>
      </w:pP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1.财政拨款收入：指单位从同级财政部门取得的财政预算资金。</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2.事业收入：指事业单位开展专业业务活动及辅助活动取得的收入。</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3.经营收入：指事业单位在专业业务活动及其辅助活动之外开展非独立核算经营活动取得的收入。</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4.其他收入：指单位取得的除上述收入以外的各项收入。</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5.</w:t>
      </w:r>
      <w:r>
        <w:rPr>
          <w:rFonts w:hint="eastAsia" w:ascii="仿宋_GB2312" w:eastAsia="仿宋_GB2312" w:cs="Times New Roman"/>
          <w:sz w:val="32"/>
          <w:szCs w:val="32"/>
          <w:lang w:eastAsia="zh-CN"/>
        </w:rPr>
        <w:t>使用非财政拨款结余</w:t>
      </w:r>
      <w:r>
        <w:rPr>
          <w:rFonts w:hint="eastAsia" w:ascii="仿宋_GB2312" w:eastAsia="仿宋_GB2312" w:cs="Times New Roman"/>
          <w:sz w:val="32"/>
          <w:szCs w:val="32"/>
        </w:rPr>
        <w:t>：指事业单位</w:t>
      </w:r>
      <w:r>
        <w:rPr>
          <w:rFonts w:hint="eastAsia" w:ascii="仿宋_GB2312" w:eastAsia="仿宋_GB2312" w:cs="Times New Roman"/>
          <w:sz w:val="32"/>
          <w:szCs w:val="32"/>
          <w:lang w:eastAsia="zh-CN"/>
        </w:rPr>
        <w:t>使用以前年度积累的非财政拨款结余弥补当年收支差额的金额。</w:t>
      </w:r>
      <w:r>
        <w:rPr>
          <w:rFonts w:hint="eastAsia" w:ascii="仿宋_GB2312" w:eastAsia="仿宋_GB2312" w:cs="Times New Roman"/>
          <w:sz w:val="32"/>
          <w:szCs w:val="32"/>
        </w:rPr>
        <w:t xml:space="preserve"> </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 xml:space="preserve">6.年初结转和结余：指以前年度尚未完成、结转到本年按有关规定继续使用的资金。 </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7.结余分配：指事业单位按照会计制度规定</w:t>
      </w:r>
      <w:r>
        <w:rPr>
          <w:rFonts w:hint="eastAsia" w:ascii="仿宋_GB2312" w:eastAsia="仿宋_GB2312" w:cs="Times New Roman"/>
          <w:sz w:val="32"/>
          <w:szCs w:val="32"/>
          <w:lang w:eastAsia="zh-CN"/>
        </w:rPr>
        <w:t>缴纳的所得税、提取的专用结余以及转入非财政拨款结余的金额</w:t>
      </w:r>
      <w:r>
        <w:rPr>
          <w:rFonts w:hint="eastAsia" w:ascii="仿宋_GB2312" w:eastAsia="仿宋_GB2312" w:cs="Times New Roman"/>
          <w:sz w:val="32"/>
          <w:szCs w:val="32"/>
        </w:rPr>
        <w:t>等。</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8</w:t>
      </w:r>
      <w:r>
        <w:rPr>
          <w:rFonts w:hint="eastAsia" w:ascii="仿宋_GB2312" w:eastAsia="仿宋_GB2312" w:cs="Times New Roman"/>
          <w:sz w:val="32"/>
          <w:szCs w:val="32"/>
          <w:lang w:val="en-US" w:eastAsia="zh-CN"/>
        </w:rPr>
        <w:t>.</w:t>
      </w:r>
      <w:r>
        <w:rPr>
          <w:rFonts w:hint="eastAsia" w:ascii="仿宋_GB2312" w:eastAsia="仿宋_GB2312" w:cs="Times New Roman"/>
          <w:sz w:val="32"/>
          <w:szCs w:val="32"/>
        </w:rPr>
        <w:t>年末结转和结余：指单位按有关规定结转到下年或以后年度继续使用的资金。</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9.社会保障和就业（类）民政管理事务（款）行政运行（项）：反映行政单位（包括实行公务员管理的事业单位）的基本支出。</w:t>
      </w:r>
      <w:r>
        <w:rPr>
          <w:rFonts w:hint="eastAsia" w:ascii="仿宋_GB2312" w:eastAsia="仿宋_GB2312" w:cs="Times New Roman"/>
          <w:sz w:val="32"/>
          <w:szCs w:val="32"/>
          <w:lang w:val="en-US" w:eastAsia="zh-CN"/>
        </w:rPr>
        <w:br w:type="textWrapping"/>
      </w:r>
      <w:r>
        <w:rPr>
          <w:rFonts w:hint="eastAsia" w:ascii="仿宋_GB2312" w:eastAsia="仿宋_GB2312" w:cs="Times New Roman"/>
          <w:sz w:val="32"/>
          <w:szCs w:val="32"/>
          <w:lang w:val="en-US" w:eastAsia="zh-CN"/>
        </w:rPr>
        <w:t xml:space="preserve">   10.社会保障和就业（类）民政管理事务（款）一般行政管理事务（项）：反映行政单位（包括实现公务员管理的事业单位）未单独设置项级科目的其他项目支出。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11.社会保障和就业（类）民政管理事务（款）机关服务（项）：反映为行政单位（包括实行公务员管理的事业单位）提供后勤服务的各类后勤服务中心、医务室等附属事业单位的支出。其他事业单位的支出，凡单独设置了项级科目的，在单独设置的项级科目中反映。未单设项级科目的，在“其他”项级科目中反映。</w:t>
      </w:r>
      <w:r>
        <w:rPr>
          <w:rFonts w:hint="eastAsia" w:ascii="仿宋_GB2312" w:eastAsia="仿宋_GB2312" w:cs="Times New Roman"/>
          <w:sz w:val="32"/>
          <w:szCs w:val="32"/>
          <w:lang w:val="en-US" w:eastAsia="zh-CN"/>
        </w:rPr>
        <w:br w:type="textWrapping"/>
      </w:r>
      <w:r>
        <w:rPr>
          <w:rFonts w:hint="eastAsia" w:ascii="仿宋_GB2312" w:eastAsia="仿宋_GB2312" w:cs="Times New Roman"/>
          <w:sz w:val="32"/>
          <w:szCs w:val="32"/>
          <w:lang w:val="en-US" w:eastAsia="zh-CN"/>
        </w:rPr>
        <w:t xml:space="preserve">    12.社会保障和就业（类）民政管理事务（款）基层政权和社区建设（项）：反映开展城乡社区治理、城乡社区服务（乡村便民服务）、村（居）民自治、村（居）务公开、乡镇（街道）服务能力建设等基层政权和社区建设工作的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13.社会保障和就业（类）民政管理事务（款）其他民政管理事务支出（项）：反映民政部门接待来访、法制建设、政策宣传方面的支出，以及开展社会救助、社会福利、养老服务、社会事务、信息化建设等方面的支出。</w:t>
      </w:r>
      <w:r>
        <w:rPr>
          <w:rFonts w:hint="eastAsia" w:ascii="仿宋_GB2312" w:eastAsia="仿宋_GB2312" w:cs="Times New Roman"/>
          <w:sz w:val="32"/>
          <w:szCs w:val="32"/>
          <w:lang w:val="en-US" w:eastAsia="zh-CN"/>
        </w:rPr>
        <w:br w:type="textWrapping"/>
      </w:r>
      <w:r>
        <w:rPr>
          <w:rFonts w:hint="eastAsia" w:ascii="仿宋_GB2312" w:eastAsia="仿宋_GB2312" w:cs="Times New Roman"/>
          <w:sz w:val="32"/>
          <w:szCs w:val="32"/>
          <w:lang w:val="en-US" w:eastAsia="zh-CN"/>
        </w:rPr>
        <w:t xml:space="preserve">    14.社会保障和就业（类）行政事业单位离退休（款）机关事业单位基本养老保险缴费支出（项）：反映机关事业单位实施养老保险制度由单位缴纳的基本养老保险费支出。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15.社会保障和就业（类）社会福利（款）儿童福利（项）：反映对儿童提供福利服务方面的支出。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16.社会保障和就业（类）社会福利（款）老年福利（项）：反映对老年了提供福利服务方面的支出。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17.社会保障和就业（类）社会福利（款）殡葬（项）：反映财政对民政及其他部门举办的火葬场等殡仪事业单位的补助支出等。</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18.社会保障和就业（类）社会福利（款）养老服务（项）：反映财政在养老服务方面的补助支出，包括支持养老服务机构提供居家社区养老服务的支出，对养老服务机构的运营、建设补助支出等，不包括对社会福利方面的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19.社会保障和就业（类）残疾人康复（款）残疾人生活和护理补贴（项）：反映困难残疾人生活补贴和重度残疾人护理补贴支出。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20.社会保障和就业（类）最低生活保障（款）农村最低生活保障金支出（项）：反映农村最低生活保障对象的最低生活保障金支出。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21.社会保障和就业（类）临时救助（款）临时救助支出（项）：反映用于城乡生活困难居民的临时救助支出。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22.社会保障和就业（类）临时救助（款）流浪乞讨人员救助支出（项）：反映用于生活无着的流浪乞讨人员的救助支出和救助管理机构的运转支出。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23.社会保障和就业（类）特困人员救助供养（款）农村特困人员救助供养支出（项）：反映农村特困人员救助供养支出。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24.社会保障和就业（类）其他生活救助（款）其他城市生活救助（项）：反映除最低生活保障、临时救助、特困人员供养外，用于城市生活困难居民生活救助的其他支出。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25.社会保障和就业（类）其他生活救助（款）其他农村生活救助（项）：反映除最低生活保障、临时救助、特困人员供养、自然灾害生活救助外，用于农村生活困难居民生活救助的其他支出。</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26.社会保障和就业（类）其他社会保障和就业支出（款）其他社会保障和就业支出（项）：反映除上述项目以外的其他用于社会保障和就业方面的支出。</w:t>
      </w:r>
    </w:p>
    <w:p>
      <w:pPr>
        <w:spacing w:line="600" w:lineRule="exact"/>
        <w:ind w:firstLine="640" w:firstLineChars="200"/>
        <w:rPr>
          <w:rFonts w:hint="default" w:ascii="仿宋_GB2312" w:eastAsia="仿宋_GB2312" w:cs="Times New Roman"/>
          <w:sz w:val="32"/>
          <w:szCs w:val="32"/>
          <w:lang w:val="en-US" w:eastAsia="zh-CN"/>
        </w:rPr>
      </w:pPr>
      <w:r>
        <w:rPr>
          <w:rFonts w:hint="eastAsia" w:ascii="仿宋_GB2312" w:eastAsia="仿宋_GB2312" w:cs="Times New Roman"/>
          <w:sz w:val="32"/>
          <w:szCs w:val="32"/>
          <w:lang w:val="en-US" w:eastAsia="zh-CN"/>
        </w:rPr>
        <w:t>27.医疗卫生与计划生育支出（类）行政事业单位医疗（款）行政单位医疗（项）：反映财政部门集中安排的行政单位基本医疗保险缴费经费，未参加医疗保险的行政单位的公费医疗经费，按国家规定享受离休人员、红军老战士待遇人员的医疗经费。</w:t>
      </w:r>
    </w:p>
    <w:p>
      <w:pPr>
        <w:spacing w:line="60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28.住房保障支出（类）住房改革支出（款）住房公积金（项）：反映行政事业单位按人力资源和社会保障部、财政部规定的基本工资和津贴以及规定比例为职工缴纳的住房公积金。</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2</w:t>
      </w:r>
      <w:r>
        <w:rPr>
          <w:rFonts w:hint="eastAsia" w:ascii="仿宋_GB2312" w:eastAsia="仿宋_GB2312" w:cs="Times New Roman"/>
          <w:sz w:val="32"/>
          <w:szCs w:val="32"/>
          <w:lang w:val="en-US" w:eastAsia="zh-CN"/>
        </w:rPr>
        <w:t>9</w:t>
      </w:r>
      <w:r>
        <w:rPr>
          <w:rFonts w:hint="eastAsia" w:ascii="仿宋_GB2312" w:eastAsia="仿宋_GB2312" w:cs="Times New Roman"/>
          <w:sz w:val="32"/>
          <w:szCs w:val="32"/>
        </w:rPr>
        <w:t>.基本支出：指为保障机构正常运转、完成日常工作任务而发生的人员支出和公用支出。</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lang w:val="en-US" w:eastAsia="zh-CN"/>
        </w:rPr>
        <w:t>30</w:t>
      </w:r>
      <w:r>
        <w:rPr>
          <w:rFonts w:hint="eastAsia" w:ascii="仿宋_GB2312" w:eastAsia="仿宋_GB2312" w:cs="Times New Roman"/>
          <w:sz w:val="32"/>
          <w:szCs w:val="32"/>
        </w:rPr>
        <w:t xml:space="preserve">.项目支出：指在基本支出之外为完成特定行政任务和事业发展目标所发生的支出。 </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lang w:val="en-US" w:eastAsia="zh-CN"/>
        </w:rPr>
        <w:t>31</w:t>
      </w:r>
      <w:r>
        <w:rPr>
          <w:rFonts w:hint="eastAsia" w:ascii="仿宋_GB2312" w:eastAsia="仿宋_GB2312" w:cs="Times New Roman"/>
          <w:sz w:val="32"/>
          <w:szCs w:val="32"/>
        </w:rPr>
        <w:t>.经营支出：指事业单位在专业业务活动及其辅助活动之外开展非独立核算经营活动发生的支出。</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3</w:t>
      </w:r>
      <w:r>
        <w:rPr>
          <w:rFonts w:hint="eastAsia" w:ascii="仿宋_GB2312" w:eastAsia="仿宋_GB2312" w:cs="Times New Roman"/>
          <w:sz w:val="32"/>
          <w:szCs w:val="32"/>
          <w:lang w:val="en-US" w:eastAsia="zh-CN"/>
        </w:rPr>
        <w:t>2</w:t>
      </w:r>
      <w:r>
        <w:rPr>
          <w:rFonts w:hint="eastAsia" w:ascii="仿宋_GB2312" w:eastAsia="仿宋_GB2312" w:cs="Times New Roman"/>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3</w:t>
      </w:r>
      <w:r>
        <w:rPr>
          <w:rFonts w:hint="eastAsia" w:ascii="仿宋_GB2312" w:eastAsia="仿宋_GB2312" w:cs="Times New Roman"/>
          <w:sz w:val="32"/>
          <w:szCs w:val="32"/>
          <w:lang w:val="en-US" w:eastAsia="zh-CN"/>
        </w:rPr>
        <w:t>3</w:t>
      </w:r>
      <w:r>
        <w:rPr>
          <w:rFonts w:hint="eastAsia" w:ascii="仿宋_GB2312"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31"/>
          <w:rFonts w:hint="eastAsia" w:ascii="Times New Roman" w:hAnsi="Times New Roman" w:eastAsia="黑体"/>
          <w:b w:val="0"/>
          <w:color w:val="auto"/>
          <w:highlight w:val="none"/>
          <w:lang w:eastAsia="zh-CN"/>
        </w:rPr>
      </w:pPr>
      <w:bookmarkStart w:id="46"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7"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7"/>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u w:val="none"/>
          <w:lang w:val="zh-CN" w:eastAsia="zh-CN" w:bidi="ar"/>
        </w:rPr>
      </w:pPr>
    </w:p>
    <w:p>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cs="宋体"/>
          <w:color w:val="FF0000"/>
          <w:kern w:val="0"/>
          <w:sz w:val="32"/>
          <w:szCs w:val="32"/>
          <w:highlight w:val="yellow"/>
          <w:shd w:val="clear" w:color="auto" w:fill="FFFFFF"/>
          <w:lang w:val="zh-CN"/>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eastAsia="仿宋_GB2312" w:cs="Times New Roman"/>
          <w:kern w:val="2"/>
          <w:sz w:val="32"/>
          <w:szCs w:val="32"/>
          <w:u w:val="none"/>
          <w:lang w:val="zh-CN" w:eastAsia="zh-CN" w:bidi="ar"/>
        </w:rPr>
        <w:t>单位</w:t>
      </w:r>
      <w:r>
        <w:rPr>
          <w:rFonts w:hint="eastAsia" w:ascii="Times New Roman" w:hAnsi="Times New Roman" w:eastAsia="仿宋_GB2312" w:cs="Times New Roman"/>
          <w:kern w:val="2"/>
          <w:sz w:val="32"/>
          <w:szCs w:val="32"/>
          <w:u w:val="none"/>
          <w:lang w:val="en-US" w:eastAsia="zh-CN" w:bidi="ar"/>
        </w:rPr>
        <w:t>预算项目支出绩效自评表（2024年度）</w:t>
      </w: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8" w:name="_Toc15396618"/>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46"/>
      <w:bookmarkEnd w:id="48"/>
      <w:bookmarkStart w:id="49"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0"/>
      <w:r>
        <w:rPr>
          <w:rFonts w:hint="eastAsia" w:ascii="Times New Roman" w:hAnsi="Times New Roman" w:eastAsia="仿宋_GB2312" w:cs="仿宋_GB2312"/>
          <w:color w:val="auto"/>
          <w:sz w:val="32"/>
          <w:szCs w:val="32"/>
          <w:highlight w:val="none"/>
        </w:rPr>
        <w:t>二、收入决算表</w:t>
      </w:r>
      <w:bookmarkEnd w:id="5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1"/>
      <w:r>
        <w:rPr>
          <w:rFonts w:hint="eastAsia" w:ascii="Times New Roman" w:hAnsi="Times New Roman" w:eastAsia="仿宋_GB2312" w:cs="仿宋_GB2312"/>
          <w:color w:val="auto"/>
          <w:sz w:val="32"/>
          <w:szCs w:val="32"/>
          <w:highlight w:val="none"/>
        </w:rPr>
        <w:t>三、支出决算表</w:t>
      </w:r>
      <w:bookmarkEnd w:id="5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2"/>
      <w:r>
        <w:rPr>
          <w:rFonts w:hint="eastAsia" w:ascii="Times New Roman" w:hAnsi="Times New Roman" w:eastAsia="仿宋_GB2312" w:cs="仿宋_GB2312"/>
          <w:color w:val="auto"/>
          <w:sz w:val="32"/>
          <w:szCs w:val="32"/>
          <w:highlight w:val="none"/>
        </w:rPr>
        <w:t>四、财政拨款收入支出决算总表</w:t>
      </w:r>
      <w:bookmarkEnd w:id="5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3"/>
      <w:r>
        <w:rPr>
          <w:rFonts w:hint="eastAsia" w:ascii="Times New Roman" w:hAnsi="Times New Roman" w:eastAsia="仿宋_GB2312" w:cs="仿宋_GB2312"/>
          <w:color w:val="auto"/>
          <w:sz w:val="32"/>
          <w:szCs w:val="32"/>
          <w:highlight w:val="none"/>
        </w:rPr>
        <w:t>五、财政拨款支出决算明细表</w:t>
      </w:r>
      <w:bookmarkEnd w:id="53"/>
      <w:bookmarkStart w:id="54"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5"/>
      <w:r>
        <w:rPr>
          <w:rFonts w:hint="eastAsia" w:ascii="Times New Roman" w:hAnsi="Times New Roman" w:eastAsia="仿宋_GB2312" w:cs="仿宋_GB2312"/>
          <w:color w:val="auto"/>
          <w:sz w:val="32"/>
          <w:szCs w:val="32"/>
          <w:highlight w:val="none"/>
        </w:rPr>
        <w:t>七、一般公共预算财政拨款支出决算明细表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6"/>
      <w:r>
        <w:rPr>
          <w:rFonts w:hint="eastAsia" w:ascii="Times New Roman" w:hAnsi="Times New Roman" w:eastAsia="仿宋_GB2312" w:cs="仿宋_GB2312"/>
          <w:color w:val="auto"/>
          <w:sz w:val="32"/>
          <w:szCs w:val="32"/>
          <w:highlight w:val="none"/>
        </w:rPr>
        <w:t>八、一般公共预算财政拨款基本支出决算表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7"/>
      <w:r>
        <w:rPr>
          <w:rFonts w:hint="eastAsia" w:ascii="Times New Roman" w:hAnsi="Times New Roman" w:eastAsia="仿宋_GB2312" w:cs="仿宋_GB2312"/>
          <w:color w:val="auto"/>
          <w:sz w:val="32"/>
          <w:szCs w:val="32"/>
          <w:highlight w:val="none"/>
        </w:rPr>
        <w:t>九、一般公共预算财政拨款项目支出决算表</w:t>
      </w:r>
      <w:bookmarkEnd w:id="5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8"/>
      <w:r>
        <w:rPr>
          <w:rFonts w:hint="eastAsia" w:ascii="Times New Roman" w:hAnsi="Times New Roman" w:eastAsia="仿宋_GB2312" w:cs="仿宋_GB2312"/>
          <w:color w:val="auto"/>
          <w:sz w:val="32"/>
          <w:szCs w:val="32"/>
          <w:highlight w:val="none"/>
        </w:rPr>
        <w:t>十、</w:t>
      </w:r>
      <w:bookmarkEnd w:id="58"/>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9"/>
      <w:r>
        <w:rPr>
          <w:rFonts w:hint="eastAsia" w:ascii="Times New Roman" w:hAnsi="Times New Roman" w:eastAsia="仿宋_GB2312" w:cs="仿宋_GB2312"/>
          <w:color w:val="auto"/>
          <w:sz w:val="32"/>
          <w:szCs w:val="32"/>
          <w:highlight w:val="none"/>
        </w:rPr>
        <w:t>十一、</w:t>
      </w:r>
      <w:bookmarkEnd w:id="5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30"/>
      <w:r>
        <w:rPr>
          <w:rFonts w:hint="eastAsia" w:ascii="Times New Roman" w:hAnsi="Times New Roman" w:eastAsia="仿宋_GB2312" w:cs="仿宋_GB2312"/>
          <w:color w:val="auto"/>
          <w:sz w:val="32"/>
          <w:szCs w:val="32"/>
          <w:highlight w:val="none"/>
        </w:rPr>
        <w:t>十二、</w:t>
      </w:r>
      <w:bookmarkEnd w:id="60"/>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1" w:name="_Toc15396631"/>
      <w:r>
        <w:rPr>
          <w:rFonts w:hint="eastAsia" w:ascii="Times New Roman" w:hAnsi="Times New Roman" w:eastAsia="仿宋_GB2312" w:cs="仿宋_GB2312"/>
          <w:color w:val="auto"/>
          <w:sz w:val="32"/>
          <w:szCs w:val="32"/>
          <w:highlight w:val="none"/>
        </w:rPr>
        <w:t>十三、</w:t>
      </w:r>
      <w:bookmarkEnd w:id="61"/>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A0204"/>
    <w:charset w:val="00"/>
    <w:family w:val="roman"/>
    <w:pitch w:val="default"/>
    <w:sig w:usb0="E00002FF" w:usb1="4000045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altName w:val="仿宋_GB2312"/>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18A09A"/>
    <w:multiLevelType w:val="singleLevel"/>
    <w:tmpl w:val="3818A09A"/>
    <w:lvl w:ilvl="0" w:tentative="0">
      <w:start w:val="1"/>
      <w:numFmt w:val="chineseCounting"/>
      <w:suff w:val="nothing"/>
      <w:lvlText w:val="%1、"/>
      <w:lvlJc w:val="left"/>
      <w:rPr>
        <w:rFonts w:hint="eastAsia"/>
      </w:rPr>
    </w:lvl>
  </w:abstractNum>
  <w:abstractNum w:abstractNumId="1">
    <w:nsid w:val="67F7896F"/>
    <w:multiLevelType w:val="singleLevel"/>
    <w:tmpl w:val="67F7896F"/>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JkMzhjMmZmY2JkYmFmNjdiZjczY2ViNTc2Nzc5MT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466CD"/>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1A87AFF"/>
    <w:rsid w:val="021E0508"/>
    <w:rsid w:val="02FEBE30"/>
    <w:rsid w:val="03877D74"/>
    <w:rsid w:val="043953C0"/>
    <w:rsid w:val="04916F1E"/>
    <w:rsid w:val="04C80BE4"/>
    <w:rsid w:val="05037275"/>
    <w:rsid w:val="05B9677F"/>
    <w:rsid w:val="05D81EC4"/>
    <w:rsid w:val="061E35DE"/>
    <w:rsid w:val="066E0107"/>
    <w:rsid w:val="07996F6E"/>
    <w:rsid w:val="07DFD8BA"/>
    <w:rsid w:val="07E21FBD"/>
    <w:rsid w:val="08955AD0"/>
    <w:rsid w:val="08D228B5"/>
    <w:rsid w:val="095347F5"/>
    <w:rsid w:val="097C160A"/>
    <w:rsid w:val="09867E8F"/>
    <w:rsid w:val="09BE0A46"/>
    <w:rsid w:val="0A2032A3"/>
    <w:rsid w:val="0AFB245D"/>
    <w:rsid w:val="0CA8290A"/>
    <w:rsid w:val="0D35B1ED"/>
    <w:rsid w:val="0E254B6B"/>
    <w:rsid w:val="0F6E2388"/>
    <w:rsid w:val="0F98263C"/>
    <w:rsid w:val="101860EC"/>
    <w:rsid w:val="101F47CC"/>
    <w:rsid w:val="10C055FF"/>
    <w:rsid w:val="11694EBD"/>
    <w:rsid w:val="11772AA4"/>
    <w:rsid w:val="118107EC"/>
    <w:rsid w:val="11CB1D14"/>
    <w:rsid w:val="12AF5192"/>
    <w:rsid w:val="12E24EE2"/>
    <w:rsid w:val="13365499"/>
    <w:rsid w:val="13D50BC4"/>
    <w:rsid w:val="14B17F78"/>
    <w:rsid w:val="14DE5E10"/>
    <w:rsid w:val="14EA24B1"/>
    <w:rsid w:val="15BF56EC"/>
    <w:rsid w:val="165E0673"/>
    <w:rsid w:val="16B831D5"/>
    <w:rsid w:val="16BB723D"/>
    <w:rsid w:val="16C136E5"/>
    <w:rsid w:val="17E50567"/>
    <w:rsid w:val="186504BB"/>
    <w:rsid w:val="19A445FC"/>
    <w:rsid w:val="1A8E38DF"/>
    <w:rsid w:val="1AAC38DB"/>
    <w:rsid w:val="1BE8440E"/>
    <w:rsid w:val="1C8651B5"/>
    <w:rsid w:val="1D155CEE"/>
    <w:rsid w:val="1D1638FE"/>
    <w:rsid w:val="1E312DEB"/>
    <w:rsid w:val="1E454BFC"/>
    <w:rsid w:val="1E740ACF"/>
    <w:rsid w:val="1FF35744"/>
    <w:rsid w:val="1FF6BC77"/>
    <w:rsid w:val="201E1F41"/>
    <w:rsid w:val="2186353C"/>
    <w:rsid w:val="23860B96"/>
    <w:rsid w:val="2398757C"/>
    <w:rsid w:val="23A6197B"/>
    <w:rsid w:val="23F64217"/>
    <w:rsid w:val="240371BF"/>
    <w:rsid w:val="244F3473"/>
    <w:rsid w:val="24C97D99"/>
    <w:rsid w:val="25A718F0"/>
    <w:rsid w:val="25BB59F6"/>
    <w:rsid w:val="25E9530A"/>
    <w:rsid w:val="260F557C"/>
    <w:rsid w:val="266E3D3D"/>
    <w:rsid w:val="26970054"/>
    <w:rsid w:val="281408E2"/>
    <w:rsid w:val="281F2148"/>
    <w:rsid w:val="29E857EE"/>
    <w:rsid w:val="29FD04D3"/>
    <w:rsid w:val="2B01299A"/>
    <w:rsid w:val="2BFF7BC6"/>
    <w:rsid w:val="2C2E3173"/>
    <w:rsid w:val="2C5544DD"/>
    <w:rsid w:val="2C8A61B5"/>
    <w:rsid w:val="2CD81EA7"/>
    <w:rsid w:val="2DDF4725"/>
    <w:rsid w:val="2DF04E50"/>
    <w:rsid w:val="2E586DFA"/>
    <w:rsid w:val="2F040D46"/>
    <w:rsid w:val="2F6B035B"/>
    <w:rsid w:val="2FAE5751"/>
    <w:rsid w:val="2FB1A395"/>
    <w:rsid w:val="2FD9A7D8"/>
    <w:rsid w:val="2FDBF714"/>
    <w:rsid w:val="30AB6865"/>
    <w:rsid w:val="31750675"/>
    <w:rsid w:val="318D6246"/>
    <w:rsid w:val="319F7F4E"/>
    <w:rsid w:val="329A4AF6"/>
    <w:rsid w:val="32A36868"/>
    <w:rsid w:val="32BD1EF1"/>
    <w:rsid w:val="3304709D"/>
    <w:rsid w:val="33A773CB"/>
    <w:rsid w:val="349D6851"/>
    <w:rsid w:val="34E754D7"/>
    <w:rsid w:val="364A6DFC"/>
    <w:rsid w:val="36A42A4F"/>
    <w:rsid w:val="36AA5135"/>
    <w:rsid w:val="36BE0DA7"/>
    <w:rsid w:val="376B6AA6"/>
    <w:rsid w:val="376D39B2"/>
    <w:rsid w:val="37E16F03"/>
    <w:rsid w:val="37F53A3B"/>
    <w:rsid w:val="389B56ED"/>
    <w:rsid w:val="389B6C89"/>
    <w:rsid w:val="38D469F0"/>
    <w:rsid w:val="38F372D7"/>
    <w:rsid w:val="39627CCD"/>
    <w:rsid w:val="397BAF1F"/>
    <w:rsid w:val="3AB79AF3"/>
    <w:rsid w:val="3AE834C0"/>
    <w:rsid w:val="3B7EF35A"/>
    <w:rsid w:val="3B9FDB6C"/>
    <w:rsid w:val="3BF5BC2F"/>
    <w:rsid w:val="3CEBA265"/>
    <w:rsid w:val="3D98207C"/>
    <w:rsid w:val="3DEE7CF3"/>
    <w:rsid w:val="3E740A63"/>
    <w:rsid w:val="3E78745D"/>
    <w:rsid w:val="3ECA1318"/>
    <w:rsid w:val="3EE17838"/>
    <w:rsid w:val="3F0833B0"/>
    <w:rsid w:val="3F55381A"/>
    <w:rsid w:val="3F7F7599"/>
    <w:rsid w:val="3FF4CAE0"/>
    <w:rsid w:val="3FF7B227"/>
    <w:rsid w:val="41792C41"/>
    <w:rsid w:val="42EA1B91"/>
    <w:rsid w:val="43E443EC"/>
    <w:rsid w:val="44E268DA"/>
    <w:rsid w:val="450D13D7"/>
    <w:rsid w:val="45506656"/>
    <w:rsid w:val="45603F46"/>
    <w:rsid w:val="45A63E41"/>
    <w:rsid w:val="45BD3146"/>
    <w:rsid w:val="45C76B48"/>
    <w:rsid w:val="484C480D"/>
    <w:rsid w:val="486A6C7A"/>
    <w:rsid w:val="48FF7556"/>
    <w:rsid w:val="4A084FAB"/>
    <w:rsid w:val="4A627F82"/>
    <w:rsid w:val="4B0E749A"/>
    <w:rsid w:val="4B2477C4"/>
    <w:rsid w:val="4B4F25DA"/>
    <w:rsid w:val="4BE068DB"/>
    <w:rsid w:val="4CDF3C83"/>
    <w:rsid w:val="4D4C4DB0"/>
    <w:rsid w:val="4D577224"/>
    <w:rsid w:val="4DA4699A"/>
    <w:rsid w:val="4DBF1CEB"/>
    <w:rsid w:val="4DF0007C"/>
    <w:rsid w:val="4EAB630A"/>
    <w:rsid w:val="4ECE2238"/>
    <w:rsid w:val="4ED02686"/>
    <w:rsid w:val="4F833267"/>
    <w:rsid w:val="4FB14DB7"/>
    <w:rsid w:val="4FE9BD67"/>
    <w:rsid w:val="4FFB052F"/>
    <w:rsid w:val="50A53155"/>
    <w:rsid w:val="5123409F"/>
    <w:rsid w:val="51C413B8"/>
    <w:rsid w:val="52691F60"/>
    <w:rsid w:val="52C47063"/>
    <w:rsid w:val="53330F6B"/>
    <w:rsid w:val="537E6D0A"/>
    <w:rsid w:val="53D7261D"/>
    <w:rsid w:val="53F74C96"/>
    <w:rsid w:val="54F93A6F"/>
    <w:rsid w:val="55086FD1"/>
    <w:rsid w:val="55170BA8"/>
    <w:rsid w:val="553218C9"/>
    <w:rsid w:val="56372AA1"/>
    <w:rsid w:val="567E1AA5"/>
    <w:rsid w:val="569F41A2"/>
    <w:rsid w:val="56E47B74"/>
    <w:rsid w:val="57175D52"/>
    <w:rsid w:val="57BD3DD4"/>
    <w:rsid w:val="57E44562"/>
    <w:rsid w:val="59213B4F"/>
    <w:rsid w:val="5A1922B1"/>
    <w:rsid w:val="5A2734CC"/>
    <w:rsid w:val="5AF92295"/>
    <w:rsid w:val="5B250254"/>
    <w:rsid w:val="5BDD79E6"/>
    <w:rsid w:val="5BF561CA"/>
    <w:rsid w:val="5BFF5DFC"/>
    <w:rsid w:val="5CD71FC4"/>
    <w:rsid w:val="5D1F11B5"/>
    <w:rsid w:val="5D695134"/>
    <w:rsid w:val="5DAE1B18"/>
    <w:rsid w:val="5DE7D9E5"/>
    <w:rsid w:val="5EA42C9D"/>
    <w:rsid w:val="5ECEC941"/>
    <w:rsid w:val="5EF97F4F"/>
    <w:rsid w:val="5F236AB0"/>
    <w:rsid w:val="5F2525CE"/>
    <w:rsid w:val="5FBF9FF3"/>
    <w:rsid w:val="5FCD4E2C"/>
    <w:rsid w:val="5FEF394A"/>
    <w:rsid w:val="5FF67715"/>
    <w:rsid w:val="60FD48E7"/>
    <w:rsid w:val="62606EDB"/>
    <w:rsid w:val="62922D69"/>
    <w:rsid w:val="62BF3928"/>
    <w:rsid w:val="636447A9"/>
    <w:rsid w:val="63B3701E"/>
    <w:rsid w:val="647F5392"/>
    <w:rsid w:val="64C858B0"/>
    <w:rsid w:val="64F81422"/>
    <w:rsid w:val="654D7C2E"/>
    <w:rsid w:val="65E66580"/>
    <w:rsid w:val="664561D7"/>
    <w:rsid w:val="664B1D71"/>
    <w:rsid w:val="664B4E8E"/>
    <w:rsid w:val="67277B67"/>
    <w:rsid w:val="67AA3209"/>
    <w:rsid w:val="67B81568"/>
    <w:rsid w:val="68522F5F"/>
    <w:rsid w:val="698D0931"/>
    <w:rsid w:val="6A7FE5F3"/>
    <w:rsid w:val="6B053271"/>
    <w:rsid w:val="6B561E68"/>
    <w:rsid w:val="6B6519C4"/>
    <w:rsid w:val="6BDD78B3"/>
    <w:rsid w:val="6C4A05C8"/>
    <w:rsid w:val="6C8742B8"/>
    <w:rsid w:val="6CEC7186"/>
    <w:rsid w:val="6DBF5E93"/>
    <w:rsid w:val="6DFF077E"/>
    <w:rsid w:val="6E714EF0"/>
    <w:rsid w:val="6E7E3605"/>
    <w:rsid w:val="6E7FDCC7"/>
    <w:rsid w:val="6EA463A2"/>
    <w:rsid w:val="6ED6A62E"/>
    <w:rsid w:val="6EE00B15"/>
    <w:rsid w:val="6F6FB3EB"/>
    <w:rsid w:val="6F8731EA"/>
    <w:rsid w:val="6FCE6052"/>
    <w:rsid w:val="6FD57C00"/>
    <w:rsid w:val="6FEFFFD8"/>
    <w:rsid w:val="6FF5CC65"/>
    <w:rsid w:val="6FFB47EC"/>
    <w:rsid w:val="6FFF034A"/>
    <w:rsid w:val="70484440"/>
    <w:rsid w:val="712A28F1"/>
    <w:rsid w:val="715C0E4B"/>
    <w:rsid w:val="717464FF"/>
    <w:rsid w:val="71992E7C"/>
    <w:rsid w:val="72233669"/>
    <w:rsid w:val="72734D90"/>
    <w:rsid w:val="73160E6D"/>
    <w:rsid w:val="7332FE48"/>
    <w:rsid w:val="73AB61DA"/>
    <w:rsid w:val="73AD73D5"/>
    <w:rsid w:val="73B6EB34"/>
    <w:rsid w:val="73FA497D"/>
    <w:rsid w:val="744731E5"/>
    <w:rsid w:val="74BBD01D"/>
    <w:rsid w:val="74ED5379"/>
    <w:rsid w:val="75D15981"/>
    <w:rsid w:val="75DEEEC2"/>
    <w:rsid w:val="75E32345"/>
    <w:rsid w:val="75FE6CDF"/>
    <w:rsid w:val="764E42B0"/>
    <w:rsid w:val="76764AC8"/>
    <w:rsid w:val="76A43029"/>
    <w:rsid w:val="76E3355F"/>
    <w:rsid w:val="76FF5125"/>
    <w:rsid w:val="776F6FFA"/>
    <w:rsid w:val="778769C8"/>
    <w:rsid w:val="77A75DCA"/>
    <w:rsid w:val="77DC22F5"/>
    <w:rsid w:val="782544BF"/>
    <w:rsid w:val="783E271A"/>
    <w:rsid w:val="78616DE9"/>
    <w:rsid w:val="78E875D7"/>
    <w:rsid w:val="79086DAD"/>
    <w:rsid w:val="794744F9"/>
    <w:rsid w:val="79D7FD79"/>
    <w:rsid w:val="79EE5BA4"/>
    <w:rsid w:val="7A894339"/>
    <w:rsid w:val="7AD284E8"/>
    <w:rsid w:val="7AFF7572"/>
    <w:rsid w:val="7B2A40D3"/>
    <w:rsid w:val="7B5E4BE7"/>
    <w:rsid w:val="7B6C7DFB"/>
    <w:rsid w:val="7BBD2674"/>
    <w:rsid w:val="7BBFBED0"/>
    <w:rsid w:val="7BC3E394"/>
    <w:rsid w:val="7C1F3737"/>
    <w:rsid w:val="7C73635D"/>
    <w:rsid w:val="7C8E388C"/>
    <w:rsid w:val="7CBFC87B"/>
    <w:rsid w:val="7CFE0F48"/>
    <w:rsid w:val="7D21078B"/>
    <w:rsid w:val="7D272ABC"/>
    <w:rsid w:val="7D7EC23E"/>
    <w:rsid w:val="7DB50159"/>
    <w:rsid w:val="7E282B4B"/>
    <w:rsid w:val="7E736BE6"/>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index 8"/>
    <w:basedOn w:val="1"/>
    <w:next w:val="1"/>
    <w:unhideWhenUsed/>
    <w:qFormat/>
    <w:uiPriority w:val="99"/>
    <w:pPr>
      <w:widowControl w:val="0"/>
      <w:ind w:left="2940"/>
      <w:jc w:val="both"/>
    </w:pPr>
    <w:rPr>
      <w:rFonts w:ascii="Calibri" w:hAnsi="Calibri" w:eastAsia="宋体" w:cs="黑体"/>
      <w:kern w:val="2"/>
      <w:sz w:val="21"/>
      <w:szCs w:val="22"/>
      <w:lang w:val="en-US" w:eastAsia="zh-CN" w:bidi="ar-SA"/>
    </w:rPr>
  </w:style>
  <w:style w:type="paragraph" w:styleId="9">
    <w:name w:val="Body Text"/>
    <w:basedOn w:val="1"/>
    <w:next w:val="1"/>
    <w:link w:val="28"/>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7">
    <w:name w:val="Title"/>
    <w:basedOn w:val="1"/>
    <w:qFormat/>
    <w:uiPriority w:val="99"/>
    <w:pPr>
      <w:spacing w:before="240" w:after="60"/>
      <w:jc w:val="center"/>
      <w:outlineLvl w:val="0"/>
    </w:pPr>
    <w:rPr>
      <w:rFonts w:ascii="Arial" w:hAnsi="Arial" w:cs="Arial"/>
      <w:b/>
      <w:bCs/>
      <w:sz w:val="32"/>
      <w:szCs w:val="32"/>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9"/>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5"/>
    <w:qFormat/>
    <w:uiPriority w:val="9"/>
    <w:rPr>
      <w:rFonts w:ascii="Times New Roman" w:hAnsi="Times New Roman"/>
      <w:b/>
      <w:bCs/>
      <w:kern w:val="44"/>
      <w:sz w:val="44"/>
      <w:szCs w:val="44"/>
    </w:rPr>
  </w:style>
  <w:style w:type="character" w:customStyle="1" w:styleId="32">
    <w:name w:val="标题 2 Char"/>
    <w:basedOn w:val="19"/>
    <w:link w:val="6"/>
    <w:qFormat/>
    <w:uiPriority w:val="9"/>
    <w:rPr>
      <w:rFonts w:asciiTheme="majorHAnsi" w:hAnsiTheme="majorHAnsi" w:eastAsiaTheme="majorEastAsia" w:cstheme="majorBidi"/>
      <w:b/>
      <w:bCs/>
      <w:kern w:val="2"/>
      <w:sz w:val="32"/>
      <w:szCs w:val="32"/>
    </w:rPr>
  </w:style>
  <w:style w:type="paragraph" w:customStyle="1" w:styleId="33">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1"/>
    <w:semiHidden/>
    <w:qFormat/>
    <w:uiPriority w:val="99"/>
    <w:rPr>
      <w:rFonts w:ascii="Times New Roman" w:hAnsi="Times New Roman"/>
      <w:kern w:val="2"/>
      <w:sz w:val="18"/>
      <w:szCs w:val="18"/>
    </w:rPr>
  </w:style>
  <w:style w:type="character" w:customStyle="1" w:styleId="35">
    <w:name w:val="标题 3 Char"/>
    <w:basedOn w:val="19"/>
    <w:link w:val="7"/>
    <w:qFormat/>
    <w:uiPriority w:val="9"/>
    <w:rPr>
      <w:rFonts w:ascii="Times New Roman" w:hAnsi="Times New Roman"/>
      <w:b/>
      <w:bCs/>
      <w:kern w:val="2"/>
      <w:sz w:val="32"/>
      <w:szCs w:val="32"/>
    </w:rPr>
  </w:style>
  <w:style w:type="paragraph" w:customStyle="1" w:styleId="36">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8">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收入支出决算总体情况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收入支出决算总体情况说明</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2024年度收入、支出总计</c:v>
                </c:pt>
                <c:pt idx="1">
                  <c:v>2023年度收入、支出总计</c:v>
                </c:pt>
              </c:strCache>
            </c:strRef>
          </c:cat>
          <c:val>
            <c:numRef>
              <c:f>Sheet1!$B$2:$B$3</c:f>
              <c:numCache>
                <c:formatCode>General</c:formatCode>
                <c:ptCount val="2"/>
                <c:pt idx="0">
                  <c:v>14845.37</c:v>
                </c:pt>
                <c:pt idx="1">
                  <c:v>15700.67</c:v>
                </c:pt>
              </c:numCache>
            </c:numRef>
          </c:val>
        </c:ser>
        <c:dLbls>
          <c:showLegendKey val="0"/>
          <c:showVal val="1"/>
          <c:showCatName val="0"/>
          <c:showSerName val="0"/>
          <c:showPercent val="0"/>
          <c:showBubbleSize val="0"/>
        </c:dLbls>
        <c:gapWidth val="219"/>
        <c:overlap val="-27"/>
        <c:axId val="371718805"/>
        <c:axId val="400823538"/>
      </c:barChart>
      <c:catAx>
        <c:axId val="37171880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0823538"/>
        <c:crosses val="autoZero"/>
        <c:auto val="1"/>
        <c:lblAlgn val="ctr"/>
        <c:lblOffset val="100"/>
        <c:noMultiLvlLbl val="0"/>
      </c:catAx>
      <c:valAx>
        <c:axId val="40082353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17188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收入决算情况</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一般公共预算财政拨款收入</c:v>
                </c:pt>
                <c:pt idx="1">
                  <c:v>政府性基金预算财政拨款收入</c:v>
                </c:pt>
              </c:strCache>
            </c:strRef>
          </c:cat>
          <c:val>
            <c:numRef>
              <c:f>Sheet1!$B$2:$B$5</c:f>
              <c:numCache>
                <c:formatCode>General</c:formatCode>
                <c:ptCount val="4"/>
                <c:pt idx="0">
                  <c:v>14343.29</c:v>
                </c:pt>
                <c:pt idx="1">
                  <c:v>454.16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支出决算情况</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dLblPos val="bestFit"/>
              <c:showLegendKey val="0"/>
              <c:showVal val="1"/>
              <c:showCatName val="0"/>
              <c:showSerName val="0"/>
              <c:showPercent val="0"/>
              <c:showBubbleSize val="0"/>
              <c:extLst>
                <c:ext xmlns:c15="http://schemas.microsoft.com/office/drawing/2012/chart" uri="{CE6537A1-D6FC-4f65-9D91-7224C49458BB}"/>
              </c:extLst>
            </c:dLbl>
            <c:dLbl>
              <c:idx val="1"/>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682.48</c:v>
                </c:pt>
                <c:pt idx="1">
                  <c:v>14162.89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财政拨款收入支出决算总体情况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2024年度财政拨款收入、支出总计</c:v>
                </c:pt>
                <c:pt idx="1">
                  <c:v>2023年度财政拨款收入、支出总计</c:v>
                </c:pt>
              </c:strCache>
            </c:strRef>
          </c:cat>
          <c:val>
            <c:numRef>
              <c:f>Sheet1!$B$2:$B$3</c:f>
              <c:numCache>
                <c:formatCode>General</c:formatCode>
                <c:ptCount val="2"/>
                <c:pt idx="0">
                  <c:v>14845.37</c:v>
                </c:pt>
                <c:pt idx="1">
                  <c:v>15700.67</c:v>
                </c:pt>
              </c:numCache>
            </c:numRef>
          </c:val>
        </c:ser>
        <c:dLbls>
          <c:showLegendKey val="0"/>
          <c:showVal val="1"/>
          <c:showCatName val="0"/>
          <c:showSerName val="0"/>
          <c:showPercent val="0"/>
          <c:showBubbleSize val="0"/>
        </c:dLbls>
        <c:gapWidth val="219"/>
        <c:overlap val="-27"/>
        <c:axId val="988622406"/>
        <c:axId val="295927171"/>
      </c:barChart>
      <c:catAx>
        <c:axId val="98862240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5927171"/>
        <c:crosses val="autoZero"/>
        <c:auto val="1"/>
        <c:lblAlgn val="ctr"/>
        <c:lblOffset val="100"/>
        <c:noMultiLvlLbl val="0"/>
      </c:catAx>
      <c:valAx>
        <c:axId val="2959271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6224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2024年度一般公共预算财政拨款支出</c:v>
                </c:pt>
                <c:pt idx="1">
                  <c:v>2023年度一般公共预算财政拨款支出</c:v>
                </c:pt>
              </c:strCache>
            </c:strRef>
          </c:cat>
          <c:val>
            <c:numRef>
              <c:f>Sheet1!$B$2:$B$3</c:f>
              <c:numCache>
                <c:formatCode>General</c:formatCode>
                <c:ptCount val="2"/>
                <c:pt idx="0">
                  <c:v>14391.2</c:v>
                </c:pt>
                <c:pt idx="1">
                  <c:v>14540.14</c:v>
                </c:pt>
              </c:numCache>
            </c:numRef>
          </c:val>
        </c:ser>
        <c:dLbls>
          <c:showLegendKey val="0"/>
          <c:showVal val="1"/>
          <c:showCatName val="0"/>
          <c:showSerName val="0"/>
          <c:showPercent val="0"/>
          <c:showBubbleSize val="0"/>
        </c:dLbls>
        <c:gapWidth val="219"/>
        <c:overlap val="-27"/>
        <c:axId val="869807015"/>
        <c:axId val="383295394"/>
      </c:barChart>
      <c:catAx>
        <c:axId val="86980701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3295394"/>
        <c:crosses val="autoZero"/>
        <c:auto val="1"/>
        <c:lblAlgn val="ctr"/>
        <c:lblOffset val="100"/>
        <c:noMultiLvlLbl val="0"/>
      </c:catAx>
      <c:valAx>
        <c:axId val="38329539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98070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一般公共预算财政拨款支出决算结构情况</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2"/>
              <c:layout>
                <c:manualLayout>
                  <c:x val="-0.0972720993718462"/>
                  <c:y val="-0.013938611369271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165201607137795"/>
                  <c:y val="0.0035617667662058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农林水支出</c:v>
                </c:pt>
                <c:pt idx="3">
                  <c:v>住房保障支出</c:v>
                </c:pt>
              </c:strCache>
            </c:strRef>
          </c:cat>
          <c:val>
            <c:numRef>
              <c:f>Sheet1!$B$2:$B$5</c:f>
              <c:numCache>
                <c:formatCode>General</c:formatCode>
                <c:ptCount val="4"/>
                <c:pt idx="0">
                  <c:v>12959.76</c:v>
                </c:pt>
                <c:pt idx="1">
                  <c:v>1375.57</c:v>
                </c:pt>
                <c:pt idx="2">
                  <c:v>5.98</c:v>
                </c:pt>
                <c:pt idx="3">
                  <c:v>49.9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25891315808213"/>
                  <c:y val="-0.16195850318200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公务用车购置及运行维护费支出</c:v>
                </c:pt>
                <c:pt idx="1">
                  <c:v>公务接待费支出</c:v>
                </c:pt>
              </c:strCache>
            </c:strRef>
          </c:cat>
          <c:val>
            <c:numRef>
              <c:f>Sheet1!$B$2:$B$3</c:f>
              <c:numCache>
                <c:formatCode>General</c:formatCode>
                <c:ptCount val="2"/>
                <c:pt idx="0">
                  <c:v>2.9</c:v>
                </c:pt>
                <c:pt idx="1">
                  <c:v>0.37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27</Pages>
  <Words>8668</Words>
  <Characters>9945</Characters>
  <Lines>61</Lines>
  <Paragraphs>17</Paragraphs>
  <TotalTime>2</TotalTime>
  <ScaleCrop>false</ScaleCrop>
  <LinksUpToDate>false</LinksUpToDate>
  <CharactersWithSpaces>10045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张敏</cp:lastModifiedBy>
  <cp:lastPrinted>2025-08-06T17:34:00Z</cp:lastPrinted>
  <dcterms:modified xsi:type="dcterms:W3CDTF">2025-11-04T06:24:17Z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209C4FB5D2B545999AB007A00A7E278E</vt:lpwstr>
  </property>
</Properties>
</file>