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7193"/>
      <w:bookmarkStart w:id="1" w:name="_Toc15378441"/>
      <w:bookmarkStart w:id="2" w:name="_Toc15396475"/>
      <w:bookmarkStart w:id="3" w:name="_Toc15377425"/>
      <w:bookmarkStart w:id="4" w:name="_Toc15306267"/>
      <w:bookmarkStart w:id="5" w:name="_Toc15396597"/>
    </w:p>
    <w:bookmarkEnd w:id="0"/>
    <w:bookmarkEnd w:id="1"/>
    <w:bookmarkEnd w:id="2"/>
    <w:bookmarkEnd w:id="3"/>
    <w:bookmarkEnd w:id="4"/>
    <w:bookmarkEnd w:id="5"/>
    <w:p>
      <w:pPr>
        <w:pStyle w:val="7"/>
        <w:jc w:val="both"/>
        <w:rPr>
          <w:rFonts w:hint="eastAsia" w:ascii="方正小标宋简体" w:hAnsi="宋体" w:eastAsia="方正小标宋简体" w:cs="Times New Roman"/>
          <w:color w:val="auto"/>
          <w:kern w:val="2"/>
          <w:sz w:val="44"/>
          <w:szCs w:val="44"/>
          <w:highlight w:val="none"/>
          <w:lang w:val="en-US" w:eastAsia="zh-CN" w:bidi="ar-SA"/>
        </w:rPr>
      </w:pPr>
    </w:p>
    <w:p>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2024年度</w:t>
      </w:r>
      <w:bookmarkStart w:id="6" w:name="_Toc15306268"/>
    </w:p>
    <w:p>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马边彝族自治县民政局部门决算</w:t>
      </w:r>
      <w:bookmarkEnd w:id="6"/>
    </w:p>
    <w:p>
      <w:pPr>
        <w:pStyle w:val="7"/>
        <w:jc w:val="center"/>
        <w:rPr>
          <w:rFonts w:hint="eastAsia" w:ascii="方正小标宋简体" w:hAnsi="宋体" w:eastAsia="方正小标宋简体" w:cs="Times New Roman"/>
          <w:color w:val="auto"/>
          <w:kern w:val="2"/>
          <w:sz w:val="44"/>
          <w:szCs w:val="44"/>
          <w:highlight w:val="none"/>
          <w:lang w:val="en-US" w:eastAsia="zh-CN" w:bidi="ar-SA"/>
        </w:rPr>
      </w:pPr>
    </w:p>
    <w:p>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24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.................8</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.....................16</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.....................................17</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...............................................................18</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.......................................................................25</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.......................................................................39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6" w:name="_GoBack"/>
      <w:bookmarkEnd w:id="66"/>
      <w:bookmarkStart w:id="7" w:name="_Toc15377196"/>
      <w:bookmarkStart w:id="8" w:name="_Toc15396599"/>
      <w:r>
        <w:rPr>
          <w:rFonts w:hint="eastAsia" w:ascii="Times New Roman" w:hAnsi="Times New Roman" w:eastAsia="仿宋_GB2312" w:cs="仿宋_GB2312"/>
          <w:b/>
          <w:color w:val="auto"/>
          <w:sz w:val="32"/>
          <w:szCs w:val="32"/>
          <w:highlight w:val="none"/>
        </w:rPr>
        <w:br w:type="page"/>
      </w:r>
    </w:p>
    <w:p>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7"/>
      <w:bookmarkEnd w:id="8"/>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（一）贯彻执行党和国家的民政工作各项方针、政策及法律、法规，拟定民政工作地方性文件和地方性政策措施。编制全县民政事业中、长期发展规划，制定年度工作计划并组织实施和监督检查。</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二）拟定社会救助规划、政策和标准并监督实施；负责城乡居民最低生活保障、特困人员救助供养、临时救助和城乡低收入家庭认定工作；负责生活无着流浪乞讨人员救助工作，承担跨县（市、区）生活无着流浪乞讨人员救助管理和协调工作。</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三）拟定并组织实施社会福利事业发展规划，负责城市社会福利事业单位的管理和社区服务工作；协助管理福彩发行工作；负责管理本级福彩公益金并监督全县福彩公益金的管理使用；负责全县福彩公益金资助项目的审核报批工作；拟定残疾人权益保护政策并组织实施；组织、指导社会捐助工作；指导和推进慈善事业的发展。</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（四）拟订养老服务体系建设规划、政策、标准并组织实施,承担老年人福利和特殊困难老年人救助工作;协调推进农村留守老年人关爱服务工作,承担城乡老年社会组织管理工作; 承担特困人员、孤老(儿)和残疾人等特殊群体权益保障工作。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（五）拟订城乡基层群众自治组织建设和社区治理政策意见并指导实施，指导村(居)委员会民主选举、民主决策、民主管理和民主监督工作，推动村务公开和基层民主政治建设； 研究提出加强和改进城乡基层政权建设的建议；指导修订村规民约；开展依法治村；配合做好乡村振兴工作。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（六）拟订全县行政区划管理政策和行政区域界线、地名管理办法，负责乡镇的设立、 撤销、变更和政府驻地迁移以及地名命名、更名的审核报批工作； 组织与邻县行政区域界线的勘定和管理工作；指导乡镇行政区域界线勘定工作; 承办县、乡镇边界纠纷调处工作; 负责地名标志设置和管理工作; 负责全县标准地名图书资料的收集,审定和保管。</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（七）指导全县婚姻登记工作，推进婚俗改革; 负责殡葬管理工作，推进殡葬改革。</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（八）负责依法对全县社会团体、民办非企业单位的登记管理和监督管理；负责社会团体的行政复议工作。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（九）会同有关部门拟订全县社会工作、志愿服务发展规划、政策和职业规范，推进社会工作人才队伍建设和志愿者队伍建设。</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（十）指导、监督民政事业经费的使用和管理，负责民政统计管理工作。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（十一）拟订儿童福利、孤弃儿童保障、儿童收养登记、儿童救助保护工作政策和标准；负责农村留守儿童关爱服务体系建设和困境儿童保障工作；负责生活无着流浪乞讨未成年人救助保护工作。</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（十二）依法依规负责康复辅助器具行业和社会福利、养老服务、殡葬服务、救助管理机构安全生产监督管理工作。 负责职责范围内的安全生产和职业健康、生态环境保护、审批服务便民化等工作。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（十三）完成县委、县政府交办的其它任务。</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（十四）职能转变。 县民政局应强化基本民生保障职能,为困难群众、孤老孤残孤儿等特殊群众提供基本社会服务,促进资源向薄弱地区、领域和环节倾斜。 积极培育社会组织、社会工作者等多元参与主体,推动搭建基层社会治理和社区公共服务平台。</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（十五）有关职责分工.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hint="eastAsia" w:ascii="仿宋" w:hAnsi="仿宋" w:eastAsia="仿宋" w:cs="Times New Roman"/>
          <w:color w:val="auto"/>
          <w:kern w:val="2"/>
          <w:sz w:val="32"/>
          <w:szCs w:val="32"/>
          <w:lang w:val="en-US" w:eastAsia="zh-CN" w:bidi="ar-SA"/>
        </w:rPr>
        <w:t>与县卫生健康局的有关职责分工。县民政局负责统筹推进、督促指导、监督管理养老服务工作，拟订养老服务体系建设规划、政策标准并组织实施，承担老年人福利和特殊困难老年人救助工作。县卫生健康局负责拟订应对人口老龄化、医养结合政策措施，综合协调、督促指导、组织推进老龄健康事业发展，承担老年疾病防治、老年人医疗照护、老年人心理健康与关怀服务等老年健康工作。</w:t>
      </w:r>
    </w:p>
    <w:p>
      <w:pPr>
        <w:pStyle w:val="4"/>
        <w:rPr>
          <w:rStyle w:val="32"/>
          <w:rFonts w:ascii="Times New Roman" w:hAnsi="Times New Roman"/>
          <w:b w:val="0"/>
          <w:bCs w:val="0"/>
          <w:color w:val="auto"/>
          <w:highlight w:val="none"/>
        </w:rPr>
      </w:pPr>
      <w:bookmarkStart w:id="9" w:name="_Toc15396601"/>
      <w:bookmarkStart w:id="10"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9"/>
      <w:bookmarkEnd w:id="10"/>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县民政局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个。</w:t>
      </w:r>
    </w:p>
    <w:p>
      <w:pPr>
        <w:widowControl/>
        <w:ind w:firstLine="640" w:firstLineChars="200"/>
        <w:jc w:val="left"/>
        <w:rPr>
          <w:rFonts w:ascii="Times New Roman" w:hAnsi="Times New Roman" w:eastAsia="仿宋"/>
          <w:color w:val="auto"/>
          <w:kern w:val="0"/>
          <w:sz w:val="32"/>
          <w:szCs w:val="32"/>
          <w:highlight w:val="none"/>
        </w:rPr>
      </w:pPr>
      <w:r>
        <w:rPr>
          <w:rFonts w:hint="eastAsia" w:ascii="仿宋" w:hAnsi="仿宋" w:eastAsia="仿宋" w:cs="Times New Roman"/>
          <w:color w:val="auto"/>
          <w:sz w:val="32"/>
          <w:szCs w:val="32"/>
          <w:highlight w:val="none"/>
          <w:lang w:eastAsia="zh-CN"/>
        </w:rPr>
        <w:t>民政局202</w:t>
      </w:r>
      <w:r>
        <w:rPr>
          <w:rFonts w:hint="eastAsia" w:ascii="仿宋" w:hAnsi="仿宋" w:eastAsia="仿宋" w:cs="Times New Roman"/>
          <w:color w:val="auto"/>
          <w:sz w:val="32"/>
          <w:szCs w:val="32"/>
          <w:highlight w:val="none"/>
          <w:lang w:val="en-US" w:eastAsia="zh-CN"/>
        </w:rPr>
        <w:t>4</w:t>
      </w:r>
      <w:r>
        <w:rPr>
          <w:rFonts w:hint="eastAsia" w:ascii="仿宋" w:hAnsi="仿宋" w:eastAsia="仿宋" w:cs="Times New Roman"/>
          <w:color w:val="auto"/>
          <w:sz w:val="32"/>
          <w:szCs w:val="32"/>
          <w:highlight w:val="none"/>
          <w:lang w:eastAsia="zh-CN"/>
        </w:rPr>
        <w:t>年度没有单独核算的二级预算单位。</w:t>
      </w: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1" w:name="_Toc15396602"/>
      <w:bookmarkStart w:id="12"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1"/>
      <w:bookmarkEnd w:id="12"/>
    </w:p>
    <w:p>
      <w:pPr>
        <w:rPr>
          <w:rFonts w:ascii="Times New Roman" w:hAnsi="Times New Roman"/>
          <w:color w:val="auto"/>
          <w:highlight w:val="none"/>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3" w:name="_Toc15377205"/>
      <w:bookmarkStart w:id="1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3"/>
      <w:bookmarkEnd w:id="14"/>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14845.37万元。与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855.3</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5.45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中省项目资金减少。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96604"/>
      <w:bookmarkStart w:id="16" w:name="_Toc15377206"/>
      <w:r>
        <w:rPr>
          <w:rFonts w:hint="eastAsia" w:ascii="Times New Roman" w:hAnsi="Times New Roman" w:eastAsia="黑体"/>
          <w:color w:val="auto"/>
          <w:sz w:val="32"/>
          <w:szCs w:val="32"/>
          <w:highlight w:val="none"/>
          <w:lang w:eastAsia="zh-CN"/>
        </w:rPr>
        <w:t>二、收入决算情况说明</w:t>
      </w:r>
      <w:bookmarkEnd w:id="15"/>
      <w:bookmarkEnd w:id="16"/>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2024年度本年收入合计</w:t>
      </w:r>
      <w:r>
        <w:rPr>
          <w:rFonts w:hint="eastAsia" w:ascii="Times New Roman" w:hAnsi="Times New Roman" w:eastAsia="仿宋_GB2312" w:cs="仿宋_GB2312"/>
          <w:color w:val="auto"/>
          <w:sz w:val="32"/>
          <w:szCs w:val="32"/>
          <w:highlight w:val="none"/>
        </w:rPr>
        <w:t>14797.45</w:t>
      </w:r>
      <w:r>
        <w:rPr>
          <w:rFonts w:hint="eastAsia" w:ascii="仿宋_GB2312" w:hAnsi="仿宋_GB2312" w:eastAsia="仿宋_GB2312" w:cs="仿宋_GB2312"/>
          <w:sz w:val="32"/>
          <w:szCs w:val="32"/>
        </w:rPr>
        <w:t>万元，其中：一般公共预算财政拨款收入</w:t>
      </w:r>
      <w:r>
        <w:rPr>
          <w:rFonts w:hint="eastAsia" w:ascii="Times New Roman" w:hAnsi="Times New Roman" w:eastAsia="仿宋_GB2312" w:cs="仿宋_GB2312"/>
          <w:color w:val="auto"/>
          <w:sz w:val="32"/>
          <w:szCs w:val="32"/>
          <w:highlight w:val="none"/>
        </w:rPr>
        <w:t>14343.2</w:t>
      </w:r>
      <w:r>
        <w:rPr>
          <w:rFonts w:hint="eastAsia"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96.93</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lang w:eastAsia="zh-CN"/>
        </w:rPr>
        <w:t>454.16万元</w:t>
      </w:r>
      <w:r>
        <w:rPr>
          <w:rFonts w:hint="eastAsia" w:ascii="仿宋_GB2312" w:hAnsi="仿宋_GB2312" w:eastAsia="仿宋_GB2312" w:cs="仿宋_GB2312"/>
          <w:color w:val="auto"/>
          <w:sz w:val="32"/>
          <w:szCs w:val="32"/>
          <w:highlight w:val="none"/>
          <w:lang w:eastAsia="zh-CN"/>
        </w:rPr>
        <w:t>，占</w:t>
      </w:r>
      <w:r>
        <w:rPr>
          <w:rFonts w:hint="eastAsia" w:ascii="仿宋_GB2312" w:hAnsi="仿宋_GB2312" w:eastAsia="仿宋_GB2312" w:cs="仿宋_GB2312"/>
          <w:sz w:val="32"/>
          <w:szCs w:val="32"/>
          <w:lang w:val="en-US" w:eastAsia="zh-CN"/>
        </w:rPr>
        <w:t>3.07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
        <w:rPr>
          <w:rFonts w:hint="eastAsia"/>
          <w:lang w:eastAsia="zh-CN"/>
        </w:rPr>
      </w:pPr>
      <w:r>
        <w:rPr>
          <w:rFonts w:hint="eastAsia"/>
          <w:lang w:eastAsia="zh-CN"/>
        </w:rPr>
        <w:drawing>
          <wp:inline distT="0" distB="0" distL="114300" distR="114300">
            <wp:extent cx="5279390" cy="4180840"/>
            <wp:effectExtent l="4445" t="4445" r="12065" b="57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ind w:firstLine="800" w:firstLineChars="250"/>
        <w:rPr>
          <w:rFonts w:hint="eastAsia" w:ascii="Times New Roman" w:hAnsi="Times New Roman" w:eastAsia="仿宋_GB2312" w:cs="仿宋_GB2312"/>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7" w:name="_Toc15396605"/>
      <w:bookmarkStart w:id="1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7"/>
      <w:bookmarkEnd w:id="18"/>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2024年度本年支出合计</w:t>
      </w:r>
      <w:r>
        <w:rPr>
          <w:rFonts w:hint="eastAsia" w:ascii="Times New Roman" w:hAnsi="Times New Roman" w:eastAsia="仿宋_GB2312" w:cs="仿宋_GB2312"/>
          <w:color w:val="auto"/>
          <w:sz w:val="32"/>
          <w:szCs w:val="32"/>
          <w:highlight w:val="none"/>
        </w:rPr>
        <w:t>14845.37</w:t>
      </w:r>
      <w:r>
        <w:rPr>
          <w:rFonts w:hint="eastAsia" w:ascii="仿宋_GB2312" w:hAnsi="仿宋_GB2312"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rPr>
        <w:t>682.4</w:t>
      </w:r>
      <w:r>
        <w:rPr>
          <w:rFonts w:hint="eastAsia"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4.6</w:t>
      </w:r>
      <w:r>
        <w:rPr>
          <w:rFonts w:hint="eastAsia" w:ascii="仿宋_GB2312" w:hAnsi="仿宋_GB2312" w:eastAsia="仿宋_GB2312" w:cs="仿宋_GB2312"/>
          <w:color w:val="auto"/>
          <w:sz w:val="32"/>
          <w:szCs w:val="32"/>
          <w:highlight w:val="none"/>
          <w:lang w:eastAsia="zh-CN"/>
        </w:rPr>
        <w:t>%；项目支出</w:t>
      </w:r>
      <w:r>
        <w:rPr>
          <w:rFonts w:hint="eastAsia" w:ascii="Times New Roman" w:hAnsi="Times New Roman" w:eastAsia="仿宋_GB2312" w:cs="仿宋_GB2312"/>
          <w:color w:val="auto"/>
          <w:sz w:val="32"/>
          <w:szCs w:val="32"/>
          <w:highlight w:val="none"/>
        </w:rPr>
        <w:t>14162.8</w:t>
      </w:r>
      <w:r>
        <w:rPr>
          <w:rFonts w:hint="eastAsia"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95.4</w:t>
      </w:r>
      <w:r>
        <w:rPr>
          <w:rFonts w:hint="eastAsia" w:ascii="仿宋_GB2312" w:hAnsi="仿宋_GB2312"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outlineLvl w:val="1"/>
        <w:rPr>
          <w:rStyle w:val="32"/>
          <w:rFonts w:ascii="Times New Roman" w:hAnsi="Times New Roman" w:eastAsia="黑体"/>
          <w:b w:val="0"/>
          <w:color w:val="auto"/>
          <w:highlight w:val="none"/>
        </w:rPr>
      </w:pPr>
      <w:bookmarkStart w:id="19" w:name="_Toc15377208"/>
      <w:bookmarkStart w:id="20"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9"/>
      <w:bookmarkEnd w:id="2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Times New Roman" w:hAnsi="Times New Roman" w:eastAsia="仿宋_GB2312" w:cs="仿宋_GB2312"/>
          <w:color w:val="auto"/>
          <w:sz w:val="32"/>
          <w:szCs w:val="32"/>
          <w:highlight w:val="none"/>
        </w:rPr>
        <w:t>14845.37</w:t>
      </w:r>
      <w:r>
        <w:rPr>
          <w:rFonts w:hint="eastAsia" w:ascii="Times New Roman" w:hAnsi="Times New Roman" w:eastAsia="仿宋_GB2312" w:cs="仿宋_GB2312"/>
          <w:color w:val="auto"/>
          <w:kern w:val="2"/>
          <w:sz w:val="32"/>
          <w:szCs w:val="32"/>
          <w:highlight w:val="none"/>
          <w:lang w:val="en-US" w:eastAsia="zh-CN" w:bidi="ar-SA"/>
        </w:rPr>
        <w:t>万元。与2023年度相比，财政拨款收入总计、支出总计各减少</w:t>
      </w:r>
      <w:r>
        <w:rPr>
          <w:rFonts w:hint="eastAsia" w:eastAsia="仿宋_GB2312" w:cs="仿宋_GB2312"/>
          <w:color w:val="auto"/>
          <w:sz w:val="32"/>
          <w:szCs w:val="32"/>
          <w:highlight w:val="none"/>
          <w:lang w:val="en-US" w:eastAsia="zh-CN"/>
        </w:rPr>
        <w:t>855.3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5.45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中省项目资金减少。</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r>
        <w:rPr>
          <w:rFonts w:hint="eastAsia"/>
          <w:lang w:val="en-US" w:eastAsia="zh-CN"/>
        </w:rPr>
        <w:drawing>
          <wp:inline distT="0" distB="0" distL="114300" distR="114300">
            <wp:extent cx="5375275" cy="3886200"/>
            <wp:effectExtent l="4445" t="4445" r="11430"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32"/>
          <w:rFonts w:ascii="Times New Roman" w:hAnsi="Times New Roman" w:eastAsia="黑体"/>
          <w:b w:val="0"/>
          <w:color w:val="auto"/>
          <w:highlight w:val="none"/>
        </w:rPr>
      </w:pPr>
      <w:bookmarkStart w:id="21" w:name="_Toc15396607"/>
      <w:bookmarkStart w:id="2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1"/>
      <w:bookmarkEnd w:id="2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3"/>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Times New Roman" w:hAnsi="Times New Roman" w:eastAsia="仿宋_GB2312" w:cs="仿宋_GB2312"/>
          <w:color w:val="auto"/>
          <w:sz w:val="32"/>
          <w:szCs w:val="32"/>
          <w:highlight w:val="none"/>
        </w:rPr>
        <w:t>14391.20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sz w:val="32"/>
          <w:szCs w:val="32"/>
          <w:highlight w:val="none"/>
          <w:lang w:val="en-US" w:eastAsia="zh-CN"/>
        </w:rPr>
        <w:t>96.94</w:t>
      </w:r>
      <w:r>
        <w:rPr>
          <w:rFonts w:hint="eastAsia" w:ascii="仿宋_GB2312" w:hAnsi="仿宋_GB2312" w:eastAsia="仿宋_GB2312" w:cs="仿宋_GB2312"/>
          <w:color w:val="auto"/>
          <w:kern w:val="2"/>
          <w:sz w:val="32"/>
          <w:szCs w:val="32"/>
          <w:highlight w:val="none"/>
          <w:lang w:val="en-US" w:eastAsia="zh-CN" w:bidi="ar-SA"/>
        </w:rPr>
        <w:t>%。与2023年度相比，一般公共预算财政拨款支出减少148.94万元，下降1.02%。主要变动原因是</w:t>
      </w:r>
      <w:r>
        <w:rPr>
          <w:rFonts w:hint="eastAsia" w:eastAsia="仿宋_GB2312" w:cs="仿宋_GB2312"/>
          <w:color w:val="auto"/>
          <w:sz w:val="32"/>
          <w:szCs w:val="32"/>
          <w:highlight w:val="none"/>
          <w:lang w:eastAsia="zh-CN"/>
        </w:rPr>
        <w:t>中省项目资金减少。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r>
        <w:rPr>
          <w:rFonts w:hint="eastAsia"/>
          <w:lang w:val="en-US" w:eastAsia="zh-CN"/>
        </w:rPr>
        <w:drawing>
          <wp:inline distT="0" distB="0" distL="114300" distR="114300">
            <wp:extent cx="5613400" cy="3828415"/>
            <wp:effectExtent l="4445" t="4445" r="20955" b="1524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Times New Roman" w:hAnsi="Times New Roman" w:eastAsia="仿宋_GB2312" w:cs="仿宋_GB2312"/>
          <w:color w:val="auto"/>
          <w:sz w:val="32"/>
          <w:szCs w:val="32"/>
          <w:highlight w:val="none"/>
        </w:rPr>
        <w:t>14391.20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社会保障和就业支出12959.76万元，占90.05%；卫生健康支出1375.57万元，占9.56%；农林水支出5.98万元，占0.04%；住房保障支出49.90万元，占</w:t>
      </w:r>
      <w:r>
        <w:rPr>
          <w:rFonts w:hint="eastAsia" w:eastAsia="仿宋_GB2312" w:cs="仿宋_GB2312"/>
          <w:color w:val="auto"/>
          <w:kern w:val="2"/>
          <w:sz w:val="32"/>
          <w:szCs w:val="32"/>
          <w:highlight w:val="none"/>
          <w:lang w:val="en-US" w:eastAsia="zh-CN" w:bidi="ar-SA"/>
        </w:rPr>
        <w:t>0.35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r>
        <w:rPr>
          <w:rFonts w:hint="eastAsia"/>
          <w:lang w:val="en-US"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5"/>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26" w:name="_Toc15377213"/>
      <w:bookmarkStart w:id="27" w:name="_Toc15377444"/>
      <w:bookmarkStart w:id="28" w:name="_Toc15378460"/>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Times New Roman" w:hAnsi="Times New Roman" w:eastAsia="仿宋_GB2312" w:cs="仿宋_GB2312"/>
          <w:color w:val="auto"/>
          <w:sz w:val="32"/>
          <w:szCs w:val="32"/>
          <w:highlight w:val="none"/>
        </w:rPr>
        <w:t>14391.2</w:t>
      </w:r>
      <w:r>
        <w:rPr>
          <w:rFonts w:hint="eastAsia" w:eastAsia="仿宋_GB2312" w:cs="仿宋_GB2312"/>
          <w:color w:val="auto"/>
          <w:sz w:val="32"/>
          <w:szCs w:val="32"/>
          <w:highlight w:val="none"/>
          <w:lang w:eastAsia="zh-CN"/>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6"/>
      <w:bookmarkEnd w:id="27"/>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1.社会保障和就业（类）民政管理事务（款）行政运行（项）: 支出决算为285.65万元，完成预算100%，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2.社会保障和就业（类）民政管理事务（款）机关服务（项）：支出决算为238.15万元，完成预算100%。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3.社会保障和就业（类）民政管理事务（款）其他民政管理事务支出（项）：支出决算为46.01万元，完成预算100%。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4.社会保障和就业（类）行政事业单位养老支出（款）机关事业单位基本养老保险缴费支出（项）: 支出决算为59.01万元，完成预算100%。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5.社会保障和就业（类）行政事业单位养老支出（款）机关事业单位职业年金缴费支出（项）: 支出决算为24.45万元，完成预算100%。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6.社会保障和就业（类）社会福利（款）儿童福利（项）: 支出决算为271.48万元，完成预算100%。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7.社会保障和就业（类）社会福利（款）老年福利（项）: 支出决算为312.78万元，完成预算100%。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8.社会保障和就业（类）社会福利（款）殡葬（项）: 支出决算为857.76万元，完成预算100%。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9.社会保障和就业（类）社会福利（款）养老服务（项）: 支出决算为30.83万元，完成预算100%。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10.社会保障和就业（类）社会福利（款）其他社会福利支出（项）: 支出决算为720.00万元，完成预算100%。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11.社会保障和就业（类）残疾人事业（款）残疾人生活和护理补贴（项）: 支出决算为684.96万元，完成预算100%。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12.社会保障和就业（类）最低生活保障（款）城市最低生活保障金支出（项）: 支出决算为285.00万元，完成预算100%。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13.社会保障和就业（类）最低生活保障（款）农村最低生活保障金支出（项）: 支出决算为7,549.38万元，完成预算100%。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14.社会保障和就业（类）临时救助（款）临时救助支出（项）: 支出决算为88.55万元，完成预算100%。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15.社会保障和就业（类）临时救助（款）流浪乞讨人员救助支出（项）: 支出决算为1.95万元，完成预算100%。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16.社会保障和就业（类）特困人员救助供养支出（款）城市特困人员救助供养支出（项）: 支出决算为40.00万元，完成预算100%。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17.社会保障和就业（类）特困人员救助供养支出（款）农村特困人员救助供养支出（项）: 支出决算为832.31万元，完成预算100%。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18.社会保障和就业（类）其他生活救助（款）其他农村生活救助（项）: 支出决算为429.30万元，完成预算100%。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19.社会保障和就业（类）其他社会保障和就业支出（款）其他社会保障和就业支出（项）: 支出决算为202.18万元，完成预算100%。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20.卫生健康支出（类）卫生健康管理事务（款）其他卫生健康管理事务支出（项）: 支出决算为1288.67万元，完成预算100%。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21.卫生健康支出（类）行政事业单位医疗（款）行政单位医疗（项）: 支出决算为5.85万元，完成预算100%。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22.卫生健康支出（类）行政事业单位医疗（款）事业单位医疗（项）: 支出决算为10.96万元，完成预算100%。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23.卫生健康支出（类）行政事业单位医疗（款）公务员医疗补助（项）: 支出决算为2.84万元，完成预算100%。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24.卫生健康支出（类）其他卫生健康支出（款）其他卫生健康支出（项）：支出决算为67.25万元，完成预算100%。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25.农林水支出（类）巩固脱贫攻坚成果衔接乡村振兴（款）其他巩固脱贫攻坚成果衔接乡村振兴支出（项）：支出决算为5.98万元，完成预算100%。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26.住房保障（类）住房改革支出（款）住房公积金（项）：支出决算为49.90万元，完成预算100%。</w:t>
      </w:r>
    </w:p>
    <w:p>
      <w:pPr>
        <w:tabs>
          <w:tab w:val="right" w:pos="8306"/>
        </w:tabs>
        <w:spacing w:line="600" w:lineRule="exact"/>
        <w:ind w:firstLine="640"/>
        <w:outlineLvl w:val="1"/>
        <w:rPr>
          <w:rStyle w:val="32"/>
          <w:rFonts w:ascii="Times New Roman" w:hAnsi="Times New Roman"/>
          <w:color w:val="auto"/>
          <w:highlight w:val="none"/>
        </w:rPr>
      </w:pPr>
      <w:bookmarkStart w:id="29" w:name="_Toc15396608"/>
      <w:bookmarkStart w:id="3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9"/>
      <w:bookmarkEnd w:id="30"/>
      <w:r>
        <w:rPr>
          <w:rStyle w:val="32"/>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Times New Roman" w:hAnsi="Times New Roman" w:eastAsia="仿宋_GB2312" w:cs="仿宋_GB2312"/>
          <w:color w:val="auto"/>
          <w:sz w:val="32"/>
          <w:szCs w:val="32"/>
          <w:highlight w:val="none"/>
        </w:rPr>
        <w:t>682.48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Times New Roman" w:hAnsi="Times New Roman" w:eastAsia="仿宋_GB2312" w:cs="仿宋_GB2312"/>
          <w:color w:val="auto"/>
          <w:sz w:val="32"/>
          <w:szCs w:val="32"/>
          <w:highlight w:val="none"/>
        </w:rPr>
        <w:t>609.30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生活补助、医疗费补助、住房公积金、其他对个人和家庭的补助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Times New Roman" w:hAnsi="Times New Roman" w:eastAsia="仿宋_GB2312" w:cs="仿宋_GB2312"/>
          <w:color w:val="auto"/>
          <w:sz w:val="32"/>
          <w:szCs w:val="32"/>
          <w:highlight w:val="none"/>
        </w:rPr>
        <w:t>73.18</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2"/>
          <w:rFonts w:ascii="Times New Roman" w:hAnsi="Times New Roman" w:eastAsia="黑体"/>
          <w:b w:val="0"/>
          <w:color w:val="auto"/>
          <w:highlight w:val="none"/>
        </w:rPr>
      </w:pPr>
      <w:bookmarkStart w:id="31" w:name="_Toc15396609"/>
      <w:bookmarkStart w:id="32"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1"/>
      <w:bookmarkEnd w:id="3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eastAsia="仿宋_GB2312" w:cs="仿宋_GB2312"/>
          <w:color w:val="auto"/>
          <w:sz w:val="32"/>
          <w:szCs w:val="32"/>
          <w:highlight w:val="none"/>
          <w:lang w:val="en-US" w:eastAsia="zh-CN"/>
        </w:rPr>
        <w:t>3.27</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eastAsia="仿宋_GB2312" w:cs="仿宋_GB2312"/>
          <w:color w:val="auto"/>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0.57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14.84</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4"/>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，占0%；公务用车购置及运行维护费支出决算</w:t>
      </w:r>
      <w:r>
        <w:rPr>
          <w:rFonts w:hint="eastAsia" w:eastAsia="仿宋_GB2312" w:cs="仿宋_GB2312"/>
          <w:color w:val="auto"/>
          <w:sz w:val="32"/>
          <w:szCs w:val="32"/>
          <w:highlight w:val="none"/>
          <w:lang w:val="en-US" w:eastAsia="zh-CN"/>
        </w:rPr>
        <w:t>2.9</w:t>
      </w:r>
      <w:r>
        <w:rPr>
          <w:rFonts w:hint="eastAsia" w:ascii="仿宋_GB2312" w:hAnsi="仿宋_GB2312" w:eastAsia="仿宋_GB2312" w:cs="仿宋_GB2312"/>
          <w:color w:val="auto"/>
          <w:kern w:val="2"/>
          <w:sz w:val="32"/>
          <w:szCs w:val="32"/>
          <w:highlight w:val="none"/>
          <w:lang w:val="en-US" w:eastAsia="zh-CN" w:bidi="ar-SA"/>
        </w:rPr>
        <w:t>万元，占88.69%；公务接待费支出决算</w:t>
      </w:r>
      <w:r>
        <w:rPr>
          <w:rFonts w:hint="eastAsia" w:eastAsia="仿宋_GB2312" w:cs="仿宋_GB2312"/>
          <w:color w:val="auto"/>
          <w:sz w:val="32"/>
          <w:szCs w:val="32"/>
          <w:highlight w:val="none"/>
          <w:lang w:val="en-US" w:eastAsia="zh-CN"/>
        </w:rPr>
        <w:t>0.37</w:t>
      </w:r>
      <w:r>
        <w:rPr>
          <w:rFonts w:hint="eastAsia" w:ascii="仿宋_GB2312" w:hAnsi="仿宋_GB2312" w:eastAsia="仿宋_GB2312" w:cs="仿宋_GB2312"/>
          <w:color w:val="auto"/>
          <w:kern w:val="2"/>
          <w:sz w:val="32"/>
          <w:szCs w:val="32"/>
          <w:highlight w:val="none"/>
          <w:lang w:val="en-US" w:eastAsia="zh-CN" w:bidi="ar-SA"/>
        </w:rPr>
        <w:t>万元，占11.31%。具体情况如下：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pPr>
        <w:rPr>
          <w:rFonts w:hint="eastAsia"/>
          <w:lang w:val="en-US" w:eastAsia="zh-CN"/>
        </w:rPr>
      </w:pPr>
      <w:r>
        <w:rPr>
          <w:rFonts w:hint="eastAsia"/>
          <w:lang w:val="en-US" w:eastAsia="zh-CN"/>
        </w:rPr>
        <w:drawing>
          <wp:inline distT="0" distB="0" distL="114300" distR="114300">
            <wp:extent cx="5080000" cy="3810000"/>
            <wp:effectExtent l="4445" t="4445" r="2095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color w:val="auto"/>
          <w:sz w:val="32"/>
          <w:szCs w:val="32"/>
          <w:highlight w:val="none"/>
          <w:lang w:val="en-US" w:eastAsia="zh-CN"/>
        </w:rPr>
        <w:t>2.9</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公务用车购置及运行维护费支出决算比2023年度增加</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出差和下乡增多。</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Times New Roman" w:hAnsi="Times New Roman" w:eastAsia="仿宋_GB2312" w:cs="仿宋_GB2312"/>
          <w:color w:val="auto"/>
          <w:kern w:val="2"/>
          <w:sz w:val="32"/>
          <w:szCs w:val="32"/>
          <w:highlight w:val="none"/>
          <w:lang w:val="en-US" w:eastAsia="zh-CN" w:bidi="ar-SA"/>
        </w:rPr>
        <w:t>。全年按规定更新购置公务用车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万元。截至2024年12月31日，单位共有公务用车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sz w:val="32"/>
          <w:szCs w:val="32"/>
          <w:highlight w:val="none"/>
          <w:lang w:val="en-US" w:eastAsia="zh-CN"/>
        </w:rPr>
        <w:t>2.9</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color w:val="auto"/>
          <w:sz w:val="32"/>
          <w:szCs w:val="32"/>
          <w:highlight w:val="none"/>
          <w:lang w:val="en-US" w:eastAsia="zh-CN"/>
        </w:rPr>
        <w:t>0.37</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公务接待费支出决算比2023年度减少</w:t>
      </w:r>
      <w:r>
        <w:rPr>
          <w:rFonts w:hint="eastAsia" w:eastAsia="仿宋_GB2312" w:cs="仿宋_GB2312"/>
          <w:color w:val="auto"/>
          <w:kern w:val="2"/>
          <w:sz w:val="32"/>
          <w:szCs w:val="32"/>
          <w:highlight w:val="none"/>
          <w:lang w:val="en-US" w:eastAsia="zh-CN" w:bidi="ar-SA"/>
        </w:rPr>
        <w:t>0.73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66.36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接待减少</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sz w:val="32"/>
          <w:szCs w:val="32"/>
          <w:highlight w:val="none"/>
          <w:lang w:val="en-US" w:eastAsia="zh-CN"/>
        </w:rPr>
        <w:t>0.37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ascii="仿宋_GB2312" w:eastAsia="仿宋_GB2312"/>
          <w:color w:val="auto"/>
          <w:sz w:val="32"/>
          <w:szCs w:val="32"/>
          <w:highlight w:val="none"/>
        </w:rPr>
        <w:t>执行公务、开展业务活动开支的交通费、住宿费、用餐费等</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eastAsia="仿宋_GB2312" w:cs="仿宋_GB2312"/>
          <w:color w:val="auto"/>
          <w:sz w:val="32"/>
          <w:szCs w:val="32"/>
          <w:highlight w:val="none"/>
          <w:lang w:val="en-US" w:eastAsia="zh-CN"/>
        </w:rPr>
        <w:t>6</w:t>
      </w:r>
      <w:r>
        <w:rPr>
          <w:rFonts w:hint="eastAsia" w:ascii="仿宋_GB2312" w:hAnsi="仿宋_GB2312" w:eastAsia="仿宋_GB2312" w:cs="仿宋_GB2312"/>
          <w:color w:val="auto"/>
          <w:kern w:val="2"/>
          <w:sz w:val="32"/>
          <w:szCs w:val="32"/>
          <w:highlight w:val="none"/>
          <w:lang w:val="en-US" w:eastAsia="zh-CN" w:bidi="ar-SA"/>
        </w:rPr>
        <w:t>批次，</w:t>
      </w:r>
      <w:r>
        <w:rPr>
          <w:rFonts w:hint="eastAsia" w:eastAsia="仿宋_GB2312" w:cs="仿宋_GB2312"/>
          <w:color w:val="auto"/>
          <w:sz w:val="32"/>
          <w:szCs w:val="32"/>
          <w:highlight w:val="none"/>
          <w:lang w:val="en-US" w:eastAsia="zh-CN"/>
        </w:rPr>
        <w:t>28</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0.37</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接待省厅建设项目检查、市局民政系统综合评估工作检查、市局开展散居孤儿走访及检查嘉爱小屋项目、市救助站2次、接待资中县民政局婚俗改革交流学习。</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外事接待</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35" w:name="_Toc15377218"/>
      <w:bookmarkStart w:id="36" w:name="_Toc15396610"/>
    </w:p>
    <w:p>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5"/>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lang w:eastAsia="zh-CN"/>
        </w:rPr>
        <w:t>454.16万元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ascii="仿宋_GB2312" w:hAnsi="仿宋_GB2312" w:eastAsia="仿宋_GB2312" w:cs="仿宋_GB2312"/>
          <w:sz w:val="32"/>
          <w:szCs w:val="32"/>
          <w:lang w:val="en-US" w:eastAsia="zh-CN"/>
        </w:rPr>
        <w:t>3.06</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。与2023年度相比，政府性基金预算财政拨款支出减少</w:t>
      </w:r>
      <w:r>
        <w:rPr>
          <w:rFonts w:hint="eastAsia" w:eastAsia="仿宋_GB2312" w:cs="仿宋_GB2312"/>
          <w:color w:val="auto"/>
          <w:kern w:val="2"/>
          <w:sz w:val="32"/>
          <w:szCs w:val="32"/>
          <w:highlight w:val="none"/>
          <w:lang w:val="en-US" w:eastAsia="zh-CN" w:bidi="ar-SA"/>
        </w:rPr>
        <w:t>706.37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60.87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中省项目资金减少。</w:t>
      </w:r>
    </w:p>
    <w:p>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7" w:name="_Toc15396611"/>
      <w:bookmarkStart w:id="38"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7"/>
      <w:bookmarkEnd w:id="3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39" w:name="_Toc15396612"/>
      <w:bookmarkStart w:id="40"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9"/>
      <w:bookmarkEnd w:id="40"/>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2"/>
      <w:r>
        <w:rPr>
          <w:rFonts w:hint="eastAsia" w:ascii="Times New Roman" w:hAnsi="Times New Roman" w:eastAsia="楷体_GB2312" w:cs="楷体_GB2312"/>
          <w:b/>
          <w:color w:val="auto"/>
          <w:sz w:val="32"/>
          <w:szCs w:val="32"/>
          <w:highlight w:val="none"/>
        </w:rPr>
        <w:t>（一）机关运行经费支出情况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Times New Roman" w:hAnsi="Times New Roman" w:eastAsia="仿宋_GB2312" w:cs="仿宋_GB2312"/>
          <w:color w:val="auto"/>
          <w:sz w:val="32"/>
          <w:szCs w:val="32"/>
          <w:highlight w:val="none"/>
        </w:rPr>
        <w:t>73.18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hint="eastAsia" w:eastAsia="仿宋_GB2312" w:cs="仿宋_GB2312"/>
          <w:color w:val="auto"/>
          <w:kern w:val="2"/>
          <w:sz w:val="32"/>
          <w:szCs w:val="32"/>
          <w:highlight w:val="none"/>
          <w:lang w:val="en-US" w:eastAsia="zh-CN" w:bidi="ar-SA"/>
        </w:rPr>
        <w:t>2.48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3.28</w:t>
      </w:r>
      <w:r>
        <w:rPr>
          <w:rFonts w:hint="eastAsia" w:ascii="Times New Roman" w:hAnsi="Times New Roman" w:eastAsia="仿宋_GB2312" w:cs="仿宋_GB2312"/>
          <w:color w:val="auto"/>
          <w:kern w:val="2"/>
          <w:sz w:val="32"/>
          <w:szCs w:val="32"/>
          <w:highlight w:val="none"/>
          <w:lang w:val="en-US" w:eastAsia="zh-CN" w:bidi="ar-SA"/>
        </w:rPr>
        <w:t>%。主要原因是人员减少</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3"/>
      <w:r>
        <w:rPr>
          <w:rFonts w:hint="eastAsia" w:ascii="Times New Roman" w:hAnsi="Times New Roman" w:eastAsia="楷体_GB2312" w:cs="楷体_GB2312"/>
          <w:b/>
          <w:color w:val="auto"/>
          <w:sz w:val="32"/>
          <w:szCs w:val="32"/>
          <w:highlight w:val="none"/>
        </w:rPr>
        <w:t>（二）政府采购支出情况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2024年度，政府采购支出总额</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4"/>
      <w:r>
        <w:rPr>
          <w:rFonts w:hint="eastAsia" w:ascii="Times New Roman" w:hAnsi="Times New Roman" w:eastAsia="楷体_GB2312" w:cs="楷体_GB2312"/>
          <w:b/>
          <w:color w:val="auto"/>
          <w:sz w:val="32"/>
          <w:szCs w:val="32"/>
          <w:highlight w:val="none"/>
        </w:rPr>
        <w:t>（三）国有资产占有使用情况</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截至2024年12月31日，共有车辆</w:t>
      </w:r>
      <w:r>
        <w:rPr>
          <w:rFonts w:hint="eastAsia"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s="Times New Roman"/>
          <w:sz w:val="32"/>
          <w:szCs w:val="32"/>
          <w:lang w:eastAsia="zh-CN"/>
        </w:rPr>
        <w:t>流浪乞讨救助、下乡核查困难群众情况</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在2024年度预算编制阶段，组织对</w:t>
      </w:r>
      <w:r>
        <w:rPr>
          <w:rFonts w:hint="eastAsia" w:eastAsia="仿宋_GB2312" w:cs="仿宋_GB2312"/>
          <w:color w:val="auto"/>
          <w:kern w:val="2"/>
          <w:sz w:val="32"/>
          <w:szCs w:val="32"/>
          <w:highlight w:val="none"/>
          <w:lang w:val="en-US" w:eastAsia="zh-CN" w:bidi="ar-SA"/>
        </w:rPr>
        <w:t>孤儿和事实无人抚养儿童生活费、高龄补贴、困难残疾人生活补贴、重度残疾人护理补贴、城乡居民最低生活保障金、特困人员供养、居家和集中救助</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组织对2024年度一般公共预算、政府性基金预算、国有资本经营预算、社会保险基金预算以及资本资产、债券资金等全面开展绩效自评，形成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马边彝族自治县民政局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困难群众救助资金</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马边彝族自治县民政局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4" w:name="_Toc15377225"/>
      <w:bookmarkStart w:id="4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4"/>
      <w:bookmarkEnd w:id="45"/>
    </w:p>
    <w:p>
      <w:pPr>
        <w:spacing w:line="600" w:lineRule="exact"/>
        <w:jc w:val="left"/>
        <w:rPr>
          <w:rFonts w:ascii="Times New Roman" w:hAnsi="Times New Roman"/>
          <w:b/>
          <w:color w:val="auto"/>
          <w:sz w:val="44"/>
          <w:szCs w:val="44"/>
          <w:highlight w:val="none"/>
        </w:rPr>
      </w:pP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1.财政拨款收入：指单位从同级财政部门取得的财政预算资金。</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2.事业收入：指事业单位开展专业业务活动及辅助活动取得的收入。</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3.经营收入：指事业单位在专业业务活动及其辅助活动之外开展非独立核算经营活动取得的收入。</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4.其他收入：指单位取得的除上述收入以外的各项收入。</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5.</w:t>
      </w:r>
      <w:r>
        <w:rPr>
          <w:rFonts w:hint="eastAsia" w:ascii="仿宋_GB2312" w:eastAsia="仿宋_GB2312" w:cs="Times New Roman"/>
          <w:sz w:val="32"/>
          <w:szCs w:val="32"/>
          <w:lang w:eastAsia="zh-CN"/>
        </w:rPr>
        <w:t>使用非财政拨款结余</w:t>
      </w:r>
      <w:r>
        <w:rPr>
          <w:rFonts w:hint="eastAsia" w:ascii="仿宋_GB2312" w:eastAsia="仿宋_GB2312" w:cs="Times New Roman"/>
          <w:sz w:val="32"/>
          <w:szCs w:val="32"/>
        </w:rPr>
        <w:t>：指事业单位</w:t>
      </w:r>
      <w:r>
        <w:rPr>
          <w:rFonts w:hint="eastAsia" w:ascii="仿宋_GB2312" w:eastAsia="仿宋_GB2312" w:cs="Times New Roman"/>
          <w:sz w:val="32"/>
          <w:szCs w:val="32"/>
          <w:lang w:eastAsia="zh-CN"/>
        </w:rPr>
        <w:t>使用以前年度积累的非财政拨款结余弥补当年收支差额的金额。</w:t>
      </w:r>
      <w:r>
        <w:rPr>
          <w:rFonts w:hint="eastAsia" w:ascii="仿宋_GB2312" w:eastAsia="仿宋_GB2312" w:cs="Times New Roman"/>
          <w:sz w:val="32"/>
          <w:szCs w:val="32"/>
        </w:rPr>
        <w:t xml:space="preserve"> </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 xml:space="preserve">6.年初结转和结余：指以前年度尚未完成、结转到本年按有关规定继续使用的资金。 </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7.结余分配：指事业单位按照会计制度规定</w:t>
      </w:r>
      <w:r>
        <w:rPr>
          <w:rFonts w:hint="eastAsia" w:ascii="仿宋_GB2312" w:eastAsia="仿宋_GB2312" w:cs="Times New Roman"/>
          <w:sz w:val="32"/>
          <w:szCs w:val="32"/>
          <w:lang w:eastAsia="zh-CN"/>
        </w:rPr>
        <w:t>缴纳的所得税、提取的专用结余以及转入非财政拨款结余的金额</w:t>
      </w:r>
      <w:r>
        <w:rPr>
          <w:rFonts w:hint="eastAsia" w:ascii="仿宋_GB2312" w:eastAsia="仿宋_GB2312" w:cs="Times New Roman"/>
          <w:sz w:val="32"/>
          <w:szCs w:val="32"/>
        </w:rPr>
        <w:t>等。</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8</w:t>
      </w:r>
      <w:r>
        <w:rPr>
          <w:rFonts w:hint="eastAsia" w:ascii="仿宋_GB2312" w:eastAsia="仿宋_GB2312" w:cs="Times New Roman"/>
          <w:sz w:val="32"/>
          <w:szCs w:val="32"/>
          <w:lang w:val="en-US" w:eastAsia="zh-CN"/>
        </w:rPr>
        <w:t>.</w:t>
      </w:r>
      <w:r>
        <w:rPr>
          <w:rFonts w:hint="eastAsia" w:ascii="仿宋_GB2312" w:eastAsia="仿宋_GB2312" w:cs="Times New Roman"/>
          <w:sz w:val="32"/>
          <w:szCs w:val="32"/>
        </w:rPr>
        <w:t>年末结转和结余：指单位按有关规定结转到下年或以后年度继续使用的资金。</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9.社会保障和就业（类）民政管理事务（款）行政运行（项）：反映行政单位（包括实行公务员管理的事业单位）的基本支出。</w:t>
      </w:r>
      <w:r>
        <w:rPr>
          <w:rFonts w:hint="eastAsia" w:ascii="仿宋_GB2312" w:eastAsia="仿宋_GB2312" w:cs="Times New Roman"/>
          <w:sz w:val="32"/>
          <w:szCs w:val="32"/>
          <w:lang w:val="en-US" w:eastAsia="zh-CN"/>
        </w:rPr>
        <w:br w:type="textWrapping"/>
      </w:r>
      <w:r>
        <w:rPr>
          <w:rFonts w:hint="eastAsia" w:ascii="仿宋_GB2312" w:eastAsia="仿宋_GB2312" w:cs="Times New Roman"/>
          <w:sz w:val="32"/>
          <w:szCs w:val="32"/>
          <w:lang w:val="en-US" w:eastAsia="zh-CN"/>
        </w:rPr>
        <w:t xml:space="preserve">   10.社会保障和就业（类）民政管理事务（款）一般行政管理事务（项）：反映行政单位（包括实现公务员管理的事业单位）未单独设置项级科目的其他项目支出。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11.社会保障和就业（类）民政管理事务（款）机关服务（项）：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r>
        <w:rPr>
          <w:rFonts w:hint="eastAsia" w:ascii="仿宋_GB2312" w:eastAsia="仿宋_GB2312" w:cs="Times New Roman"/>
          <w:sz w:val="32"/>
          <w:szCs w:val="32"/>
          <w:lang w:val="en-US" w:eastAsia="zh-CN"/>
        </w:rPr>
        <w:br w:type="textWrapping"/>
      </w:r>
      <w:r>
        <w:rPr>
          <w:rFonts w:hint="eastAsia" w:ascii="仿宋_GB2312" w:eastAsia="仿宋_GB2312" w:cs="Times New Roman"/>
          <w:sz w:val="32"/>
          <w:szCs w:val="32"/>
          <w:lang w:val="en-US" w:eastAsia="zh-CN"/>
        </w:rPr>
        <w:t xml:space="preserve">    12.社会保障和就业（类）民政管理事务（款）基层政权和社区建设（项）：反映开展城乡社区治理、城乡社区服务（乡村便民服务）、村（居）民自治、村（居）务公开、乡镇（街道）服务能力建设等基层政权和社区建设工作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13.社会保障和就业（类）民政管理事务（款）其他民政管理事务支出（项）：反映民政部门接待来访、法制建设、政策宣传方面的支出，以及开展社会救助、社会福利、养老服务、社会事务、信息化建设等方面的支出。</w:t>
      </w:r>
      <w:r>
        <w:rPr>
          <w:rFonts w:hint="eastAsia" w:ascii="仿宋_GB2312" w:eastAsia="仿宋_GB2312" w:cs="Times New Roman"/>
          <w:sz w:val="32"/>
          <w:szCs w:val="32"/>
          <w:lang w:val="en-US" w:eastAsia="zh-CN"/>
        </w:rPr>
        <w:br w:type="textWrapping"/>
      </w:r>
      <w:r>
        <w:rPr>
          <w:rFonts w:hint="eastAsia" w:ascii="仿宋_GB2312" w:eastAsia="仿宋_GB2312" w:cs="Times New Roman"/>
          <w:sz w:val="32"/>
          <w:szCs w:val="32"/>
          <w:lang w:val="en-US" w:eastAsia="zh-CN"/>
        </w:rPr>
        <w:t xml:space="preserve">    14.社会保障和就业（类）行政事业单位离退休（款）机关事业单位基本养老保险缴费支出（项）：反映机关事业单位实施养老保险制度由单位缴纳的基本养老保险费支出。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15.社会保障和就业（类）社会福利（款）儿童福利（项）：反映对儿童提供福利服务方面的支出。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16.社会保障和就业（类）社会福利（款）老年福利（项）：反映对老年了提供福利服务方面的支出。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17.社会保障和就业（类）社会福利（款）殡葬（项）：反映财政对民政及其他部门举办的火葬场等殡仪事业单位的补助支出等。</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18.社会保障和就业（类）社会福利（款）养老服务（项）：反映财政在养老服务方面的补助支出，包括支持养老服务机构提供居家社区养老服务的支出，对养老服务机构的运营、建设补助支出等，不包括对社会福利方面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19.社会保障和就业（类）残疾人康复（款）残疾人生活和护理补贴（项）：反映困难残疾人生活补贴和重度残疾人护理补贴支出。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20.社会保障和就业（类）最低生活保障（款）农村最低生活保障金支出（项）：反映农村最低生活保障对象的最低生活保障金支出。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21.社会保障和就业（类）临时救助（款）临时救助支出（项）：反映用于城乡生活困难居民的临时救助支出。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22.社会保障和就业（类）临时救助（款）流浪乞讨人员救助支出（项）：反映用于生活无着的流浪乞讨人员的救助支出和救助管理机构的运转支出。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23.社会保障和就业（类）特困人员救助供养（款）农村特困人员救助供养支出（项）：反映农村特困人员救助供养支出。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24.社会保障和就业（类）其他生活救助（款）其他城市生活救助（项）：反映除最低生活保障、临时救助、特困人员供养外，用于城市生活困难居民生活救助的其他支出。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25.社会保障和就业（类）其他生活救助（款）其他农村生活救助（项）：反映除最低生活保障、临时救助、特困人员供养、自然灾害生活救助外，用于农村生活困难居民生活救助的其他支出。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26.社会保障和就业（类）其他社会保障和就业支出（款）其他社会保障和就业支出（项）：反映除上述项目以外的其他用于社会保障和就业方面的支出。</w:t>
      </w:r>
    </w:p>
    <w:p>
      <w:pPr>
        <w:spacing w:line="600" w:lineRule="exact"/>
        <w:ind w:firstLine="640" w:firstLineChars="200"/>
        <w:rPr>
          <w:rFonts w:hint="default" w:ascii="仿宋_GB2312" w:eastAsia="仿宋_GB2312" w:cs="Times New Roman"/>
          <w:sz w:val="32"/>
          <w:szCs w:val="32"/>
          <w:lang w:val="en-US" w:eastAsia="zh-CN"/>
        </w:rPr>
      </w:pPr>
      <w:r>
        <w:rPr>
          <w:rFonts w:hint="eastAsia" w:ascii="仿宋_GB2312" w:eastAsia="仿宋_GB2312" w:cs="Times New Roman"/>
          <w:sz w:val="32"/>
          <w:szCs w:val="32"/>
          <w:lang w:val="en-US" w:eastAsia="zh-CN"/>
        </w:rPr>
        <w:t>27.医疗卫生与计划生育支出（类）行政事业单位医疗（款）行政单位医疗（项）：反映财政部门集中安排的行政单位基本医疗保险缴费经费，未参加医疗保险的行政单位的公费医疗经费，按国家规定享受离休人员、红军老战士待遇人员的医疗经费。</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28.住房保障支出（类）住房改革支出（款）住房公积金（项）：反映行政事业单位按人力资源和社会保障部、财政部规定的基本工资和津贴以及规定比例为职工缴纳的住房公积金。</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2</w:t>
      </w:r>
      <w:r>
        <w:rPr>
          <w:rFonts w:hint="eastAsia" w:ascii="仿宋_GB2312" w:eastAsia="仿宋_GB2312" w:cs="Times New Roman"/>
          <w:sz w:val="32"/>
          <w:szCs w:val="32"/>
          <w:lang w:val="en-US" w:eastAsia="zh-CN"/>
        </w:rPr>
        <w:t>9</w:t>
      </w:r>
      <w:r>
        <w:rPr>
          <w:rFonts w:hint="eastAsia" w:ascii="仿宋_GB2312" w:eastAsia="仿宋_GB2312" w:cs="Times New Roman"/>
          <w:sz w:val="32"/>
          <w:szCs w:val="32"/>
        </w:rPr>
        <w:t>.基本支出：指为保障机构正常运转、完成日常工作任务而发生的人员支出和公用支出。</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lang w:val="en-US" w:eastAsia="zh-CN"/>
        </w:rPr>
        <w:t>30</w:t>
      </w:r>
      <w:r>
        <w:rPr>
          <w:rFonts w:hint="eastAsia" w:ascii="仿宋_GB2312" w:eastAsia="仿宋_GB2312" w:cs="Times New Roman"/>
          <w:sz w:val="32"/>
          <w:szCs w:val="32"/>
        </w:rPr>
        <w:t xml:space="preserve">.项目支出：指在基本支出之外为完成特定行政任务和事业发展目标所发生的支出。 </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lang w:val="en-US" w:eastAsia="zh-CN"/>
        </w:rPr>
        <w:t>31</w:t>
      </w:r>
      <w:r>
        <w:rPr>
          <w:rFonts w:hint="eastAsia" w:ascii="仿宋_GB2312" w:eastAsia="仿宋_GB2312" w:cs="Times New Roman"/>
          <w:sz w:val="32"/>
          <w:szCs w:val="32"/>
        </w:rPr>
        <w:t>.经营支出：指事业单位在专业业务活动及其辅助活动之外开展非独立核算经营活动发生的支出。</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3</w:t>
      </w:r>
      <w:r>
        <w:rPr>
          <w:rFonts w:hint="eastAsia" w:ascii="仿宋_GB2312" w:eastAsia="仿宋_GB2312" w:cs="Times New Roman"/>
          <w:sz w:val="32"/>
          <w:szCs w:val="32"/>
          <w:lang w:val="en-US" w:eastAsia="zh-CN"/>
        </w:rPr>
        <w:t>2</w:t>
      </w:r>
      <w:r>
        <w:rPr>
          <w:rFonts w:hint="eastAsia" w:ascii="仿宋_GB2312"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3</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31"/>
          <w:rFonts w:hint="eastAsia" w:ascii="Times New Roman" w:hAnsi="Times New Roman" w:eastAsia="黑体"/>
          <w:b w:val="0"/>
          <w:color w:val="auto"/>
          <w:highlight w:val="none"/>
          <w:lang w:eastAsia="zh-CN"/>
        </w:rPr>
      </w:pPr>
      <w:bookmarkStart w:id="4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eastAsia="zh-CN"/>
        </w:rPr>
        <w:t>马边彝族自治县民政局</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2" w:firstLineChars="200"/>
        <w:contextualSpacing/>
        <w:jc w:val="left"/>
        <w:textAlignment w:val="auto"/>
        <w:outlineLvl w:val="9"/>
        <w:rPr>
          <w:rFonts w:hint="default" w:ascii="Times New Roman" w:hAnsi="Times New Roman" w:eastAsia="黑体" w:cs="Times New Roman"/>
          <w:b/>
          <w:bCs/>
          <w:color w:val="000000"/>
          <w:kern w:val="0"/>
          <w:sz w:val="24"/>
          <w:szCs w:val="32"/>
          <w:highlight w:val="none"/>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Times New Roman" w:eastAsia="仿宋_GB2312" w:cs="Times New Roman"/>
          <w:b/>
          <w:bCs/>
          <w:kern w:val="2"/>
          <w:sz w:val="32"/>
          <w:szCs w:val="32"/>
          <w:lang w:val="zh-CN" w:eastAsia="zh-CN" w:bidi="ar-SA"/>
        </w:rPr>
      </w:pPr>
      <w:r>
        <w:rPr>
          <w:rFonts w:hint="eastAsia" w:ascii="仿宋_GB2312" w:hAnsi="Times New Roman" w:eastAsia="仿宋_GB2312" w:cs="Times New Roman"/>
          <w:b/>
          <w:bCs/>
          <w:kern w:val="2"/>
          <w:sz w:val="32"/>
          <w:szCs w:val="32"/>
          <w:lang w:val="zh-CN" w:eastAsia="zh-CN" w:bidi="ar-SA"/>
        </w:rPr>
        <w:t>一、部门基本情况</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Times New Roman" w:eastAsia="仿宋_GB2312" w:cs="Times New Roman"/>
          <w:b/>
          <w:bCs/>
          <w:kern w:val="2"/>
          <w:sz w:val="32"/>
          <w:szCs w:val="32"/>
          <w:lang w:val="zh-CN" w:eastAsia="zh-CN" w:bidi="ar-SA"/>
        </w:rPr>
      </w:pPr>
      <w:r>
        <w:rPr>
          <w:rFonts w:hint="eastAsia" w:ascii="仿宋_GB2312" w:hAnsi="Times New Roman" w:eastAsia="仿宋_GB2312" w:cs="Times New Roman"/>
          <w:b/>
          <w:bCs/>
          <w:kern w:val="2"/>
          <w:sz w:val="32"/>
          <w:szCs w:val="32"/>
          <w:lang w:val="zh-CN" w:eastAsia="zh-CN" w:bidi="ar-SA"/>
        </w:rPr>
        <w:t>（一）机构组成。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宋体"/>
          <w:color w:val="000000"/>
          <w:kern w:val="0"/>
          <w:szCs w:val="32"/>
          <w:shd w:val="clear" w:color="auto" w:fill="FFFFFF"/>
          <w:lang w:val="zh-CN"/>
        </w:rPr>
      </w:pPr>
      <w:r>
        <w:rPr>
          <w:rFonts w:hint="eastAsia" w:ascii="仿宋_GB2312" w:hAnsi="Times New Roman" w:eastAsia="仿宋_GB2312" w:cs="Times New Roman"/>
          <w:kern w:val="2"/>
          <w:sz w:val="32"/>
          <w:szCs w:val="32"/>
          <w:lang w:val="en-US" w:eastAsia="zh-CN" w:bidi="ar-SA"/>
        </w:rPr>
        <w:t>马边彝族自治县民政局下设办公室、社会综合事务股、社会救助和福利股（养老服务和儿童保障股），下属事业单位包括马边彝族自治县养老服务中心（马边彝族自治县老年大学）、马边彝族自治县殡葬服务中心、马边彝族自治县社会救助福利中心（马边彝族自治县慈善会服务中心）、马边彝族自治县婚姻登记服务中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Times New Roman" w:eastAsia="仿宋_GB2312" w:cs="Times New Roman"/>
          <w:b/>
          <w:bCs/>
          <w:kern w:val="2"/>
          <w:sz w:val="32"/>
          <w:szCs w:val="32"/>
          <w:lang w:val="zh-CN" w:eastAsia="zh-CN" w:bidi="ar-SA"/>
        </w:rPr>
      </w:pPr>
      <w:r>
        <w:rPr>
          <w:rFonts w:hint="eastAsia" w:ascii="仿宋_GB2312" w:hAnsi="Times New Roman" w:eastAsia="仿宋_GB2312" w:cs="Times New Roman"/>
          <w:b/>
          <w:bCs/>
          <w:kern w:val="2"/>
          <w:sz w:val="32"/>
          <w:szCs w:val="32"/>
          <w:lang w:val="zh-CN" w:eastAsia="zh-CN" w:bidi="ar-SA"/>
        </w:rPr>
        <w:t>（二）机构职能和人员概况。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（1）拟订全县民政事业发展规划、政策等并组织实施。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（2）拟订社会团体、社会服务机构等社会组织登记和监督管理办法并组织实施，依法对社会组织进行登记管理和执法监督。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（3）牵头拟订社会救助规划、政策等，统筹推进社会救助体系建设，负责城乡居民最低生活保障、特困人员救助供养、临时救助、生活无着流浪乞讨人员救助工作。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（4）负责全县行政区划设立、命名、撤销、变更和政府驻地迁移等审核报批工作。组织并指导全县行政区域界限的勘定、管理工作，调处行政区域边界争议，负责全县地名工作的统一监督管理工作。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（5）拟订婚姻管理政策并组织实施，推进婚俗改革。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（6）拟订殡葬管理政策、服务规范并组织实施，负责殡葬管理工作，推进殡葬改革。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（7）拟订社会福利事业发展规划、政策等，拟订社会福利机构管理办法并指导实施，拟订残疾人权益保护政策并监督实施。负责康复辅助器具行业管理，统筹推进残疾人福利制度建设和康复辅助器具产业发展。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（8）承担县老龄工作委员会的具体工作。组织拟订并协调落实积极应对人口老龄化政策措施。指导协调老年人权益保障工作。组织拟订老年人社会参与政策并组织实施。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9）组织拟订并协调落实促进养老事业发展的政策措施。统筹推进、督促指导、监督管理养老服务工作，拟订养老服务体系建设规划、政策等并组织实施，承担老年人福利和特殊困难老年人救助工作，协调推进农村留守老年人关爱服务工作。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（10）拟订儿童福利、孤弃儿童保障、儿童收养、儿童救助保护政策等并组织实施，健全农村留守儿童关爱服务体系和困境儿童保障制度，负责全县儿童涉港澳台收养登记工作。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（11）组织拟订促进慈善事业发展政策，指导社会捐助工作。协助管理福利彩票销售工作。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 xml:space="preserve">（12）依法依规负责康复辅助器具行业和社会福利、养老服务、殡葬服务、救助管理机构安全生产监督管理工作。负责职责范围内的职业健康、生态环境保护、审批服务便民化等工作。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color w:val="auto"/>
          <w:kern w:val="0"/>
          <w:sz w:val="32"/>
          <w:szCs w:val="32"/>
          <w:lang w:val="en-US" w:eastAsia="zh-CN"/>
        </w:rPr>
      </w:pPr>
      <w:r>
        <w:rPr>
          <w:rFonts w:hint="eastAsia" w:ascii="仿宋_GB2312" w:hAnsi="仿宋_GB2312" w:eastAsia="仿宋_GB2312" w:cs="仿宋_GB2312"/>
          <w:bCs/>
          <w:color w:val="auto"/>
          <w:kern w:val="0"/>
          <w:sz w:val="32"/>
          <w:szCs w:val="32"/>
          <w:lang w:val="en-US" w:eastAsia="zh-CN"/>
        </w:rPr>
        <w:t>（13）完成县委、县政府交办的其他任务。</w:t>
      </w:r>
    </w:p>
    <w:p>
      <w:pPr>
        <w:snapToGrid w:val="0"/>
        <w:spacing w:line="520" w:lineRule="exact"/>
        <w:ind w:firstLine="640" w:firstLineChars="200"/>
        <w:rPr>
          <w:lang w:val="zh-CN"/>
        </w:rPr>
      </w:pPr>
      <w:r>
        <w:rPr>
          <w:rFonts w:hint="eastAsia" w:ascii="仿宋_GB2312" w:eastAsia="仿宋_GB2312"/>
          <w:sz w:val="32"/>
          <w:szCs w:val="32"/>
        </w:rPr>
        <w:t>年</w:t>
      </w:r>
      <w:r>
        <w:rPr>
          <w:rFonts w:hint="eastAsia" w:ascii="仿宋_GB2312" w:eastAsia="仿宋_GB2312"/>
          <w:sz w:val="32"/>
          <w:szCs w:val="32"/>
          <w:lang w:eastAsia="zh-CN"/>
        </w:rPr>
        <w:t>末</w:t>
      </w:r>
      <w:r>
        <w:rPr>
          <w:rFonts w:hint="eastAsia" w:ascii="仿宋_GB2312" w:eastAsia="仿宋_GB2312"/>
          <w:sz w:val="32"/>
          <w:szCs w:val="32"/>
        </w:rPr>
        <w:t>实有人数</w:t>
      </w:r>
      <w:r>
        <w:rPr>
          <w:rFonts w:hint="eastAsia" w:ascii="仿宋_GB2312" w:eastAsia="仿宋_GB2312"/>
          <w:sz w:val="32"/>
          <w:szCs w:val="32"/>
          <w:lang w:val="en-US" w:eastAsia="zh-CN"/>
        </w:rPr>
        <w:t>32</w:t>
      </w:r>
      <w:r>
        <w:rPr>
          <w:rFonts w:hint="eastAsia" w:ascii="仿宋_GB2312" w:eastAsia="仿宋_GB2312"/>
          <w:sz w:val="32"/>
          <w:szCs w:val="32"/>
        </w:rPr>
        <w:t>人</w:t>
      </w:r>
      <w:r>
        <w:rPr>
          <w:rFonts w:hint="eastAsia" w:ascii="仿宋_GB2312" w:eastAsia="仿宋_GB2312"/>
          <w:sz w:val="32"/>
          <w:szCs w:val="32"/>
          <w:lang w:eastAsia="zh-CN"/>
        </w:rPr>
        <w:t>，其中行政编制</w:t>
      </w:r>
      <w:r>
        <w:rPr>
          <w:rFonts w:hint="eastAsia" w:ascii="仿宋_GB2312" w:eastAsia="仿宋_GB2312"/>
          <w:sz w:val="32"/>
          <w:szCs w:val="32"/>
          <w:lang w:val="en-US" w:eastAsia="zh-CN"/>
        </w:rPr>
        <w:t>9人，机关工勤1人，事业人员22人。</w:t>
      </w:r>
    </w:p>
    <w:p>
      <w:pPr>
        <w:snapToGrid w:val="0"/>
        <w:spacing w:line="520" w:lineRule="exact"/>
        <w:ind w:firstLine="643" w:firstLineChars="200"/>
        <w:rPr>
          <w:rFonts w:hint="eastAsia" w:ascii="仿宋_GB2312" w:hAnsi="Times New Roman" w:eastAsia="仿宋_GB2312" w:cs="Times New Roman"/>
          <w:b/>
          <w:bCs/>
          <w:sz w:val="32"/>
          <w:szCs w:val="32"/>
          <w:lang w:val="zh-CN"/>
        </w:rPr>
      </w:pPr>
      <w:r>
        <w:rPr>
          <w:rFonts w:hint="eastAsia" w:ascii="仿宋_GB2312" w:hAnsi="Times New Roman" w:eastAsia="仿宋_GB2312" w:cs="Times New Roman"/>
          <w:b/>
          <w:bCs/>
          <w:sz w:val="32"/>
          <w:szCs w:val="32"/>
          <w:lang w:val="zh-CN"/>
        </w:rPr>
        <w:t>（三）年度主要工作任务。</w:t>
      </w:r>
    </w:p>
    <w:p>
      <w:pPr>
        <w:snapToGrid w:val="0"/>
        <w:spacing w:line="52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Times New Roman" w:eastAsia="仿宋_GB2312" w:cs="Times New Roman"/>
          <w:sz w:val="32"/>
          <w:szCs w:val="32"/>
          <w:lang w:val="en-US" w:eastAsia="zh-CN"/>
        </w:rPr>
        <w:t>1.织密扎牢基本民生兜底保障网。建立健全</w:t>
      </w:r>
      <w:r>
        <w:rPr>
          <w:rFonts w:hint="eastAsia" w:ascii="仿宋_GB2312" w:hAnsi="Times New Roman" w:eastAsia="仿宋_GB2312" w:cs="Times New Roman"/>
          <w:sz w:val="32"/>
          <w:szCs w:val="32"/>
        </w:rPr>
        <w:t>困难群众监测预警和主动发现快速响应机制</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规范社会救助动态管理和监督运行流程</w:t>
      </w:r>
      <w:r>
        <w:rPr>
          <w:rFonts w:hint="eastAsia" w:ascii="仿宋_GB2312" w:hAnsi="Times New Roman" w:eastAsia="仿宋_GB2312" w:cs="Times New Roman"/>
          <w:sz w:val="32"/>
          <w:szCs w:val="32"/>
          <w:lang w:eastAsia="zh-CN"/>
        </w:rPr>
        <w:t>。一是</w:t>
      </w:r>
      <w:r>
        <w:rPr>
          <w:rFonts w:hint="eastAsia" w:ascii="仿宋_GB2312" w:hAnsi="Times New Roman" w:eastAsia="仿宋_GB2312" w:cs="Times New Roman"/>
          <w:sz w:val="32"/>
          <w:szCs w:val="32"/>
          <w:lang w:val="en-US" w:eastAsia="zh-CN"/>
        </w:rPr>
        <w:t>充分发挥低保兜底作用。印发《马边彝族自治县社会救助审核确认权限下放乡镇工作方案的通知》，将</w:t>
      </w:r>
      <w:r>
        <w:rPr>
          <w:rFonts w:hint="eastAsia" w:ascii="仿宋_GB2312" w:hAnsi="Times New Roman" w:eastAsia="仿宋_GB2312" w:cs="Times New Roman"/>
          <w:sz w:val="32"/>
          <w:szCs w:val="32"/>
        </w:rPr>
        <w:t>社会救助审核确认权限下放15个乡镇，</w:t>
      </w:r>
      <w:r>
        <w:rPr>
          <w:rFonts w:hint="eastAsia" w:ascii="仿宋_GB2312" w:hAnsi="Times New Roman" w:eastAsia="仿宋_GB2312" w:cs="Times New Roman"/>
          <w:sz w:val="32"/>
          <w:szCs w:val="32"/>
          <w:lang w:eastAsia="zh-CN"/>
        </w:rPr>
        <w:t>缩短社会救助审</w:t>
      </w:r>
      <w:r>
        <w:rPr>
          <w:rFonts w:hint="eastAsia" w:ascii="仿宋_GB2312" w:hAnsi="仿宋_GB2312" w:eastAsia="仿宋_GB2312" w:cs="仿宋_GB2312"/>
          <w:color w:val="auto"/>
          <w:kern w:val="0"/>
          <w:sz w:val="32"/>
          <w:szCs w:val="32"/>
          <w:lang w:eastAsia="zh-CN"/>
        </w:rPr>
        <w:t>批时限，确保救助及时、高效</w:t>
      </w:r>
      <w:r>
        <w:rPr>
          <w:rFonts w:hint="eastAsia" w:ascii="仿宋_GB2312" w:hAnsi="仿宋_GB2312" w:eastAsia="仿宋_GB2312" w:cs="仿宋_GB2312"/>
          <w:bCs/>
          <w:color w:val="auto"/>
          <w:kern w:val="0"/>
          <w:sz w:val="32"/>
          <w:szCs w:val="32"/>
          <w:lang w:eastAsia="zh-CN"/>
        </w:rPr>
        <w:t>。印发</w:t>
      </w:r>
      <w:r>
        <w:rPr>
          <w:rFonts w:hint="eastAsia" w:ascii="仿宋_GB2312" w:hAnsi="仿宋_GB2312" w:eastAsia="仿宋_GB2312" w:cs="仿宋_GB2312"/>
          <w:color w:val="auto"/>
          <w:kern w:val="0"/>
          <w:sz w:val="32"/>
          <w:szCs w:val="32"/>
        </w:rPr>
        <w:t>《关于开展城乡低保清理核查工作的通知》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sz w:val="32"/>
          <w:szCs w:val="32"/>
          <w:lang w:val="en-US" w:eastAsia="zh-CN"/>
        </w:rPr>
        <w:t>在全县范围内开展城乡低保复核工作，</w:t>
      </w:r>
      <w:r>
        <w:rPr>
          <w:rFonts w:hint="eastAsia" w:ascii="仿宋_GB2312" w:hAnsi="仿宋_GB2312" w:eastAsia="仿宋_GB2312" w:cs="仿宋_GB2312"/>
          <w:b w:val="0"/>
          <w:bCs w:val="0"/>
          <w:color w:val="000000"/>
          <w:kern w:val="2"/>
          <w:sz w:val="32"/>
          <w:szCs w:val="32"/>
          <w:lang w:val="en-US" w:eastAsia="zh-CN" w:bidi="ar-SA"/>
        </w:rPr>
        <w:t>对脱贫人口中</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符合条件的114户173人全部纳入兜底保障，确保应退尽退、</w:t>
      </w:r>
      <w:r>
        <w:rPr>
          <w:rFonts w:hint="eastAsia" w:ascii="仿宋_GB2312" w:hAnsi="仿宋_GB2312" w:eastAsia="仿宋_GB2312" w:cs="仿宋_GB2312"/>
          <w:b w:val="0"/>
          <w:bCs w:val="0"/>
          <w:color w:val="000000"/>
          <w:kern w:val="2"/>
          <w:sz w:val="32"/>
          <w:szCs w:val="32"/>
          <w:lang w:val="en-US" w:eastAsia="zh-CN" w:bidi="ar-SA"/>
        </w:rPr>
        <w:t>应兜尽兜、应救尽救。</w:t>
      </w:r>
      <w:r>
        <w:rPr>
          <w:rFonts w:hint="eastAsia" w:ascii="仿宋_GB2312" w:hAnsi="仿宋_GB2312" w:eastAsia="仿宋_GB2312" w:cs="仿宋_GB2312"/>
          <w:bCs/>
          <w:color w:val="auto"/>
          <w:kern w:val="0"/>
          <w:sz w:val="32"/>
          <w:szCs w:val="32"/>
          <w:lang w:val="en-US" w:eastAsia="zh-CN" w:bidi="ar-SA"/>
        </w:rPr>
        <w:t>一年来，</w:t>
      </w:r>
      <w:r>
        <w:rPr>
          <w:rFonts w:hint="eastAsia" w:ascii="仿宋_GB2312" w:hAnsi="仿宋_GB2312" w:eastAsia="仿宋_GB2312" w:cs="仿宋_GB2312"/>
          <w:bCs/>
          <w:color w:val="auto"/>
          <w:kern w:val="0"/>
          <w:sz w:val="32"/>
          <w:szCs w:val="32"/>
        </w:rPr>
        <w:t>新增城乡低保对象</w:t>
      </w:r>
      <w:r>
        <w:rPr>
          <w:rFonts w:hint="eastAsia" w:ascii="仿宋_GB2312" w:hAnsi="仿宋_GB2312" w:eastAsia="仿宋_GB2312" w:cs="仿宋_GB2312"/>
          <w:bCs/>
          <w:color w:val="auto"/>
          <w:kern w:val="0"/>
          <w:sz w:val="32"/>
          <w:szCs w:val="32"/>
          <w:lang w:val="en-US" w:eastAsia="zh-CN"/>
        </w:rPr>
        <w:t>804</w:t>
      </w:r>
      <w:r>
        <w:rPr>
          <w:rFonts w:hint="eastAsia" w:ascii="仿宋_GB2312" w:hAnsi="仿宋_GB2312" w:eastAsia="仿宋_GB2312" w:cs="仿宋_GB2312"/>
          <w:bCs/>
          <w:color w:val="auto"/>
          <w:kern w:val="0"/>
          <w:sz w:val="32"/>
          <w:szCs w:val="32"/>
        </w:rPr>
        <w:t>人</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color w:val="auto"/>
          <w:kern w:val="0"/>
          <w:sz w:val="32"/>
          <w:szCs w:val="32"/>
        </w:rPr>
        <w:t>取消城乡低保对象</w:t>
      </w:r>
      <w:r>
        <w:rPr>
          <w:rFonts w:hint="eastAsia" w:ascii="仿宋_GB2312" w:hAnsi="仿宋_GB2312" w:eastAsia="仿宋_GB2312" w:cs="仿宋_GB2312"/>
          <w:bCs/>
          <w:color w:val="auto"/>
          <w:kern w:val="0"/>
          <w:sz w:val="32"/>
          <w:szCs w:val="32"/>
          <w:lang w:val="en-US" w:eastAsia="zh-CN"/>
        </w:rPr>
        <w:t>1046</w:t>
      </w:r>
      <w:r>
        <w:rPr>
          <w:rFonts w:hint="eastAsia" w:ascii="仿宋_GB2312" w:hAnsi="仿宋_GB2312" w:eastAsia="仿宋_GB2312" w:cs="仿宋_GB2312"/>
          <w:bCs/>
          <w:color w:val="auto"/>
          <w:kern w:val="0"/>
          <w:sz w:val="32"/>
          <w:szCs w:val="32"/>
        </w:rPr>
        <w:t>人</w:t>
      </w:r>
      <w:r>
        <w:rPr>
          <w:rFonts w:hint="eastAsia" w:ascii="仿宋_GB2312" w:hAnsi="仿宋_GB2312" w:eastAsia="仿宋_GB2312" w:cs="仿宋_GB2312"/>
          <w:bCs/>
          <w:color w:val="auto"/>
          <w:kern w:val="0"/>
          <w:sz w:val="32"/>
          <w:szCs w:val="32"/>
          <w:lang w:eastAsia="zh-CN"/>
        </w:rPr>
        <w:t>，累计救助</w:t>
      </w:r>
      <w:r>
        <w:rPr>
          <w:rFonts w:hint="eastAsia" w:ascii="仿宋_GB2312" w:hAnsi="仿宋_GB2312" w:eastAsia="仿宋_GB2312" w:cs="仿宋_GB2312"/>
          <w:bCs/>
          <w:color w:val="auto"/>
          <w:kern w:val="0"/>
          <w:sz w:val="32"/>
          <w:szCs w:val="32"/>
          <w:lang w:val="en-US" w:eastAsia="zh-CN"/>
        </w:rPr>
        <w:t>234820人次；</w:t>
      </w:r>
      <w:r>
        <w:rPr>
          <w:rFonts w:hint="eastAsia" w:ascii="仿宋_GB2312" w:hAnsi="仿宋_GB2312" w:eastAsia="仿宋_GB2312" w:cs="仿宋_GB2312"/>
          <w:bCs/>
          <w:color w:val="auto"/>
          <w:kern w:val="0"/>
          <w:sz w:val="32"/>
          <w:szCs w:val="32"/>
        </w:rPr>
        <w:t>新增城乡特困对象</w:t>
      </w:r>
      <w:r>
        <w:rPr>
          <w:rFonts w:hint="eastAsia" w:ascii="仿宋_GB2312" w:hAnsi="仿宋_GB2312" w:eastAsia="仿宋_GB2312" w:cs="仿宋_GB2312"/>
          <w:bCs/>
          <w:color w:val="auto"/>
          <w:kern w:val="0"/>
          <w:sz w:val="32"/>
          <w:szCs w:val="32"/>
          <w:lang w:val="en-US" w:eastAsia="zh-CN"/>
        </w:rPr>
        <w:t>66</w:t>
      </w:r>
      <w:r>
        <w:rPr>
          <w:rFonts w:hint="eastAsia" w:ascii="仿宋_GB2312" w:hAnsi="仿宋_GB2312" w:eastAsia="仿宋_GB2312" w:cs="仿宋_GB2312"/>
          <w:bCs/>
          <w:color w:val="auto"/>
          <w:kern w:val="0"/>
          <w:sz w:val="32"/>
          <w:szCs w:val="32"/>
        </w:rPr>
        <w:t>人</w:t>
      </w:r>
      <w:r>
        <w:rPr>
          <w:rFonts w:hint="eastAsia" w:ascii="仿宋_GB2312" w:hAnsi="仿宋_GB2312" w:eastAsia="仿宋_GB2312" w:cs="仿宋_GB2312"/>
          <w:bCs/>
          <w:color w:val="auto"/>
          <w:kern w:val="0"/>
          <w:sz w:val="32"/>
          <w:szCs w:val="32"/>
          <w:lang w:eastAsia="zh-CN"/>
        </w:rPr>
        <w:t>、取消</w:t>
      </w:r>
      <w:r>
        <w:rPr>
          <w:rFonts w:hint="eastAsia" w:ascii="仿宋_GB2312" w:hAnsi="仿宋_GB2312" w:eastAsia="仿宋_GB2312" w:cs="仿宋_GB2312"/>
          <w:bCs/>
          <w:color w:val="auto"/>
          <w:kern w:val="0"/>
          <w:sz w:val="32"/>
          <w:szCs w:val="32"/>
        </w:rPr>
        <w:t>城乡特困对象</w:t>
      </w:r>
      <w:r>
        <w:rPr>
          <w:rFonts w:hint="eastAsia" w:ascii="仿宋_GB2312" w:hAnsi="仿宋_GB2312" w:eastAsia="仿宋_GB2312" w:cs="仿宋_GB2312"/>
          <w:bCs/>
          <w:color w:val="auto"/>
          <w:kern w:val="0"/>
          <w:sz w:val="32"/>
          <w:szCs w:val="32"/>
          <w:lang w:val="en-US" w:eastAsia="zh-CN"/>
        </w:rPr>
        <w:t>35</w:t>
      </w:r>
      <w:r>
        <w:rPr>
          <w:rFonts w:hint="eastAsia" w:ascii="仿宋_GB2312" w:hAnsi="仿宋_GB2312" w:eastAsia="仿宋_GB2312" w:cs="仿宋_GB2312"/>
          <w:bCs/>
          <w:color w:val="auto"/>
          <w:kern w:val="0"/>
          <w:sz w:val="32"/>
          <w:szCs w:val="32"/>
        </w:rPr>
        <w:t>人</w:t>
      </w:r>
      <w:r>
        <w:rPr>
          <w:rFonts w:hint="eastAsia" w:ascii="仿宋_GB2312" w:hAnsi="仿宋_GB2312" w:eastAsia="仿宋_GB2312" w:cs="仿宋_GB2312"/>
          <w:bCs/>
          <w:color w:val="auto"/>
          <w:kern w:val="0"/>
          <w:sz w:val="32"/>
          <w:szCs w:val="32"/>
          <w:lang w:eastAsia="zh-CN"/>
        </w:rPr>
        <w:t>，累计救助</w:t>
      </w:r>
      <w:r>
        <w:rPr>
          <w:rFonts w:hint="eastAsia" w:ascii="仿宋_GB2312" w:hAnsi="仿宋_GB2312" w:eastAsia="仿宋_GB2312" w:cs="仿宋_GB2312"/>
          <w:bCs/>
          <w:color w:val="auto"/>
          <w:kern w:val="0"/>
          <w:sz w:val="32"/>
          <w:szCs w:val="32"/>
          <w:lang w:val="en-US" w:eastAsia="zh-CN"/>
        </w:rPr>
        <w:t>9584人次</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color w:val="auto"/>
          <w:sz w:val="32"/>
          <w:szCs w:val="32"/>
        </w:rPr>
        <w:t>实现残疾人两项补贴资格认定申请“跨省通办”“全程网办”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Cs/>
          <w:color w:val="auto"/>
          <w:kern w:val="0"/>
          <w:sz w:val="32"/>
          <w:szCs w:val="32"/>
        </w:rPr>
        <w:t>精准发放残疾人“两项补贴”</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二是</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进一步健全困难群众救助政策。</w:t>
      </w:r>
      <w:r>
        <w:rPr>
          <w:rFonts w:hint="eastAsia" w:ascii="CESI仿宋-GB2312" w:hAnsi="CESI仿宋-GB2312" w:eastAsia="CESI仿宋-GB2312" w:cs="CESI仿宋-GB2312"/>
          <w:b w:val="0"/>
          <w:bCs w:val="0"/>
          <w:i w:val="0"/>
          <w:iCs w:val="0"/>
          <w:color w:val="auto"/>
          <w:kern w:val="2"/>
          <w:sz w:val="32"/>
          <w:szCs w:val="32"/>
          <w:highlight w:val="none"/>
          <w:vertAlign w:val="baseline"/>
          <w:lang w:val="en-US" w:eastAsia="zh-CN" w:bidi="ar-SA"/>
        </w:rPr>
        <w:t>印发</w:t>
      </w:r>
      <w:r>
        <w:rPr>
          <w:rFonts w:hint="eastAsia" w:ascii="仿宋_GB2312" w:hAnsi="仿宋_GB2312" w:eastAsia="仿宋_GB2312" w:cs="仿宋_GB2312"/>
          <w:bCs/>
          <w:color w:val="auto"/>
          <w:kern w:val="0"/>
          <w:sz w:val="32"/>
          <w:szCs w:val="32"/>
          <w:lang w:val="en-US" w:eastAsia="zh-CN" w:bidi="ar-SA"/>
        </w:rPr>
        <w:t>《马边彝族自治县因病致贫重病患者认定办法（试行）的通知》</w:t>
      </w:r>
      <w:r>
        <w:rPr>
          <w:rFonts w:hint="eastAsia" w:ascii="仿宋_GB2312" w:hAnsi="仿宋_GB2312" w:eastAsia="仿宋_GB2312" w:cs="仿宋_GB2312"/>
          <w:sz w:val="32"/>
          <w:szCs w:val="32"/>
          <w:lang w:val="en-US" w:eastAsia="zh-CN"/>
        </w:rPr>
        <w:t>，减轻困难群众重特大疾病医疗费用负担，切实</w:t>
      </w:r>
      <w:r>
        <w:rPr>
          <w:rFonts w:hint="eastAsia" w:ascii="仿宋_GB2312" w:hAnsi="仿宋_GB2312" w:eastAsia="仿宋_GB2312" w:cs="仿宋_GB2312"/>
          <w:sz w:val="32"/>
          <w:szCs w:val="32"/>
          <w:lang w:eastAsia="zh-CN"/>
        </w:rPr>
        <w:t>兜牢民生保障底线</w:t>
      </w:r>
      <w:r>
        <w:rPr>
          <w:rFonts w:hint="eastAsia" w:ascii="仿宋_GB2312" w:hAnsi="仿宋_GB2312" w:eastAsia="仿宋_GB2312" w:cs="仿宋_GB2312"/>
          <w:color w:val="auto"/>
          <w:sz w:val="32"/>
          <w:szCs w:val="32"/>
          <w:lang w:eastAsia="zh-CN"/>
        </w:rPr>
        <w:t>，一年来，认定</w:t>
      </w:r>
      <w:r>
        <w:rPr>
          <w:rFonts w:hint="eastAsia" w:ascii="仿宋_GB2312" w:hAnsi="仿宋_GB2312" w:eastAsia="仿宋_GB2312" w:cs="仿宋_GB2312"/>
          <w:bCs/>
          <w:color w:val="auto"/>
          <w:kern w:val="0"/>
          <w:sz w:val="32"/>
          <w:szCs w:val="32"/>
          <w:lang w:val="en-US" w:eastAsia="zh-CN" w:bidi="ar-SA"/>
        </w:rPr>
        <w:t>因病致贫重病患者</w:t>
      </w:r>
      <w:r>
        <w:rPr>
          <w:rFonts w:hint="eastAsia" w:ascii="仿宋_GB2312" w:hAnsi="仿宋_GB2312" w:eastAsia="仿宋_GB2312" w:cs="仿宋_GB2312"/>
          <w:color w:val="auto"/>
          <w:sz w:val="32"/>
          <w:szCs w:val="32"/>
          <w:lang w:val="en-US" w:eastAsia="zh-CN"/>
        </w:rPr>
        <w:t>47人</w:t>
      </w:r>
      <w:r>
        <w:rPr>
          <w:rFonts w:hint="eastAsia" w:ascii="仿宋_GB2312" w:hAnsi="仿宋_GB2312" w:eastAsia="仿宋_GB2312" w:cs="仿宋_GB2312"/>
          <w:color w:val="auto"/>
          <w:sz w:val="32"/>
          <w:szCs w:val="32"/>
          <w:lang w:eastAsia="zh-CN"/>
        </w:rPr>
        <w:t>。</w:t>
      </w:r>
    </w:p>
    <w:p>
      <w:pPr>
        <w:snapToGrid w:val="0"/>
        <w:spacing w:line="52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加快构建高水平养老服务体系。着力强化基本养老服务保障，补齐养老服务短板。一是突出居家养老的基础和主体地位。建成包含居家养老服务信息的养老服务综合监管平台，有序推进“互联网+智慧养老”模式，认真组织实施老年人探访关爱服务，特殊困难老年人月探访率达到100%，失能老年人得到有效关爱。二是大力拓展社区居家养老服务。建成投运小凉山区域养老中心，功能涵盖小凉山片区养老、县级失能人员集中照护、未成年人保护、流浪乞讨人员救助、老年大学五大板块，拥有中高端养老床位500张。三是探索医养结合养老模式。引进混合资本成立嘉馨养老公司，在院内设医院一个，为老人提供基本医疗、康复理疗服务，满足老年人常见病、慢性病和康复理疗等基本医疗需求。四是大力推进老年助餐网络项目建设。建成社区食堂3家，为附近社区中老年居民提供安全卫生的餐食和就餐环境，同时承担为社区独居、行动不便老人送餐工作，从根本上解决老人“吃饭难”问题。五是养老机构服务质量持续提升。常态化开展安全生产检查，落实养老领域消防、食品、建筑、燃气等安全工作措施，实行检查反馈整改闭环管理。六是创新养老政策申领机制。在全市率先推行高龄补贴“免申即享”政策，真正实现“政策找人，服务上门”。</w:t>
      </w:r>
    </w:p>
    <w:p>
      <w:pPr>
        <w:snapToGrid w:val="0"/>
        <w:spacing w:line="52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逐步完善未成年人保护机制。健全完善县、乡、村三级儿童关爱服务阵地建设，全面做好孤儿、困境儿童、事实无人抚养儿童、流浪乞讨未成年人等特殊群体救助关爱保护。一是强化政策落实，精准保障孤儿和事实无人抚养儿童。一年来，为孤儿发放基本生活费620人次；为事实无人抚养儿童发放基本生活费1754人次；为大学生孤儿发放助学金85人次；为孤儿和事实无人抚养儿童发放助学金44人次。二是推进项目衔接，加大困境儿童关爱力度。实施“明天计划”，按照800元/人标准对36名孤儿进行体检，切实全面掌握孤儿健康情况，进一步加强孤儿的关爱保护，确保其健康成长。积极推进儿童关爱保护社工项目，指导张坝社区儿童服务站依托壹基金项目，采取“空间+专职+服务”模式开展活动45场，为儿童提供家校以外的课外活动、个案辅导等，服务儿童500余名。强化</w:t>
      </w:r>
      <w:bookmarkStart w:id="48" w:name="OLE_LINK4"/>
      <w:r>
        <w:rPr>
          <w:rFonts w:hint="eastAsia" w:ascii="仿宋_GB2312" w:hAnsi="Times New Roman" w:eastAsia="仿宋_GB2312" w:cs="Times New Roman"/>
          <w:sz w:val="32"/>
          <w:szCs w:val="32"/>
          <w:lang w:val="en-US" w:eastAsia="zh-CN"/>
        </w:rPr>
        <w:t>困境儿童和农村留守儿童</w:t>
      </w:r>
      <w:bookmarkEnd w:id="48"/>
      <w:r>
        <w:rPr>
          <w:rFonts w:hint="eastAsia" w:ascii="仿宋_GB2312" w:hAnsi="Times New Roman" w:eastAsia="仿宋_GB2312" w:cs="Times New Roman"/>
          <w:sz w:val="32"/>
          <w:szCs w:val="32"/>
          <w:lang w:val="en-US" w:eastAsia="zh-CN"/>
        </w:rPr>
        <w:t>关心关爱，建立“一对一”结对帮扶工作机制，结对家庭、部门走访困境儿童和农村留守儿童217人次，帮助解决实际困难5个，送上价值2万余元的慰问物资，为困境儿童和农村留守儿童营造健康、快乐、和谐成长环境。</w:t>
      </w:r>
    </w:p>
    <w:p>
      <w:pPr>
        <w:snapToGrid w:val="0"/>
        <w:spacing w:line="52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社会组织和慈善事业健康发展。加强社会组织培育监管，推动慈善事业持续健康发展。一是推进社会组织高质量发展。截至2024年12月，全县社会组织共75家，其中社会团体62家，民办非企业单位13家。加强社会组织综合监管，规范开展2023年度社会组织年报年检工作，全县社会组织参检率为73.53%，合格率92%。开展行业协会商会重点领域收费清理规范专项行动。持续整治“僵尸型”社会组织，推动无效低效社会组织有序退出，注销“僵尸型”社会组织1家。二是推动“社区+社会组织”联动，提升共治效能。推动“社区+社会组织”的联动机制，充分发挥社会组织在基层治理中的作用。通过政府购买服务，推进“社会工作服务”“社会组织孵化园建设”“三区计划”等项目，引入各类社会组织参与社区事务管理，涵盖了社会救助、老年人关怀、未成年人关爱等多个领域。开展各类主题活动60余场，直接间接服务人次8683次。打造为老服务品牌“银龄学堂”和儿童关爱品牌“公益周末课堂”，取得显著的社会效应。助力由本地社工人才骨干和社会组织执行的微公益活动6场。开展社会组织、赋能培训、联谊交流、社工培训6场。三是深化慈善事业发展。全覆盖建立社区基金15个，社区基金健康运行。慈善活动丰富多彩，组织青年志愿者到市社会福利院开展“520·天使之约”公益活动，与市社会福利院儿童进行爱心互动的同时，引导未婚青年树立正确婚育观念；开展“情满边城，清凉一夏”爱心冰柜公益活动，在人流密集的中心城区投放爱心冰柜7个，为环卫工人、快递员、外卖员、执勤交警等高温工作者免费提供冰饮，累计服务群众4.5万余人次；开展第九个“中华慈善日”活动，举办“慈善一日捐”慈善宣传暨义卖活动，募集慈善资金3800元。东西部协作有序推进，积极对接浙江省越城区、滨海新区，链接慈善资金26万元、物资折价272.85万元，对我县“一老一小”及特殊困难群体开展慈善救助工作，惠及群众15000余人。积极探索“互联网+慈善”创新发展新模式，在腾讯公益服务平台上线“索玛女童卫安行动”项目，在99公益日、中华慈善日等节点开展集中宣传，累计筹款0.51万余元，全县活水计划项目共筹款157.1万元。</w:t>
      </w:r>
    </w:p>
    <w:p>
      <w:pPr>
        <w:snapToGrid w:val="0"/>
        <w:spacing w:line="520" w:lineRule="exact"/>
        <w:ind w:firstLine="640" w:firstLineChars="200"/>
        <w:rPr>
          <w:rFonts w:hint="eastAsia" w:ascii="仿宋_GB2312" w:hAnsi="Times New Roman" w:eastAsia="仿宋_GB2312" w:cs="Times New Roman"/>
          <w:sz w:val="32"/>
          <w:szCs w:val="32"/>
          <w:lang w:val="zh-CN" w:eastAsia="zh-CN"/>
        </w:rPr>
      </w:pPr>
      <w:bookmarkStart w:id="49" w:name="OLE_LINK3"/>
      <w:r>
        <w:rPr>
          <w:rFonts w:hint="eastAsia" w:ascii="仿宋_GB2312" w:hAnsi="Times New Roman" w:eastAsia="仿宋_GB2312" w:cs="Times New Roman"/>
          <w:sz w:val="32"/>
          <w:szCs w:val="32"/>
          <w:lang w:val="en-US" w:eastAsia="zh-CN"/>
        </w:rPr>
        <w:t>5.不断提高社会事务服务能力</w:t>
      </w:r>
      <w:bookmarkEnd w:id="49"/>
      <w:r>
        <w:rPr>
          <w:rFonts w:hint="eastAsia" w:ascii="仿宋_GB2312" w:hAnsi="Times New Roman" w:eastAsia="仿宋_GB2312" w:cs="Times New Roman"/>
          <w:sz w:val="32"/>
          <w:szCs w:val="32"/>
          <w:lang w:val="en-US" w:eastAsia="zh-CN"/>
        </w:rPr>
        <w:t>。深入推进移风易俗，加强殡葬领域监督监管和婚俗改革，大力推进平安边界建设和流浪乞讨人员救助管理。一是</w:t>
      </w:r>
      <w:bookmarkStart w:id="50" w:name="OLE_LINK5"/>
      <w:r>
        <w:rPr>
          <w:rFonts w:hint="eastAsia" w:ascii="仿宋_GB2312" w:hAnsi="Times New Roman" w:eastAsia="仿宋_GB2312" w:cs="Times New Roman"/>
          <w:sz w:val="32"/>
          <w:szCs w:val="32"/>
          <w:lang w:val="en-US" w:eastAsia="zh-CN"/>
        </w:rPr>
        <w:t>有序推进殡葬领域民生实事。扎实开展殡葬领域不正之风和腐败问题专项整治</w:t>
      </w:r>
      <w:bookmarkEnd w:id="50"/>
      <w:r>
        <w:rPr>
          <w:rFonts w:hint="eastAsia" w:ascii="仿宋_GB2312" w:hAnsi="Times New Roman" w:eastAsia="仿宋_GB2312" w:cs="Times New Roman"/>
          <w:sz w:val="32"/>
          <w:szCs w:val="32"/>
          <w:lang w:val="en-US" w:eastAsia="zh-CN"/>
        </w:rPr>
        <w:t>，重点整治和规范殡葬服务机构、殡葬从业人员违纪违规行为和作风问题，进一步促进殡葬行业健康发展。强化殡葬服务基础设施建设，加快推进县殡仪馆项目建设进度，完成劳动镇、荣丁镇农村公益性公墓建设，开通“96444”殡葬热线，全面落实绿色惠民殡葬政策，一年来，累计发放绿色惠民殡葬补助128人次。二是持续开展省级婚俗改革试点工作。投入资金40余万元对婚姻登记中心进行改扩建，调整优化整体布局和功能区域设置，为广大群众提供温馨、浪漫的登记场所。开展“为你而来 边城结良缘”婚恋主题系列活动4场，组织婚姻家庭辅导进乡村（社区）活动11次，参与群众1100余人次，共同助力和谐婚姻家庭建设。持续开展婚姻家庭辅导服务，新婚辅导296对，离婚调解99对，参与调解夫妻矛盾71对，调解成功15对。依法开展婚姻登记工作，婚姻登记2072对，其中“跨省通办”9对。三是开展边界联合检查及平安边界建设。完成马边—峨边界联检工作，维护边界地区和谐稳定，有力推动平安边界建设。四是强化流浪乞讨人员救助管理。联合公安、综合执法等部门共同建立城区巡查联动协作机制，重点针对车站、城区等巡查力度，实现了街面“零乞讨、零露宿、零事故、零负面舆情”。持续开展“寒冬送温暖、夏季送清凉”专项救助行动，截止12月，开展流浪乞讨巡查186人次，救助17人。</w:t>
      </w:r>
    </w:p>
    <w:p>
      <w:pPr>
        <w:snapToGrid w:val="0"/>
        <w:spacing w:line="520" w:lineRule="exact"/>
        <w:ind w:firstLine="643" w:firstLineChars="200"/>
        <w:rPr>
          <w:rFonts w:hint="eastAsia" w:ascii="仿宋_GB2312" w:hAnsi="Times New Roman" w:eastAsia="仿宋_GB2312" w:cs="Times New Roman"/>
          <w:b/>
          <w:bCs/>
          <w:sz w:val="32"/>
          <w:szCs w:val="32"/>
          <w:lang w:val="zh-CN" w:eastAsia="zh-CN"/>
        </w:rPr>
      </w:pPr>
      <w:r>
        <w:rPr>
          <w:rFonts w:hint="eastAsia" w:ascii="仿宋_GB2312" w:hAnsi="Times New Roman" w:eastAsia="仿宋_GB2312" w:cs="Times New Roman"/>
          <w:b/>
          <w:bCs/>
          <w:sz w:val="32"/>
          <w:szCs w:val="32"/>
          <w:lang w:val="zh-CN" w:eastAsia="zh-CN"/>
        </w:rPr>
        <w:t>（四）部门整体支出绩效目标。</w:t>
      </w:r>
    </w:p>
    <w:p>
      <w:pPr>
        <w:snapToGrid w:val="0"/>
        <w:spacing w:line="52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en-US" w:eastAsia="zh-CN"/>
        </w:rPr>
        <w:t>按照国家政策法规、单位职责和中长期实施规划，结合中心工作、重点任务认真制定2024年目标，并将任务分解至各股室。目标任务明确，全面反映了部门目标任务完成和预计效益情况，符合客观实际，合理可行。</w:t>
      </w:r>
    </w:p>
    <w:p>
      <w:pPr>
        <w:keepNext w:val="0"/>
        <w:keepLines w:val="0"/>
        <w:pageBreakBefore w:val="0"/>
        <w:widowControl/>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 w:hAnsi="仿宋" w:eastAsia="仿宋" w:cs="Times New Roman"/>
          <w:b/>
          <w:bCs/>
          <w:sz w:val="32"/>
          <w:szCs w:val="32"/>
          <w:lang w:val="zh-CN" w:eastAsia="zh-CN"/>
        </w:rPr>
      </w:pPr>
      <w:r>
        <w:rPr>
          <w:rFonts w:hint="eastAsia" w:ascii="仿宋" w:hAnsi="仿宋" w:eastAsia="仿宋" w:cs="Times New Roman"/>
          <w:b/>
          <w:bCs/>
          <w:sz w:val="32"/>
          <w:szCs w:val="32"/>
          <w:lang w:val="zh-CN" w:eastAsia="zh-CN"/>
        </w:rPr>
        <w:t>二、部门财政资金收支情况</w:t>
      </w:r>
    </w:p>
    <w:p>
      <w:pPr>
        <w:keepNext w:val="0"/>
        <w:keepLines w:val="0"/>
        <w:pageBreakBefore w:val="0"/>
        <w:widowControl/>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 w:hAnsi="仿宋" w:eastAsia="仿宋" w:cs="Times New Roman"/>
          <w:b/>
          <w:bCs/>
          <w:sz w:val="32"/>
          <w:szCs w:val="32"/>
          <w:lang w:val="zh-CN" w:eastAsia="zh-CN"/>
        </w:rPr>
      </w:pPr>
      <w:r>
        <w:rPr>
          <w:rFonts w:hint="eastAsia" w:ascii="仿宋" w:hAnsi="仿宋" w:eastAsia="仿宋" w:cs="Times New Roman"/>
          <w:b/>
          <w:bCs/>
          <w:sz w:val="32"/>
          <w:szCs w:val="32"/>
          <w:lang w:val="zh-CN" w:eastAsia="zh-CN"/>
        </w:rPr>
        <w:t>（一）部门财政资金收入情况。</w:t>
      </w:r>
    </w:p>
    <w:p>
      <w:pPr>
        <w:snapToGrid w:val="0"/>
        <w:spacing w:line="520" w:lineRule="exact"/>
        <w:ind w:firstLine="640" w:firstLineChars="200"/>
        <w:rPr>
          <w:rFonts w:hint="eastAsia" w:eastAsia="仿宋_GB2312"/>
          <w:lang w:val="en-US" w:eastAsia="zh-CN"/>
        </w:rPr>
      </w:pPr>
      <w:r>
        <w:rPr>
          <w:rFonts w:hint="eastAsia" w:ascii="仿宋" w:hAnsi="仿宋" w:eastAsia="仿宋" w:cs="Times New Roman"/>
          <w:color w:val="auto"/>
          <w:sz w:val="32"/>
          <w:szCs w:val="32"/>
          <w:lang w:val="en-US" w:eastAsia="zh-CN"/>
        </w:rPr>
        <w:t>2024年度，我单位</w:t>
      </w:r>
      <w:r>
        <w:rPr>
          <w:rFonts w:hint="eastAsia" w:ascii="仿宋_GB2312" w:hAnsi="仿宋" w:eastAsia="仿宋_GB2312"/>
          <w:color w:val="auto"/>
          <w:sz w:val="32"/>
          <w:szCs w:val="32"/>
        </w:rPr>
        <w:t>全年</w:t>
      </w:r>
      <w:r>
        <w:rPr>
          <w:rFonts w:hint="eastAsia" w:ascii="仿宋_GB2312" w:hAnsi="仿宋" w:eastAsia="仿宋_GB2312"/>
          <w:color w:val="auto"/>
          <w:sz w:val="32"/>
          <w:szCs w:val="32"/>
          <w:lang w:eastAsia="zh-CN"/>
        </w:rPr>
        <w:t>收入总计</w:t>
      </w:r>
      <w:r>
        <w:rPr>
          <w:rFonts w:hint="eastAsia" w:ascii="仿宋_GB2312" w:hAnsi="仿宋" w:eastAsia="仿宋_GB2312"/>
          <w:color w:val="auto"/>
          <w:sz w:val="32"/>
          <w:szCs w:val="32"/>
          <w:lang w:val="en-US" w:eastAsia="zh-CN"/>
        </w:rPr>
        <w:t>14845.37</w:t>
      </w:r>
      <w:r>
        <w:rPr>
          <w:rFonts w:hint="eastAsia" w:ascii="仿宋_GB2312" w:hAnsi="仿宋" w:eastAsia="仿宋_GB2312"/>
          <w:color w:val="auto"/>
          <w:sz w:val="32"/>
          <w:szCs w:val="32"/>
        </w:rPr>
        <w:t>万元，其中：基本支出收入</w:t>
      </w:r>
      <w:r>
        <w:rPr>
          <w:rFonts w:hint="eastAsia" w:ascii="仿宋_GB2312" w:hAnsi="仿宋" w:eastAsia="仿宋_GB2312" w:cs="Times New Roman"/>
          <w:color w:val="auto"/>
          <w:sz w:val="32"/>
          <w:szCs w:val="32"/>
          <w:lang w:val="en-US" w:eastAsia="zh-CN"/>
        </w:rPr>
        <w:t>682.48</w:t>
      </w:r>
      <w:r>
        <w:rPr>
          <w:rFonts w:hint="eastAsia" w:ascii="仿宋_GB2312" w:hAnsi="仿宋" w:eastAsia="仿宋_GB2312" w:cs="Times New Roman"/>
          <w:color w:val="auto"/>
          <w:sz w:val="32"/>
          <w:szCs w:val="32"/>
          <w:lang w:eastAsia="zh-CN"/>
        </w:rPr>
        <w:t>万</w:t>
      </w:r>
      <w:r>
        <w:rPr>
          <w:rFonts w:hint="eastAsia" w:ascii="仿宋_GB2312" w:hAnsi="仿宋" w:eastAsia="仿宋_GB2312"/>
          <w:color w:val="auto"/>
          <w:sz w:val="32"/>
          <w:szCs w:val="32"/>
        </w:rPr>
        <w:t>元，占总收入的</w:t>
      </w:r>
      <w:r>
        <w:rPr>
          <w:rFonts w:hint="eastAsia" w:ascii="仿宋_GB2312" w:hAnsi="仿宋" w:eastAsia="仿宋_GB2312"/>
          <w:color w:val="auto"/>
          <w:sz w:val="32"/>
          <w:szCs w:val="32"/>
          <w:lang w:val="en-US" w:eastAsia="zh-CN"/>
        </w:rPr>
        <w:t>4.6</w:t>
      </w:r>
      <w:r>
        <w:rPr>
          <w:rFonts w:hint="eastAsia" w:ascii="仿宋_GB2312" w:hAnsi="仿宋" w:eastAsia="仿宋_GB2312"/>
          <w:color w:val="auto"/>
          <w:sz w:val="32"/>
          <w:szCs w:val="32"/>
        </w:rPr>
        <w:t>%，项目支出收入</w:t>
      </w:r>
      <w:r>
        <w:rPr>
          <w:rFonts w:hint="eastAsia" w:ascii="仿宋_GB2312" w:hAnsi="仿宋" w:eastAsia="仿宋_GB2312"/>
          <w:color w:val="auto"/>
          <w:sz w:val="32"/>
          <w:szCs w:val="32"/>
          <w:lang w:val="en-US" w:eastAsia="zh-CN"/>
        </w:rPr>
        <w:t>14162.88</w:t>
      </w:r>
      <w:r>
        <w:rPr>
          <w:rFonts w:hint="eastAsia" w:ascii="仿宋_GB2312" w:hAnsi="仿宋" w:eastAsia="仿宋_GB2312"/>
          <w:color w:val="auto"/>
          <w:sz w:val="32"/>
          <w:szCs w:val="32"/>
        </w:rPr>
        <w:t>万元，占总收入的</w:t>
      </w:r>
      <w:r>
        <w:rPr>
          <w:rFonts w:hint="eastAsia" w:ascii="仿宋_GB2312" w:hAnsi="仿宋" w:eastAsia="仿宋_GB2312"/>
          <w:color w:val="auto"/>
          <w:sz w:val="32"/>
          <w:szCs w:val="32"/>
          <w:lang w:val="en-US" w:eastAsia="zh-CN"/>
        </w:rPr>
        <w:t>95.4</w:t>
      </w:r>
      <w:r>
        <w:rPr>
          <w:rFonts w:hint="eastAsia" w:ascii="仿宋_GB2312" w:hAnsi="仿宋" w:eastAsia="仿宋_GB2312"/>
          <w:color w:val="auto"/>
          <w:sz w:val="32"/>
          <w:szCs w:val="32"/>
        </w:rPr>
        <w:t>%</w:t>
      </w:r>
      <w:r>
        <w:rPr>
          <w:rFonts w:hint="eastAsia" w:ascii="仿宋" w:hAnsi="仿宋" w:eastAsia="仿宋" w:cs="仿宋"/>
          <w:color w:val="000000"/>
          <w:kern w:val="0"/>
          <w:sz w:val="32"/>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 w:hAnsi="仿宋" w:eastAsia="仿宋" w:cs="Times New Roman"/>
          <w:b/>
          <w:bCs/>
          <w:sz w:val="32"/>
          <w:szCs w:val="32"/>
          <w:lang w:val="zh-CN" w:eastAsia="zh-CN"/>
        </w:rPr>
      </w:pPr>
      <w:r>
        <w:rPr>
          <w:rFonts w:hint="eastAsia" w:ascii="仿宋" w:hAnsi="仿宋" w:eastAsia="仿宋" w:cs="Times New Roman"/>
          <w:b/>
          <w:bCs/>
          <w:sz w:val="32"/>
          <w:szCs w:val="32"/>
          <w:lang w:val="zh-CN" w:eastAsia="zh-CN"/>
        </w:rPr>
        <w:t>（二）部门财政资金支出情况。</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2024年度，我单位本年支出</w:t>
      </w:r>
      <w:r>
        <w:rPr>
          <w:rFonts w:hint="eastAsia" w:ascii="仿宋_GB2312" w:hAnsi="仿宋" w:eastAsia="仿宋_GB2312"/>
          <w:color w:val="auto"/>
          <w:sz w:val="32"/>
          <w:szCs w:val="32"/>
          <w:lang w:val="en-US" w:eastAsia="zh-CN"/>
        </w:rPr>
        <w:t>14845.37</w:t>
      </w:r>
      <w:r>
        <w:rPr>
          <w:rFonts w:hint="eastAsia" w:ascii="仿宋" w:hAnsi="仿宋" w:eastAsia="仿宋" w:cs="Times New Roman"/>
          <w:sz w:val="32"/>
          <w:szCs w:val="32"/>
          <w:lang w:val="en-US" w:eastAsia="zh-CN"/>
        </w:rPr>
        <w:t>万元，其中：</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en-US" w:eastAsia="zh-CN"/>
        </w:rPr>
        <w:t>基本支出</w:t>
      </w:r>
      <w:r>
        <w:rPr>
          <w:rFonts w:hint="eastAsia" w:ascii="仿宋_GB2312" w:hAnsi="仿宋" w:eastAsia="仿宋_GB2312" w:cs="Times New Roman"/>
          <w:color w:val="auto"/>
          <w:sz w:val="32"/>
          <w:szCs w:val="32"/>
          <w:lang w:val="en-US" w:eastAsia="zh-CN"/>
        </w:rPr>
        <w:t>682.48</w:t>
      </w:r>
      <w:r>
        <w:rPr>
          <w:rFonts w:hint="eastAsia" w:ascii="仿宋" w:hAnsi="仿宋" w:eastAsia="仿宋" w:cs="Times New Roman"/>
          <w:sz w:val="32"/>
          <w:szCs w:val="32"/>
          <w:lang w:val="en-US" w:eastAsia="zh-CN"/>
        </w:rPr>
        <w:t>万元，</w:t>
      </w:r>
      <w:r>
        <w:rPr>
          <w:rFonts w:hint="eastAsia" w:ascii="仿宋" w:hAnsi="仿宋" w:eastAsia="仿宋" w:cs="Times New Roman"/>
          <w:sz w:val="32"/>
          <w:szCs w:val="32"/>
          <w:lang w:val="zh-CN" w:eastAsia="zh-CN"/>
        </w:rPr>
        <w:t>包括工资、津贴补贴、住房公积金等人员经费支出；办公费、印刷费、水电费、差旅费、信息化建设等日常公用经费支出；劳务费支出；对个人和家庭的补助支出。</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en-US" w:eastAsia="zh-CN" w:bidi="ar-SA"/>
        </w:rPr>
        <w:t>项目支出14162.88万元，包括</w:t>
      </w:r>
      <w:r>
        <w:rPr>
          <w:rFonts w:hint="eastAsia" w:ascii="仿宋" w:hAnsi="仿宋" w:eastAsia="仿宋" w:cs="仿宋"/>
          <w:color w:val="000000"/>
          <w:kern w:val="0"/>
          <w:sz w:val="32"/>
          <w:szCs w:val="32"/>
          <w:lang w:val="zh-CN" w:eastAsia="zh-CN" w:bidi="ar-SA"/>
        </w:rPr>
        <w:t>城乡低保生活补助、孤儿及事实无人抚养儿童生活补助、高龄补贴、两项残疾人补贴、临时生活救助、养老服务、居家和集中救助、困难群众春节一次性慰问、殡葬、养老综合体等。</w:t>
      </w:r>
    </w:p>
    <w:p>
      <w:pPr>
        <w:keepNext w:val="0"/>
        <w:keepLines w:val="0"/>
        <w:pageBreakBefore w:val="0"/>
        <w:kinsoku/>
        <w:wordWrap/>
        <w:overflowPunct/>
        <w:topLinePunct w:val="0"/>
        <w:snapToGrid/>
        <w:spacing w:line="560" w:lineRule="exact"/>
        <w:ind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三、部门财政资金结转结余情况。</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en-US" w:eastAsia="zh-CN" w:bidi="ar-SA"/>
        </w:rPr>
        <w:t>2024年度，我单位无结转结余资金。</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四、部门整体绩效管理情况</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（一）部门整体履职绩效分析。</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zh-CN" w:eastAsia="zh-CN" w:bidi="ar-SA"/>
        </w:rPr>
        <w:t>民政工作紧紧围绕县委、县政府中心工作，坚持“以民为本，为民解困、为民服务”的宗旨，着力解决群众最关心、最直接、最现实的利益问题，扎扎实实为城乡低保人员、贫困人口、流浪乞讨人员等困难群体，老年人、残疾人、孤儿等特殊群体，充分发挥民政工作在保障民生构建和谐马边中的重要作用。</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（二）特定目标类项目绩效分析。</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zh-CN" w:eastAsia="zh-CN" w:bidi="ar-SA"/>
        </w:rPr>
        <w:t>1.全年收入总计</w:t>
      </w:r>
      <w:r>
        <w:rPr>
          <w:rFonts w:hint="eastAsia" w:ascii="仿宋" w:hAnsi="仿宋" w:eastAsia="仿宋" w:cs="仿宋"/>
          <w:color w:val="000000"/>
          <w:kern w:val="0"/>
          <w:sz w:val="32"/>
          <w:szCs w:val="32"/>
          <w:lang w:val="en-US" w:eastAsia="zh-CN" w:bidi="ar-SA"/>
        </w:rPr>
        <w:t>14845.37</w:t>
      </w:r>
      <w:r>
        <w:rPr>
          <w:rFonts w:hint="eastAsia" w:ascii="仿宋" w:hAnsi="仿宋" w:eastAsia="仿宋" w:cs="仿宋"/>
          <w:color w:val="000000"/>
          <w:kern w:val="0"/>
          <w:sz w:val="32"/>
          <w:szCs w:val="32"/>
          <w:lang w:val="zh-CN" w:eastAsia="zh-CN" w:bidi="ar-SA"/>
        </w:rPr>
        <w:t>万元，其中：基本支出收入</w:t>
      </w:r>
      <w:r>
        <w:rPr>
          <w:rFonts w:hint="eastAsia" w:ascii="仿宋" w:hAnsi="仿宋" w:eastAsia="仿宋" w:cs="仿宋"/>
          <w:color w:val="000000"/>
          <w:kern w:val="0"/>
          <w:sz w:val="32"/>
          <w:szCs w:val="32"/>
          <w:lang w:val="en-US" w:eastAsia="zh-CN" w:bidi="ar-SA"/>
        </w:rPr>
        <w:t>682.48</w:t>
      </w:r>
      <w:r>
        <w:rPr>
          <w:rFonts w:hint="eastAsia" w:ascii="仿宋" w:hAnsi="仿宋" w:eastAsia="仿宋" w:cs="仿宋"/>
          <w:color w:val="000000"/>
          <w:kern w:val="0"/>
          <w:sz w:val="32"/>
          <w:szCs w:val="32"/>
          <w:lang w:val="zh-CN" w:eastAsia="zh-CN" w:bidi="ar-SA"/>
        </w:rPr>
        <w:t>万元，占总收入的</w:t>
      </w:r>
      <w:r>
        <w:rPr>
          <w:rFonts w:hint="eastAsia" w:ascii="仿宋" w:hAnsi="仿宋" w:eastAsia="仿宋" w:cs="仿宋"/>
          <w:color w:val="000000"/>
          <w:kern w:val="0"/>
          <w:sz w:val="32"/>
          <w:szCs w:val="32"/>
          <w:lang w:val="en-US" w:eastAsia="zh-CN" w:bidi="ar-SA"/>
        </w:rPr>
        <w:t>4.6</w:t>
      </w:r>
      <w:r>
        <w:rPr>
          <w:rFonts w:hint="eastAsia" w:ascii="仿宋" w:hAnsi="仿宋" w:eastAsia="仿宋" w:cs="仿宋"/>
          <w:color w:val="000000"/>
          <w:kern w:val="0"/>
          <w:sz w:val="32"/>
          <w:szCs w:val="32"/>
          <w:lang w:val="zh-CN" w:eastAsia="zh-CN" w:bidi="ar-SA"/>
        </w:rPr>
        <w:t>%，项目支出收入</w:t>
      </w:r>
      <w:r>
        <w:rPr>
          <w:rFonts w:hint="eastAsia" w:ascii="仿宋" w:hAnsi="仿宋" w:eastAsia="仿宋" w:cs="仿宋"/>
          <w:color w:val="000000"/>
          <w:kern w:val="0"/>
          <w:sz w:val="32"/>
          <w:szCs w:val="32"/>
          <w:lang w:val="en-US" w:eastAsia="zh-CN" w:bidi="ar-SA"/>
        </w:rPr>
        <w:t>14162.88</w:t>
      </w:r>
      <w:r>
        <w:rPr>
          <w:rFonts w:hint="eastAsia" w:ascii="仿宋" w:hAnsi="仿宋" w:eastAsia="仿宋" w:cs="仿宋"/>
          <w:color w:val="000000"/>
          <w:kern w:val="0"/>
          <w:sz w:val="32"/>
          <w:szCs w:val="32"/>
          <w:lang w:val="zh-CN" w:eastAsia="zh-CN" w:bidi="ar-SA"/>
        </w:rPr>
        <w:t>万元，占总收入的</w:t>
      </w:r>
      <w:r>
        <w:rPr>
          <w:rFonts w:hint="eastAsia" w:ascii="仿宋" w:hAnsi="仿宋" w:eastAsia="仿宋" w:cs="仿宋"/>
          <w:color w:val="000000"/>
          <w:kern w:val="0"/>
          <w:sz w:val="32"/>
          <w:szCs w:val="32"/>
          <w:lang w:val="en-US" w:eastAsia="zh-CN" w:bidi="ar-SA"/>
        </w:rPr>
        <w:t>95.4</w:t>
      </w:r>
      <w:r>
        <w:rPr>
          <w:rFonts w:hint="eastAsia" w:ascii="仿宋" w:hAnsi="仿宋" w:eastAsia="仿宋" w:cs="仿宋"/>
          <w:color w:val="000000"/>
          <w:kern w:val="0"/>
          <w:sz w:val="32"/>
          <w:szCs w:val="32"/>
          <w:lang w:val="zh-CN" w:eastAsia="zh-CN" w:bidi="ar-SA"/>
        </w:rPr>
        <w:t>%；全年支出总计</w:t>
      </w:r>
      <w:r>
        <w:rPr>
          <w:rFonts w:hint="eastAsia" w:ascii="仿宋" w:hAnsi="仿宋" w:eastAsia="仿宋" w:cs="仿宋"/>
          <w:color w:val="000000"/>
          <w:kern w:val="0"/>
          <w:sz w:val="32"/>
          <w:szCs w:val="32"/>
          <w:lang w:val="en-US" w:eastAsia="zh-CN" w:bidi="ar-SA"/>
        </w:rPr>
        <w:t>14845.37</w:t>
      </w:r>
      <w:r>
        <w:rPr>
          <w:rFonts w:hint="eastAsia" w:ascii="仿宋" w:hAnsi="仿宋" w:eastAsia="仿宋" w:cs="仿宋"/>
          <w:color w:val="000000"/>
          <w:kern w:val="0"/>
          <w:sz w:val="32"/>
          <w:szCs w:val="32"/>
          <w:lang w:val="zh-CN" w:eastAsia="zh-CN" w:bidi="ar-SA"/>
        </w:rPr>
        <w:t>万元，其中：基本支出</w:t>
      </w:r>
      <w:r>
        <w:rPr>
          <w:rFonts w:hint="eastAsia" w:ascii="仿宋" w:hAnsi="仿宋" w:eastAsia="仿宋" w:cs="仿宋"/>
          <w:color w:val="000000"/>
          <w:kern w:val="0"/>
          <w:sz w:val="32"/>
          <w:szCs w:val="32"/>
          <w:lang w:val="en-US" w:eastAsia="zh-CN" w:bidi="ar-SA"/>
        </w:rPr>
        <w:t>682.48</w:t>
      </w:r>
      <w:r>
        <w:rPr>
          <w:rFonts w:hint="eastAsia" w:ascii="仿宋" w:hAnsi="仿宋" w:eastAsia="仿宋" w:cs="仿宋"/>
          <w:color w:val="000000"/>
          <w:kern w:val="0"/>
          <w:sz w:val="32"/>
          <w:szCs w:val="32"/>
          <w:lang w:val="zh-CN" w:eastAsia="zh-CN" w:bidi="ar-SA"/>
        </w:rPr>
        <w:t>万元，占总支出的</w:t>
      </w:r>
      <w:r>
        <w:rPr>
          <w:rFonts w:hint="eastAsia" w:ascii="仿宋" w:hAnsi="仿宋" w:eastAsia="仿宋" w:cs="仿宋"/>
          <w:color w:val="000000"/>
          <w:kern w:val="0"/>
          <w:sz w:val="32"/>
          <w:szCs w:val="32"/>
          <w:lang w:val="en-US" w:eastAsia="zh-CN" w:bidi="ar-SA"/>
        </w:rPr>
        <w:t>4.6</w:t>
      </w:r>
      <w:r>
        <w:rPr>
          <w:rFonts w:hint="eastAsia" w:ascii="仿宋" w:hAnsi="仿宋" w:eastAsia="仿宋" w:cs="仿宋"/>
          <w:color w:val="000000"/>
          <w:kern w:val="0"/>
          <w:sz w:val="32"/>
          <w:szCs w:val="32"/>
          <w:lang w:val="zh-CN" w:eastAsia="zh-CN" w:bidi="ar-SA"/>
        </w:rPr>
        <w:t>%，项目支出</w:t>
      </w:r>
      <w:r>
        <w:rPr>
          <w:rFonts w:hint="eastAsia" w:ascii="仿宋" w:hAnsi="仿宋" w:eastAsia="仿宋" w:cs="仿宋"/>
          <w:color w:val="000000"/>
          <w:kern w:val="0"/>
          <w:sz w:val="32"/>
          <w:szCs w:val="32"/>
          <w:lang w:val="en-US" w:eastAsia="zh-CN" w:bidi="ar-SA"/>
        </w:rPr>
        <w:t>14162.88</w:t>
      </w:r>
      <w:r>
        <w:rPr>
          <w:rFonts w:hint="eastAsia" w:ascii="仿宋" w:hAnsi="仿宋" w:eastAsia="仿宋" w:cs="仿宋"/>
          <w:color w:val="000000"/>
          <w:kern w:val="0"/>
          <w:sz w:val="32"/>
          <w:szCs w:val="32"/>
          <w:lang w:val="zh-CN" w:eastAsia="zh-CN" w:bidi="ar-SA"/>
        </w:rPr>
        <w:t>万元，占总支出的</w:t>
      </w:r>
      <w:r>
        <w:rPr>
          <w:rFonts w:hint="eastAsia" w:ascii="仿宋" w:hAnsi="仿宋" w:eastAsia="仿宋" w:cs="仿宋"/>
          <w:color w:val="000000"/>
          <w:kern w:val="0"/>
          <w:sz w:val="32"/>
          <w:szCs w:val="32"/>
          <w:lang w:val="en-US" w:eastAsia="zh-CN" w:bidi="ar-SA"/>
        </w:rPr>
        <w:t>95.4</w:t>
      </w:r>
      <w:r>
        <w:rPr>
          <w:rFonts w:hint="eastAsia" w:ascii="仿宋" w:hAnsi="仿宋" w:eastAsia="仿宋" w:cs="仿宋"/>
          <w:color w:val="000000"/>
          <w:kern w:val="0"/>
          <w:sz w:val="32"/>
          <w:szCs w:val="32"/>
          <w:lang w:val="zh-CN" w:eastAsia="zh-CN" w:bidi="ar-SA"/>
        </w:rPr>
        <w:t>%。</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zh-CN" w:eastAsia="zh-CN" w:bidi="ar-SA"/>
        </w:rPr>
        <w:t>2.100万以上项目：</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项目1：高龄补贴</w:t>
      </w:r>
      <w:r>
        <w:rPr>
          <w:rFonts w:hint="eastAsia" w:ascii="仿宋" w:hAnsi="仿宋" w:eastAsia="仿宋" w:cs="仿宋"/>
          <w:color w:val="000000"/>
          <w:kern w:val="0"/>
          <w:sz w:val="32"/>
          <w:szCs w:val="32"/>
          <w:lang w:val="en-US" w:eastAsia="zh-CN" w:bidi="ar-SA"/>
        </w:rPr>
        <w:t>:为积极应对人口老龄化、构建养老、孝老、敬老政策，切实增加老年人社会福利，确保老年人共享全面建成小康社会成果，发放高龄津贴资金312.78万元。</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项目2：城乡低保补助资金：</w:t>
      </w:r>
      <w:r>
        <w:rPr>
          <w:rFonts w:hint="eastAsia" w:ascii="仿宋" w:hAnsi="仿宋" w:eastAsia="仿宋" w:cs="仿宋"/>
          <w:color w:val="000000"/>
          <w:kern w:val="0"/>
          <w:sz w:val="32"/>
          <w:szCs w:val="32"/>
          <w:lang w:val="en-US" w:eastAsia="zh-CN" w:bidi="ar-SA"/>
        </w:rPr>
        <w:t>建立健全</w:t>
      </w:r>
      <w:r>
        <w:rPr>
          <w:rFonts w:hint="eastAsia" w:ascii="仿宋" w:hAnsi="仿宋" w:eastAsia="仿宋" w:cs="仿宋"/>
          <w:color w:val="000000"/>
          <w:kern w:val="0"/>
          <w:sz w:val="32"/>
          <w:szCs w:val="32"/>
          <w:lang w:val="zh-CN" w:eastAsia="zh-CN" w:bidi="ar-SA"/>
        </w:rPr>
        <w:t>困难群众监测预警和主动发现快速响应机制</w:t>
      </w:r>
      <w:r>
        <w:rPr>
          <w:rFonts w:hint="eastAsia" w:ascii="仿宋" w:hAnsi="仿宋" w:eastAsia="仿宋" w:cs="仿宋"/>
          <w:color w:val="000000"/>
          <w:kern w:val="0"/>
          <w:sz w:val="32"/>
          <w:szCs w:val="32"/>
          <w:lang w:val="en-US" w:eastAsia="zh-CN" w:bidi="ar-SA"/>
        </w:rPr>
        <w:t>，</w:t>
      </w:r>
      <w:r>
        <w:rPr>
          <w:rFonts w:hint="eastAsia" w:ascii="仿宋" w:hAnsi="仿宋" w:eastAsia="仿宋" w:cs="仿宋"/>
          <w:color w:val="000000"/>
          <w:kern w:val="0"/>
          <w:sz w:val="32"/>
          <w:szCs w:val="32"/>
          <w:lang w:val="zh-CN" w:eastAsia="zh-CN" w:bidi="ar-SA"/>
        </w:rPr>
        <w:t>规范社会救助动态管理和监督运行流程。一是</w:t>
      </w:r>
      <w:r>
        <w:rPr>
          <w:rFonts w:hint="eastAsia" w:ascii="仿宋" w:hAnsi="仿宋" w:eastAsia="仿宋" w:cs="仿宋"/>
          <w:color w:val="000000"/>
          <w:kern w:val="0"/>
          <w:sz w:val="32"/>
          <w:szCs w:val="32"/>
          <w:lang w:val="en-US" w:eastAsia="zh-CN" w:bidi="ar-SA"/>
        </w:rPr>
        <w:t>充分发挥低保兜底作用。印发《马边彝族自治县社会救助审核确认权限下放乡镇工作方案的通知》，将</w:t>
      </w:r>
      <w:r>
        <w:rPr>
          <w:rFonts w:hint="eastAsia" w:ascii="仿宋" w:hAnsi="仿宋" w:eastAsia="仿宋" w:cs="仿宋"/>
          <w:color w:val="000000"/>
          <w:kern w:val="0"/>
          <w:sz w:val="32"/>
          <w:szCs w:val="32"/>
          <w:lang w:val="zh-CN" w:eastAsia="zh-CN" w:bidi="ar-SA"/>
        </w:rPr>
        <w:t>社会救助审核确认权限下放15个乡镇，缩短社会救助审批时限，确保救助及时、高效。印发《关于开展城乡低保清理核查工作的通知》，</w:t>
      </w:r>
      <w:r>
        <w:rPr>
          <w:rFonts w:hint="eastAsia" w:ascii="仿宋" w:hAnsi="仿宋" w:eastAsia="仿宋" w:cs="仿宋"/>
          <w:color w:val="000000"/>
          <w:kern w:val="0"/>
          <w:sz w:val="32"/>
          <w:szCs w:val="32"/>
          <w:lang w:val="en-US" w:eastAsia="zh-CN" w:bidi="ar-SA"/>
        </w:rPr>
        <w:t>在全县范围内开展城乡低保复核工作，对脱贫人口中符合条件的114户173人全部纳入兜底保障，确保应退尽退、应兜尽兜、应救尽救。一年来，</w:t>
      </w:r>
      <w:r>
        <w:rPr>
          <w:rFonts w:hint="eastAsia" w:ascii="仿宋" w:hAnsi="仿宋" w:eastAsia="仿宋" w:cs="仿宋"/>
          <w:color w:val="000000"/>
          <w:kern w:val="0"/>
          <w:sz w:val="32"/>
          <w:szCs w:val="32"/>
          <w:lang w:val="zh-CN" w:eastAsia="zh-CN" w:bidi="ar-SA"/>
        </w:rPr>
        <w:t>新增城乡低保对象</w:t>
      </w:r>
      <w:r>
        <w:rPr>
          <w:rFonts w:hint="eastAsia" w:ascii="仿宋" w:hAnsi="仿宋" w:eastAsia="仿宋" w:cs="仿宋"/>
          <w:color w:val="000000"/>
          <w:kern w:val="0"/>
          <w:sz w:val="32"/>
          <w:szCs w:val="32"/>
          <w:lang w:val="en-US" w:eastAsia="zh-CN" w:bidi="ar-SA"/>
        </w:rPr>
        <w:t>804</w:t>
      </w:r>
      <w:r>
        <w:rPr>
          <w:rFonts w:hint="eastAsia" w:ascii="仿宋" w:hAnsi="仿宋" w:eastAsia="仿宋" w:cs="仿宋"/>
          <w:color w:val="000000"/>
          <w:kern w:val="0"/>
          <w:sz w:val="32"/>
          <w:szCs w:val="32"/>
          <w:lang w:val="zh-CN" w:eastAsia="zh-CN" w:bidi="ar-SA"/>
        </w:rPr>
        <w:t>人、取消城乡低保对象</w:t>
      </w:r>
      <w:r>
        <w:rPr>
          <w:rFonts w:hint="eastAsia" w:ascii="仿宋" w:hAnsi="仿宋" w:eastAsia="仿宋" w:cs="仿宋"/>
          <w:color w:val="000000"/>
          <w:kern w:val="0"/>
          <w:sz w:val="32"/>
          <w:szCs w:val="32"/>
          <w:lang w:val="en-US" w:eastAsia="zh-CN" w:bidi="ar-SA"/>
        </w:rPr>
        <w:t>1046</w:t>
      </w:r>
      <w:r>
        <w:rPr>
          <w:rFonts w:hint="eastAsia" w:ascii="仿宋" w:hAnsi="仿宋" w:eastAsia="仿宋" w:cs="仿宋"/>
          <w:color w:val="000000"/>
          <w:kern w:val="0"/>
          <w:sz w:val="32"/>
          <w:szCs w:val="32"/>
          <w:lang w:val="zh-CN" w:eastAsia="zh-CN" w:bidi="ar-SA"/>
        </w:rPr>
        <w:t>人，累计救助</w:t>
      </w:r>
      <w:r>
        <w:rPr>
          <w:rFonts w:hint="eastAsia" w:ascii="仿宋" w:hAnsi="仿宋" w:eastAsia="仿宋" w:cs="仿宋"/>
          <w:color w:val="000000"/>
          <w:kern w:val="0"/>
          <w:sz w:val="32"/>
          <w:szCs w:val="32"/>
          <w:lang w:val="en-US" w:eastAsia="zh-CN" w:bidi="ar-SA"/>
        </w:rPr>
        <w:t>234820人次,累计发放低保金7834.39万元。</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w:t>
      </w:r>
      <w:r>
        <w:rPr>
          <w:rFonts w:hint="eastAsia" w:ascii="仿宋" w:hAnsi="仿宋" w:eastAsia="仿宋" w:cs="仿宋"/>
          <w:color w:val="000000"/>
          <w:kern w:val="0"/>
          <w:sz w:val="32"/>
          <w:szCs w:val="32"/>
          <w:lang w:val="en-US" w:eastAsia="zh-CN" w:bidi="ar-SA"/>
        </w:rPr>
        <w:t>3：特困人员供养资金：</w:t>
      </w:r>
      <w:r>
        <w:rPr>
          <w:rFonts w:hint="eastAsia" w:ascii="仿宋" w:hAnsi="仿宋" w:eastAsia="仿宋" w:cs="仿宋"/>
          <w:color w:val="000000"/>
          <w:kern w:val="0"/>
          <w:sz w:val="32"/>
          <w:szCs w:val="32"/>
          <w:lang w:val="zh-CN" w:eastAsia="zh-CN" w:bidi="ar-SA"/>
        </w:rPr>
        <w:t>合理提高救助供养水平和服务质量。农村特困供养人员供养标准达到</w:t>
      </w:r>
      <w:r>
        <w:rPr>
          <w:rFonts w:hint="eastAsia" w:ascii="仿宋" w:hAnsi="仿宋" w:eastAsia="仿宋" w:cs="仿宋"/>
          <w:color w:val="000000"/>
          <w:kern w:val="0"/>
          <w:sz w:val="32"/>
          <w:szCs w:val="32"/>
          <w:lang w:val="en-US" w:eastAsia="zh-CN" w:bidi="ar-SA"/>
        </w:rPr>
        <w:t>754元/人·月，城市</w:t>
      </w:r>
      <w:r>
        <w:rPr>
          <w:rFonts w:hint="eastAsia" w:ascii="仿宋" w:hAnsi="仿宋" w:eastAsia="仿宋" w:cs="仿宋"/>
          <w:color w:val="000000"/>
          <w:kern w:val="0"/>
          <w:sz w:val="32"/>
          <w:szCs w:val="32"/>
          <w:lang w:val="zh-CN" w:eastAsia="zh-CN" w:bidi="ar-SA"/>
        </w:rPr>
        <w:t>特困供养人员供养标准达到</w:t>
      </w:r>
      <w:r>
        <w:rPr>
          <w:rFonts w:hint="eastAsia" w:ascii="仿宋" w:hAnsi="仿宋" w:eastAsia="仿宋" w:cs="仿宋"/>
          <w:color w:val="000000"/>
          <w:kern w:val="0"/>
          <w:sz w:val="32"/>
          <w:szCs w:val="32"/>
          <w:lang w:val="en-US" w:eastAsia="zh-CN" w:bidi="ar-SA"/>
        </w:rPr>
        <w:t>1025元/人·月，特困供养人员自愿入住敬老院集中供养率达到100%，落实散居特困人员照料护理承接人，建立散居特困人员按月走访制度，不断加强和规范散居特困人员照料护理工作，累计发放资金872.31万元。</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w:t>
      </w:r>
      <w:r>
        <w:rPr>
          <w:rFonts w:hint="eastAsia" w:ascii="仿宋" w:hAnsi="仿宋" w:eastAsia="仿宋" w:cs="仿宋"/>
          <w:color w:val="000000"/>
          <w:kern w:val="0"/>
          <w:sz w:val="32"/>
          <w:szCs w:val="32"/>
          <w:lang w:val="en-US" w:eastAsia="zh-CN" w:bidi="ar-SA"/>
        </w:rPr>
        <w:t xml:space="preserve">4：重度残疾人护理补助：合理提高重度残疾人护理补贴补助标准，增加精神、智力三、四级残疾人护理补助，重度残疾人护理补贴一级残疾人提高到110元/人·月、二级残疾人提高到80元/人·月、精神智力三级残疾人补助40元/人·月、精神智力四级残疾人补助30元/人·月。全年发放重度残疾人护理补贴资金326.22万元。 </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w:t>
      </w:r>
      <w:r>
        <w:rPr>
          <w:rFonts w:hint="eastAsia" w:ascii="仿宋" w:hAnsi="仿宋" w:eastAsia="仿宋" w:cs="仿宋"/>
          <w:color w:val="000000"/>
          <w:kern w:val="0"/>
          <w:sz w:val="32"/>
          <w:szCs w:val="32"/>
          <w:lang w:val="en-US" w:eastAsia="zh-CN" w:bidi="ar-SA"/>
        </w:rPr>
        <w:t>5：困难残疾人生活补助：根据《四川省民政厅 四川省财政厅 四川省残疾人联合会关于建立困难残疾人生活补贴和重度残疾人护理补贴的通知》（川民发〔2015〕195号）文件，向全县低保中的困难残疾人2982人发放困难残疾人生活补贴358.74万元。</w:t>
      </w:r>
    </w:p>
    <w:p>
      <w:pPr>
        <w:keepNext w:val="0"/>
        <w:keepLines w:val="0"/>
        <w:pageBreakBefore w:val="0"/>
        <w:kinsoku/>
        <w:wordWrap/>
        <w:overflowPunct/>
        <w:topLinePunct w:val="0"/>
        <w:snapToGrid/>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w:t>
      </w:r>
      <w:r>
        <w:rPr>
          <w:rFonts w:hint="eastAsia" w:ascii="仿宋" w:hAnsi="仿宋" w:eastAsia="仿宋" w:cs="仿宋"/>
          <w:color w:val="000000"/>
          <w:kern w:val="0"/>
          <w:sz w:val="32"/>
          <w:szCs w:val="32"/>
          <w:lang w:val="en-US" w:eastAsia="zh-CN" w:bidi="ar-SA"/>
        </w:rPr>
        <w:t>6：孤儿和事实无人抚养儿童基本生活费：将全县所有孤儿及事实无人抚养儿童纳入基本生活保障范围，逐步提高供养标准，发放生活补助269.56万元。</w:t>
      </w:r>
    </w:p>
    <w:p>
      <w:pPr>
        <w:keepNext w:val="0"/>
        <w:keepLines w:val="0"/>
        <w:pageBreakBefore w:val="0"/>
        <w:kinsoku/>
        <w:wordWrap/>
        <w:overflowPunct/>
        <w:topLinePunct w:val="0"/>
        <w:snapToGrid/>
        <w:spacing w:line="560" w:lineRule="exact"/>
        <w:ind w:firstLine="640" w:firstLineChars="200"/>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zh-CN" w:eastAsia="zh-CN" w:bidi="ar-SA"/>
        </w:rPr>
        <w:t>项目</w:t>
      </w:r>
      <w:r>
        <w:rPr>
          <w:rFonts w:hint="eastAsia" w:ascii="仿宋" w:hAnsi="仿宋" w:eastAsia="仿宋" w:cs="仿宋"/>
          <w:color w:val="000000"/>
          <w:kern w:val="0"/>
          <w:sz w:val="32"/>
          <w:szCs w:val="32"/>
          <w:lang w:val="en-US" w:eastAsia="zh-CN" w:bidi="ar-SA"/>
        </w:rPr>
        <w:t>7：建档立卡贫困人口中特殊困难群众居家和集中帮扶金：持续实施建档立卡贫困人口中特殊困难群体居家和集中救助帮扶政策，累计发放</w:t>
      </w:r>
      <w:r>
        <w:rPr>
          <w:rFonts w:hint="eastAsia" w:ascii="仿宋" w:hAnsi="仿宋" w:eastAsia="仿宋" w:cs="仿宋"/>
          <w:color w:val="000000"/>
          <w:kern w:val="0"/>
          <w:sz w:val="32"/>
          <w:szCs w:val="32"/>
          <w:lang w:val="zh-CN" w:eastAsia="zh-CN" w:bidi="ar-SA"/>
        </w:rPr>
        <w:t>救助帮扶资金</w:t>
      </w:r>
      <w:r>
        <w:rPr>
          <w:rFonts w:hint="eastAsia" w:ascii="仿宋" w:hAnsi="仿宋" w:eastAsia="仿宋" w:cs="仿宋"/>
          <w:color w:val="000000"/>
          <w:kern w:val="0"/>
          <w:sz w:val="32"/>
          <w:szCs w:val="32"/>
          <w:lang w:val="en-US" w:eastAsia="zh-CN" w:bidi="ar-SA"/>
        </w:rPr>
        <w:t>133.69</w:t>
      </w:r>
      <w:r>
        <w:rPr>
          <w:rFonts w:hint="eastAsia" w:ascii="仿宋" w:hAnsi="仿宋" w:eastAsia="仿宋" w:cs="仿宋"/>
          <w:color w:val="000000"/>
          <w:kern w:val="0"/>
          <w:sz w:val="32"/>
          <w:szCs w:val="32"/>
          <w:lang w:val="zh-CN" w:eastAsia="zh-CN" w:bidi="ar-SA"/>
        </w:rPr>
        <w:t>万元。</w:t>
      </w:r>
    </w:p>
    <w:p>
      <w:pPr>
        <w:keepNext w:val="0"/>
        <w:keepLines w:val="0"/>
        <w:pageBreakBefore w:val="0"/>
        <w:kinsoku/>
        <w:wordWrap/>
        <w:overflowPunct/>
        <w:topLinePunct w:val="0"/>
        <w:snapToGrid/>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项目</w:t>
      </w:r>
      <w:r>
        <w:rPr>
          <w:rFonts w:hint="eastAsia" w:ascii="仿宋" w:hAnsi="仿宋" w:eastAsia="仿宋" w:cs="仿宋"/>
          <w:color w:val="000000"/>
          <w:kern w:val="0"/>
          <w:sz w:val="32"/>
          <w:szCs w:val="32"/>
          <w:lang w:val="en-US" w:eastAsia="zh-CN" w:bidi="ar-SA"/>
        </w:rPr>
        <w:t>8：城乡居民临时救助：临时救助救助590人次，发放临时救助金88.55万元。</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（三）结果应用情况。</w:t>
      </w:r>
    </w:p>
    <w:p>
      <w:pPr>
        <w:widowControl/>
        <w:adjustRightInd w:val="0"/>
        <w:snapToGrid w:val="0"/>
        <w:spacing w:line="58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lang w:val="zh-CN" w:eastAsia="zh-CN" w:bidi="ar-SA"/>
        </w:rPr>
        <w:t>根据财政局要求，我单位高度重视绩效自评结果，好的经验和做法将用于下一步工作推广，同时，我们将着力提升绩效意识和财政资金使用绩效，及时公开自评报告，接受群众监督。</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五、评价结论及建议</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（一）评价结论。</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lang w:val="zh-CN"/>
        </w:rPr>
      </w:pPr>
      <w:r>
        <w:rPr>
          <w:rFonts w:hint="eastAsia" w:ascii="仿宋" w:hAnsi="仿宋" w:eastAsia="仿宋" w:cs="仿宋"/>
          <w:color w:val="000000"/>
          <w:kern w:val="0"/>
          <w:sz w:val="32"/>
          <w:szCs w:val="32"/>
          <w:lang w:val="zh-CN" w:eastAsia="zh-CN" w:bidi="ar-SA"/>
        </w:rPr>
        <w:t>民政局整体支出绩效评价良好。</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（二）存在问题。</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 w:hAnsi="仿宋" w:eastAsia="仿宋" w:cs="仿宋"/>
          <w:color w:val="000000"/>
          <w:kern w:val="0"/>
          <w:sz w:val="32"/>
          <w:szCs w:val="32"/>
          <w:lang w:val="zh-CN" w:eastAsia="zh-CN" w:bidi="ar-SA"/>
        </w:rPr>
      </w:pPr>
      <w:r>
        <w:rPr>
          <w:rFonts w:hint="eastAsia" w:ascii="仿宋" w:hAnsi="仿宋" w:eastAsia="仿宋" w:cs="仿宋"/>
          <w:color w:val="000000"/>
          <w:kern w:val="0"/>
          <w:sz w:val="32"/>
          <w:szCs w:val="32"/>
          <w:lang w:val="zh-CN" w:eastAsia="zh-CN" w:bidi="ar-SA"/>
        </w:rPr>
        <w:t>目支出用途不细化，预算成本细化程度不够，成本预算不精确。二是预算支出进度滞后。年初预算时，项目时效节点把握不精准，项目实施进度慢，前期支出进度滞后。</w:t>
      </w:r>
    </w:p>
    <w:p>
      <w:pPr>
        <w:keepNext w:val="0"/>
        <w:keepLines w:val="0"/>
        <w:pageBreakBefore w:val="0"/>
        <w:numPr>
          <w:ilvl w:val="0"/>
          <w:numId w:val="0"/>
        </w:numPr>
        <w:kinsoku/>
        <w:wordWrap/>
        <w:overflowPunct/>
        <w:topLinePunct w:val="0"/>
        <w:snapToGrid/>
        <w:spacing w:line="560" w:lineRule="exact"/>
        <w:ind w:leftChars="0" w:firstLine="643" w:firstLineChars="200"/>
        <w:textAlignment w:val="auto"/>
        <w:rPr>
          <w:rFonts w:hint="eastAsia" w:ascii="仿宋" w:hAnsi="仿宋" w:eastAsia="仿宋" w:cs="仿宋"/>
          <w:b/>
          <w:bCs/>
          <w:color w:val="000000"/>
          <w:kern w:val="0"/>
          <w:sz w:val="32"/>
          <w:szCs w:val="32"/>
          <w:lang w:val="zh-CN" w:eastAsia="zh-CN" w:bidi="ar-SA"/>
        </w:rPr>
      </w:pPr>
      <w:r>
        <w:rPr>
          <w:rFonts w:hint="eastAsia" w:ascii="仿宋" w:hAnsi="仿宋" w:eastAsia="仿宋" w:cs="仿宋"/>
          <w:b/>
          <w:bCs/>
          <w:color w:val="000000"/>
          <w:kern w:val="0"/>
          <w:sz w:val="32"/>
          <w:szCs w:val="32"/>
          <w:lang w:val="zh-CN" w:eastAsia="zh-CN" w:bidi="ar-SA"/>
        </w:rPr>
        <w:t>（三）改进建议。</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zh-CN" w:eastAsia="zh-CN" w:bidi="ar-SA"/>
        </w:rPr>
        <w:t>一是持续推进预算编制“科学化”。本着“勤俭节约、保障运转”的原则进行预算合理、细化编制，严格预算编制的相关制度和要求，进一步提高局各内设股室及下属事业单位预算编制意识，不断提高预算编制的科学化和精细化水平。二是持续加强预算执行“规范化”。进一步强化预算执行管理，严把预算追加关，从严控制年中追加预算规模；坚持目标导向，积极开展预算事中绩效监控、支出绩效评价，确保完成既定绩效目标，充分发挥资金的使用效益，有效提高预算执行率。</w:t>
      </w:r>
    </w:p>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cs="宋体"/>
          <w:color w:val="FF0000"/>
          <w:kern w:val="0"/>
          <w:sz w:val="32"/>
          <w:szCs w:val="32"/>
          <w:highlight w:val="yellow"/>
          <w:shd w:val="clear" w:color="auto" w:fill="FFFFFF"/>
          <w:lang w:val="zh-CN"/>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部门预算项目支出绩效自评表（2024年度）</w:t>
      </w: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7"/>
        <w:keepNext w:val="0"/>
        <w:keepLines w:val="0"/>
        <w:pageBreakBefore w:val="0"/>
        <w:widowControl w:val="0"/>
        <w:kinsoku/>
        <w:wordWrap/>
        <w:overflowPunct/>
        <w:topLinePunct w:val="0"/>
        <w:autoSpaceDE/>
        <w:autoSpaceDN/>
        <w:bidi w:val="0"/>
        <w:spacing w:line="578" w:lineRule="exact"/>
        <w:jc w:val="both"/>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马边彝族自治县民政局</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困难群众救助</w:t>
      </w:r>
      <w:r>
        <w:rPr>
          <w:rFonts w:hint="eastAsia" w:ascii="方正小标宋简体" w:hAnsi="方正小标宋简体" w:eastAsia="方正小标宋简体" w:cs="方正小标宋简体"/>
          <w:b w:val="0"/>
          <w:bCs/>
          <w:sz w:val="44"/>
          <w:szCs w:val="44"/>
        </w:rPr>
        <w:t>转移支付20</w:t>
      </w:r>
      <w:r>
        <w:rPr>
          <w:rFonts w:hint="eastAsia" w:ascii="方正小标宋简体" w:hAnsi="方正小标宋简体" w:eastAsia="方正小标宋简体" w:cs="方正小标宋简体"/>
          <w:b w:val="0"/>
          <w:bCs/>
          <w:sz w:val="44"/>
          <w:szCs w:val="44"/>
          <w:lang w:val="en-US" w:eastAsia="zh-CN"/>
        </w:rPr>
        <w:t>24</w:t>
      </w:r>
      <w:r>
        <w:rPr>
          <w:rFonts w:hint="eastAsia" w:ascii="方正小标宋简体" w:hAnsi="方正小标宋简体" w:eastAsia="方正小标宋简体" w:cs="方正小标宋简体"/>
          <w:b w:val="0"/>
          <w:bCs/>
          <w:sz w:val="44"/>
          <w:szCs w:val="44"/>
        </w:rPr>
        <w:t>年度绩效</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自评报告</w:t>
      </w:r>
    </w:p>
    <w:p>
      <w:pPr>
        <w:keepNext w:val="0"/>
        <w:keepLines w:val="0"/>
        <w:pageBreakBefore w:val="0"/>
        <w:widowControl w:val="0"/>
        <w:kinsoku/>
        <w:wordWrap/>
        <w:overflowPunct/>
        <w:topLinePunct w:val="0"/>
        <w:autoSpaceDE/>
        <w:autoSpaceDN/>
        <w:bidi w:val="0"/>
        <w:adjustRightInd/>
        <w:snapToGrid w:val="0"/>
        <w:spacing w:line="580" w:lineRule="exact"/>
        <w:ind w:firstLine="420" w:firstLineChars="200"/>
        <w:textAlignment w:val="auto"/>
        <w:rPr>
          <w:rFonts w:hint="eastAsia" w:ascii="黑体" w:hAnsi="黑体" w:eastAsia="黑体" w:cs="黑体"/>
          <w:bCs/>
          <w:szCs w:val="32"/>
        </w:rPr>
      </w:pPr>
    </w:p>
    <w:p>
      <w:pPr>
        <w:keepNext w:val="0"/>
        <w:keepLines w:val="0"/>
        <w:pageBreakBefore w:val="0"/>
        <w:widowControl/>
        <w:numPr>
          <w:ilvl w:val="0"/>
          <w:numId w:val="0"/>
        </w:numPr>
        <w:kinsoku/>
        <w:wordWrap/>
        <w:overflowPunct/>
        <w:topLinePunct w:val="0"/>
        <w:autoSpaceDE/>
        <w:autoSpaceDN/>
        <w:bidi w:val="0"/>
        <w:adjustRightInd/>
        <w:snapToGrid/>
        <w:spacing w:after="200" w:line="560" w:lineRule="exact"/>
        <w:ind w:right="0" w:rightChars="0" w:firstLine="643" w:firstLineChars="200"/>
        <w:jc w:val="both"/>
        <w:textAlignment w:val="auto"/>
        <w:outlineLvl w:val="9"/>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一、绩效目标分解下达情况</w:t>
      </w:r>
    </w:p>
    <w:p>
      <w:pPr>
        <w:keepNext w:val="0"/>
        <w:keepLines w:val="0"/>
        <w:pageBreakBefore w:val="0"/>
        <w:widowControl/>
        <w:numPr>
          <w:ilvl w:val="0"/>
          <w:numId w:val="0"/>
        </w:numPr>
        <w:kinsoku/>
        <w:wordWrap/>
        <w:overflowPunct/>
        <w:topLinePunct w:val="0"/>
        <w:autoSpaceDE/>
        <w:autoSpaceDN/>
        <w:bidi w:val="0"/>
        <w:adjustRightInd/>
        <w:snapToGrid/>
        <w:spacing w:after="200" w:line="560" w:lineRule="exact"/>
        <w:ind w:right="0" w:rightChars="0" w:firstLine="643" w:firstLineChars="200"/>
        <w:jc w:val="both"/>
        <w:textAlignment w:val="auto"/>
        <w:outlineLvl w:val="9"/>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（一）中央下达困难群众救助资金转移支付预算情况。</w:t>
      </w:r>
    </w:p>
    <w:p>
      <w:pPr>
        <w:keepNext w:val="0"/>
        <w:keepLines w:val="0"/>
        <w:pageBreakBefore w:val="0"/>
        <w:widowControl/>
        <w:numPr>
          <w:ilvl w:val="0"/>
          <w:numId w:val="0"/>
        </w:numPr>
        <w:kinsoku/>
        <w:wordWrap/>
        <w:overflowPunct/>
        <w:topLinePunct w:val="0"/>
        <w:autoSpaceDE/>
        <w:autoSpaceDN/>
        <w:bidi w:val="0"/>
        <w:adjustRightInd/>
        <w:snapToGrid/>
        <w:spacing w:after="200" w:line="560" w:lineRule="exact"/>
        <w:ind w:right="0" w:rightChars="0" w:firstLine="600" w:firstLineChars="200"/>
        <w:jc w:val="both"/>
        <w:textAlignment w:val="auto"/>
        <w:outlineLvl w:val="9"/>
        <w:rPr>
          <w:rFonts w:hint="default"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2024年下达我县</w:t>
      </w:r>
      <w:bookmarkStart w:id="51" w:name="OLE_LINK1"/>
      <w:r>
        <w:rPr>
          <w:rFonts w:hint="eastAsia" w:ascii="方正仿宋_GBK" w:hAnsi="方正仿宋_GBK" w:eastAsia="方正仿宋_GBK" w:cs="方正仿宋_GBK"/>
          <w:sz w:val="30"/>
          <w:szCs w:val="30"/>
          <w:lang w:val="en-US" w:eastAsia="zh-CN"/>
        </w:rPr>
        <w:t>中、省困难群众救助资金7292万元</w:t>
      </w:r>
      <w:bookmarkEnd w:id="51"/>
      <w:r>
        <w:rPr>
          <w:rFonts w:hint="eastAsia" w:ascii="方正仿宋_GBK" w:hAnsi="方正仿宋_GBK" w:eastAsia="方正仿宋_GBK" w:cs="方正仿宋_GBK"/>
          <w:sz w:val="30"/>
          <w:szCs w:val="30"/>
          <w:lang w:val="en-US" w:eastAsia="zh-CN"/>
        </w:rPr>
        <w:t>，其中：川财社【2024】109号下达中央困难群众救助资金5988万元，川财社【2024】109号下达省级困难群众救助资金1304万元。2024年县级配套困难群众救助资金1789.45万元。</w:t>
      </w:r>
    </w:p>
    <w:p>
      <w:pPr>
        <w:pStyle w:val="2"/>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sz w:val="32"/>
          <w:szCs w:val="32"/>
          <w:lang w:eastAsia="zh-CN"/>
        </w:rPr>
      </w:pPr>
      <w:r>
        <w:rPr>
          <w:rFonts w:hint="eastAsia" w:ascii="楷体_GB2312" w:eastAsia="楷体_GB2312"/>
          <w:sz w:val="32"/>
          <w:szCs w:val="32"/>
        </w:rPr>
        <w:t>（二）中央下达</w:t>
      </w:r>
      <w:r>
        <w:rPr>
          <w:rFonts w:hint="eastAsia" w:ascii="楷体_GB2312" w:eastAsia="楷体_GB2312"/>
          <w:sz w:val="32"/>
          <w:szCs w:val="32"/>
          <w:lang w:eastAsia="zh-CN"/>
        </w:rPr>
        <w:t>困难群众救助资金</w:t>
      </w:r>
      <w:r>
        <w:rPr>
          <w:rFonts w:hint="eastAsia" w:ascii="楷体_GB2312" w:eastAsia="楷体_GB2312"/>
          <w:sz w:val="32"/>
          <w:szCs w:val="32"/>
        </w:rPr>
        <w:t>转移支付绩效目标情况</w:t>
      </w:r>
      <w:r>
        <w:rPr>
          <w:rFonts w:hint="eastAsia" w:ascii="楷体_GB2312" w:eastAsia="楷体_GB2312"/>
          <w:sz w:val="32"/>
          <w:szCs w:val="32"/>
          <w:lang w:eastAsia="zh-CN"/>
        </w:rPr>
        <w:t>。</w:t>
      </w:r>
    </w:p>
    <w:p>
      <w:pPr>
        <w:spacing w:line="600" w:lineRule="exact"/>
        <w:ind w:firstLine="645"/>
        <w:rPr>
          <w:rFonts w:hint="eastAsia" w:ascii="仿宋_GB2312" w:hAnsi="Times New Roman" w:eastAsia="仿宋_GB2312" w:cs="Times New Roman"/>
          <w:sz w:val="32"/>
          <w:szCs w:val="32"/>
        </w:rPr>
      </w:pPr>
      <w:r>
        <w:rPr>
          <w:rFonts w:hint="eastAsia" w:ascii="仿宋_GB2312" w:eastAsia="仿宋_GB2312"/>
          <w:sz w:val="32"/>
          <w:szCs w:val="32"/>
        </w:rPr>
        <w:t>资金统筹用于城乡低保、特困供养、临时救助、流浪乞讨人员救助（含农村留守儿童、困境儿童、流浪乞讨儿童的应急处置、救助帮扶、监护支持、精神关爱等未成年人社会保护支出）和孤儿（含艾滋病病毒感染儿童、生活困难家庭中的和纳入特困人员救助供养范围的事实无人抚养儿童）基</w:t>
      </w:r>
      <w:r>
        <w:rPr>
          <w:rFonts w:hint="eastAsia" w:ascii="仿宋_GB2312" w:hAnsi="Times New Roman" w:eastAsia="仿宋_GB2312" w:cs="Times New Roman"/>
          <w:sz w:val="32"/>
          <w:szCs w:val="32"/>
        </w:rPr>
        <w:t>本生活保障支出。</w:t>
      </w:r>
    </w:p>
    <w:p>
      <w:pPr>
        <w:keepNext w:val="0"/>
        <w:keepLines w:val="0"/>
        <w:pageBreakBefore w:val="0"/>
        <w:widowControl/>
        <w:numPr>
          <w:ilvl w:val="0"/>
          <w:numId w:val="0"/>
        </w:numPr>
        <w:kinsoku/>
        <w:wordWrap/>
        <w:overflowPunct/>
        <w:topLinePunct w:val="0"/>
        <w:autoSpaceDE/>
        <w:autoSpaceDN/>
        <w:bidi w:val="0"/>
        <w:adjustRightInd/>
        <w:snapToGrid/>
        <w:spacing w:after="200" w:line="560" w:lineRule="exact"/>
        <w:ind w:right="0" w:rightChars="0" w:firstLine="643" w:firstLineChars="200"/>
        <w:jc w:val="both"/>
        <w:textAlignment w:val="auto"/>
        <w:outlineLvl w:val="9"/>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二、绩效情况分析</w:t>
      </w:r>
    </w:p>
    <w:p>
      <w:pPr>
        <w:spacing w:line="600" w:lineRule="exact"/>
        <w:ind w:firstLine="645"/>
        <w:rPr>
          <w:rFonts w:hint="eastAsia" w:ascii="仿宋_GB2312" w:hAnsi="仿宋_GB2312" w:eastAsia="仿宋_GB2312" w:cs="仿宋_GB2312"/>
          <w:b w:val="0"/>
          <w:bCs w:val="0"/>
          <w:color w:val="auto"/>
          <w:szCs w:val="32"/>
          <w:highlight w:val="none"/>
          <w:lang w:eastAsia="zh-CN"/>
        </w:rPr>
      </w:pPr>
      <w:r>
        <w:rPr>
          <w:rFonts w:hint="eastAsia" w:ascii="楷体_GB2312" w:hAnsi="Arial" w:eastAsia="楷体_GB2312" w:cs="Times New Roman"/>
          <w:b/>
          <w:kern w:val="2"/>
          <w:sz w:val="32"/>
          <w:szCs w:val="32"/>
          <w:lang w:val="en-US" w:eastAsia="zh-CN" w:bidi="ar-SA"/>
        </w:rPr>
        <w:t>（一）资金投入情况分析。</w:t>
      </w:r>
      <w:r>
        <w:rPr>
          <w:rFonts w:hint="eastAsia" w:ascii="仿宋_GB2312" w:hAnsi="Times New Roman" w:eastAsia="仿宋_GB2312" w:cs="Times New Roman"/>
          <w:sz w:val="32"/>
          <w:szCs w:val="32"/>
          <w:lang w:eastAsia="zh-CN"/>
        </w:rPr>
        <w:t>一是向</w:t>
      </w:r>
      <w:r>
        <w:rPr>
          <w:rFonts w:hint="eastAsia" w:ascii="仿宋_GB2312" w:hAnsi="Times New Roman" w:eastAsia="仿宋_GB2312" w:cs="Times New Roman"/>
          <w:sz w:val="32"/>
          <w:szCs w:val="32"/>
          <w:lang w:val="en-US" w:eastAsia="zh-CN"/>
        </w:rPr>
        <w:t>县城乡低保对象19435人，其中城市低保</w:t>
      </w:r>
      <w:r>
        <w:rPr>
          <w:rFonts w:hint="default"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lang w:val="en-US" w:eastAsia="zh-CN"/>
        </w:rPr>
        <w:t>52人，农村低保18983人，发放低保金7834.39万元。农村低保月人均救助补助标准达到</w:t>
      </w:r>
      <w:r>
        <w:rPr>
          <w:rFonts w:hint="eastAsia" w:ascii="仿宋_GB2312" w:hAnsi="Times New Roman" w:eastAsia="仿宋_GB2312" w:cs="Times New Roman"/>
          <w:sz w:val="32"/>
          <w:szCs w:val="32"/>
        </w:rPr>
        <w:t>333.63元，较2023年增加15.69元</w:t>
      </w:r>
      <w:r>
        <w:rPr>
          <w:rFonts w:hint="eastAsia" w:ascii="仿宋_GB2312" w:hAnsi="Times New Roman" w:eastAsia="仿宋_GB2312" w:cs="Times New Roman"/>
          <w:sz w:val="32"/>
          <w:szCs w:val="32"/>
          <w:lang w:val="en-US" w:eastAsia="zh-CN"/>
        </w:rPr>
        <w:t>。二是</w:t>
      </w:r>
      <w:r>
        <w:rPr>
          <w:rFonts w:hint="eastAsia" w:ascii="仿宋_GB2312" w:hAnsi="Times New Roman" w:eastAsia="仿宋_GB2312" w:cs="Times New Roman"/>
          <w:sz w:val="32"/>
          <w:szCs w:val="32"/>
        </w:rPr>
        <w:t>合理提高救助供养水平和服务质量。</w:t>
      </w:r>
      <w:r>
        <w:rPr>
          <w:rFonts w:hint="eastAsia" w:ascii="仿宋_GB2312" w:hAnsi="Times New Roman" w:eastAsia="仿宋_GB2312" w:cs="Times New Roman"/>
          <w:sz w:val="32"/>
          <w:szCs w:val="32"/>
          <w:lang w:eastAsia="zh-CN"/>
        </w:rPr>
        <w:t>农村特困供养人员供养标准达到</w:t>
      </w:r>
      <w:r>
        <w:rPr>
          <w:rFonts w:hint="eastAsia" w:ascii="仿宋_GB2312" w:hAnsi="Times New Roman" w:eastAsia="仿宋_GB2312" w:cs="Times New Roman"/>
          <w:sz w:val="32"/>
          <w:szCs w:val="32"/>
          <w:lang w:val="en-US" w:eastAsia="zh-CN"/>
        </w:rPr>
        <w:t>754元/人·月，城市</w:t>
      </w:r>
      <w:r>
        <w:rPr>
          <w:rFonts w:hint="eastAsia" w:ascii="仿宋_GB2312" w:hAnsi="Times New Roman" w:eastAsia="仿宋_GB2312" w:cs="Times New Roman"/>
          <w:sz w:val="32"/>
          <w:szCs w:val="32"/>
          <w:lang w:eastAsia="zh-CN"/>
        </w:rPr>
        <w:t>特困</w:t>
      </w:r>
      <w:r>
        <w:rPr>
          <w:rFonts w:hint="eastAsia" w:ascii="仿宋_GB2312" w:hAnsi="仿宋_GB2312" w:eastAsia="仿宋_GB2312" w:cs="仿宋_GB2312"/>
          <w:color w:val="auto"/>
          <w:sz w:val="32"/>
          <w:szCs w:val="32"/>
          <w:lang w:eastAsia="zh-CN"/>
        </w:rPr>
        <w:t>供养人员供养标准达到</w:t>
      </w:r>
      <w:r>
        <w:rPr>
          <w:rFonts w:hint="eastAsia" w:ascii="仿宋_GB2312" w:hAnsi="仿宋_GB2312" w:cs="仿宋_GB2312"/>
          <w:color w:val="auto"/>
          <w:sz w:val="32"/>
          <w:szCs w:val="32"/>
          <w:lang w:val="en-US" w:eastAsia="zh-CN"/>
        </w:rPr>
        <w:t>1025</w:t>
      </w:r>
      <w:r>
        <w:rPr>
          <w:rFonts w:hint="eastAsia" w:ascii="仿宋_GB2312" w:hAnsi="仿宋_GB2312" w:eastAsia="仿宋_GB2312" w:cs="仿宋_GB2312"/>
          <w:color w:val="auto"/>
          <w:sz w:val="32"/>
          <w:szCs w:val="32"/>
          <w:lang w:val="en-US" w:eastAsia="zh-CN"/>
        </w:rPr>
        <w:t>元/人·月</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特困供养人员自愿入住敬老院集中供养率达到100%，落实散居特困人员照料护理承接人，建立散居特困人员按月走访制度，不断加强和规范散居特困人员照料护理工作，累计发放资金</w:t>
      </w:r>
      <w:r>
        <w:rPr>
          <w:rFonts w:hint="eastAsia" w:ascii="仿宋_GB2312"/>
          <w:color w:val="auto"/>
          <w:szCs w:val="32"/>
          <w:lang w:val="en-US" w:eastAsia="zh-CN"/>
        </w:rPr>
        <w:t>872.32</w:t>
      </w:r>
      <w:r>
        <w:rPr>
          <w:rFonts w:hint="eastAsia" w:ascii="仿宋_GB2312" w:hAnsi="仿宋_GB2312" w:eastAsia="仿宋_GB2312" w:cs="仿宋_GB2312"/>
          <w:color w:val="auto"/>
          <w:sz w:val="32"/>
          <w:szCs w:val="32"/>
          <w:lang w:val="en-US" w:eastAsia="zh-CN"/>
        </w:rPr>
        <w:t>万元。</w:t>
      </w:r>
      <w:r>
        <w:rPr>
          <w:rFonts w:hint="eastAsia" w:ascii="仿宋_GB2312" w:hAnsi="仿宋_GB2312" w:cs="仿宋_GB2312"/>
          <w:color w:val="auto"/>
          <w:sz w:val="32"/>
          <w:szCs w:val="32"/>
          <w:lang w:val="en-US" w:eastAsia="zh-CN"/>
        </w:rPr>
        <w:t>三是</w:t>
      </w:r>
      <w:r>
        <w:rPr>
          <w:rFonts w:hint="eastAsia" w:ascii="仿宋_GB2312" w:hAnsi="仿宋_GB2312" w:eastAsia="仿宋_GB2312" w:cs="仿宋_GB2312"/>
          <w:color w:val="auto"/>
          <w:sz w:val="32"/>
          <w:szCs w:val="32"/>
          <w:lang w:eastAsia="zh-CN"/>
        </w:rPr>
        <w:t>强化急难性社会救助，争取主动发现、快速响应，个案会商等方式，</w:t>
      </w:r>
      <w:r>
        <w:rPr>
          <w:rFonts w:hint="eastAsia" w:ascii="仿宋_GB2312" w:hAnsi="仿宋_GB2312" w:eastAsia="仿宋_GB2312" w:cs="仿宋_GB2312"/>
          <w:color w:val="auto"/>
          <w:sz w:val="32"/>
          <w:szCs w:val="32"/>
          <w:lang w:val="en-US" w:eastAsia="zh-CN"/>
        </w:rPr>
        <w:t>给予急难性贫困群体月低保标准1到3倍的临时救助，特别困难的，采取“一事一议”的方式，给予不超过低保标准12倍的临时救助。累计发放临时救助金</w:t>
      </w:r>
      <w:r>
        <w:rPr>
          <w:rFonts w:hint="eastAsia" w:ascii="仿宋_GB2312"/>
          <w:color w:val="auto"/>
          <w:szCs w:val="32"/>
          <w:lang w:val="en-US" w:eastAsia="zh-CN"/>
        </w:rPr>
        <w:t>88.55</w:t>
      </w:r>
      <w:r>
        <w:rPr>
          <w:rFonts w:hint="eastAsia" w:ascii="仿宋_GB2312" w:hAnsi="仿宋_GB2312" w:eastAsia="仿宋_GB2312" w:cs="仿宋_GB2312"/>
          <w:color w:val="auto"/>
          <w:sz w:val="32"/>
          <w:szCs w:val="32"/>
          <w:lang w:val="en-US" w:eastAsia="zh-CN"/>
        </w:rPr>
        <w:t>万元，救助</w:t>
      </w:r>
      <w:r>
        <w:rPr>
          <w:rFonts w:hint="eastAsia" w:ascii="仿宋_GB2312" w:hAnsi="仿宋_GB2312" w:cs="仿宋_GB2312"/>
          <w:color w:val="auto"/>
          <w:sz w:val="32"/>
          <w:szCs w:val="32"/>
          <w:lang w:val="en-US" w:eastAsia="zh-CN"/>
        </w:rPr>
        <w:t>590</w:t>
      </w:r>
      <w:r>
        <w:rPr>
          <w:rFonts w:hint="eastAsia" w:ascii="仿宋_GB2312" w:hAnsi="仿宋_GB2312" w:eastAsia="仿宋_GB2312" w:cs="仿宋_GB2312"/>
          <w:color w:val="auto"/>
          <w:sz w:val="32"/>
          <w:szCs w:val="32"/>
          <w:lang w:val="en-US" w:eastAsia="zh-CN"/>
        </w:rPr>
        <w:t>人次。</w:t>
      </w:r>
      <w:r>
        <w:rPr>
          <w:rFonts w:hint="eastAsia" w:ascii="仿宋_GB2312" w:hAnsi="仿宋_GB2312" w:cs="仿宋_GB2312"/>
          <w:color w:val="auto"/>
          <w:sz w:val="32"/>
          <w:szCs w:val="32"/>
          <w:lang w:val="en-US" w:eastAsia="zh-CN"/>
        </w:rPr>
        <w:t>四是</w:t>
      </w:r>
      <w:r>
        <w:rPr>
          <w:rStyle w:val="38"/>
          <w:rFonts w:hint="eastAsia" w:ascii="仿宋_GB2312" w:hAnsi="仿宋_GB2312" w:eastAsia="仿宋_GB2312" w:cs="仿宋_GB2312"/>
          <w:color w:val="auto"/>
          <w:sz w:val="32"/>
          <w:szCs w:val="32"/>
          <w:lang w:eastAsia="zh-CN"/>
        </w:rPr>
        <w:t>将全县</w:t>
      </w:r>
      <w:r>
        <w:rPr>
          <w:rStyle w:val="38"/>
          <w:rFonts w:hint="eastAsia" w:ascii="仿宋_GB2312" w:hAnsi="仿宋_GB2312" w:cs="仿宋_GB2312"/>
          <w:color w:val="auto"/>
          <w:sz w:val="32"/>
          <w:szCs w:val="32"/>
          <w:lang w:val="en-US" w:eastAsia="zh-CN"/>
        </w:rPr>
        <w:t>193</w:t>
      </w:r>
      <w:r>
        <w:rPr>
          <w:rStyle w:val="38"/>
          <w:rFonts w:hint="eastAsia" w:ascii="仿宋_GB2312" w:hAnsi="仿宋_GB2312" w:eastAsia="仿宋_GB2312" w:cs="仿宋_GB2312"/>
          <w:color w:val="auto"/>
          <w:sz w:val="32"/>
          <w:szCs w:val="32"/>
          <w:lang w:val="en-US" w:eastAsia="zh-CN"/>
        </w:rPr>
        <w:t>名特殊困难儿童纳入基本生活保障，孤儿和事实无人抚养儿童生活保障标准</w:t>
      </w:r>
      <w:r>
        <w:rPr>
          <w:rStyle w:val="38"/>
          <w:rFonts w:hint="eastAsia" w:ascii="仿宋_GB2312" w:hAnsi="仿宋_GB2312" w:cs="仿宋_GB2312"/>
          <w:color w:val="auto"/>
          <w:sz w:val="32"/>
          <w:szCs w:val="32"/>
          <w:lang w:val="en-US" w:eastAsia="zh-CN"/>
        </w:rPr>
        <w:t>提高到</w:t>
      </w:r>
      <w:r>
        <w:rPr>
          <w:rStyle w:val="38"/>
          <w:rFonts w:hint="eastAsia" w:ascii="仿宋_GB2312" w:hAnsi="仿宋_GB2312" w:eastAsia="仿宋_GB2312" w:cs="仿宋_GB2312"/>
          <w:color w:val="auto"/>
          <w:sz w:val="32"/>
          <w:szCs w:val="32"/>
          <w:lang w:val="en-US" w:eastAsia="zh-CN"/>
        </w:rPr>
        <w:t>集中供养达到1</w:t>
      </w:r>
      <w:r>
        <w:rPr>
          <w:rStyle w:val="38"/>
          <w:rFonts w:hint="eastAsia" w:ascii="仿宋_GB2312" w:hAnsi="仿宋_GB2312" w:cs="仿宋_GB2312"/>
          <w:color w:val="auto"/>
          <w:sz w:val="32"/>
          <w:szCs w:val="32"/>
          <w:lang w:val="en-US" w:eastAsia="zh-CN"/>
        </w:rPr>
        <w:t>75</w:t>
      </w:r>
      <w:r>
        <w:rPr>
          <w:rStyle w:val="38"/>
          <w:rFonts w:hint="eastAsia" w:ascii="仿宋_GB2312" w:hAnsi="仿宋_GB2312" w:eastAsia="仿宋_GB2312" w:cs="仿宋_GB2312"/>
          <w:color w:val="auto"/>
          <w:sz w:val="32"/>
          <w:szCs w:val="32"/>
          <w:lang w:val="en-US" w:eastAsia="zh-CN"/>
        </w:rPr>
        <w:t>0元/月·人，分散供养达到</w:t>
      </w:r>
      <w:r>
        <w:rPr>
          <w:rStyle w:val="38"/>
          <w:rFonts w:hint="eastAsia" w:ascii="仿宋_GB2312" w:hAnsi="仿宋_GB2312" w:cs="仿宋_GB2312"/>
          <w:color w:val="auto"/>
          <w:sz w:val="32"/>
          <w:szCs w:val="32"/>
          <w:lang w:val="en-US" w:eastAsia="zh-CN"/>
        </w:rPr>
        <w:t>1350</w:t>
      </w:r>
      <w:r>
        <w:rPr>
          <w:rStyle w:val="38"/>
          <w:rFonts w:hint="eastAsia" w:ascii="仿宋_GB2312" w:hAnsi="仿宋_GB2312" w:eastAsia="仿宋_GB2312" w:cs="仿宋_GB2312"/>
          <w:color w:val="auto"/>
          <w:sz w:val="32"/>
          <w:szCs w:val="32"/>
          <w:lang w:val="en-US" w:eastAsia="zh-CN"/>
        </w:rPr>
        <w:t>元/月·人；全年</w:t>
      </w:r>
      <w:r>
        <w:rPr>
          <w:rFonts w:hint="eastAsia" w:ascii="仿宋_GB2312" w:hAnsi="仿宋_GB2312" w:eastAsia="仿宋_GB2312" w:cs="仿宋_GB2312"/>
          <w:b w:val="0"/>
          <w:bCs w:val="0"/>
          <w:color w:val="auto"/>
          <w:sz w:val="32"/>
          <w:szCs w:val="32"/>
          <w:lang w:val="en-US" w:eastAsia="zh-CN"/>
        </w:rPr>
        <w:t>累计发放孤儿、事实无人抚养儿童基本生活费</w:t>
      </w:r>
      <w:r>
        <w:rPr>
          <w:rFonts w:hint="eastAsia" w:ascii="仿宋_GB2312"/>
          <w:color w:val="auto"/>
          <w:szCs w:val="32"/>
          <w:lang w:val="en-US" w:eastAsia="zh-CN"/>
        </w:rPr>
        <w:t>284.25</w:t>
      </w:r>
      <w:r>
        <w:rPr>
          <w:rFonts w:hint="eastAsia" w:ascii="仿宋_GB2312" w:hAnsi="仿宋_GB2312" w:eastAsia="仿宋_GB2312" w:cs="仿宋_GB2312"/>
          <w:b w:val="0"/>
          <w:bCs w:val="0"/>
          <w:color w:val="auto"/>
          <w:sz w:val="32"/>
          <w:szCs w:val="32"/>
          <w:lang w:val="en-US" w:eastAsia="zh-CN"/>
        </w:rPr>
        <w:t>万元。</w:t>
      </w:r>
      <w:r>
        <w:rPr>
          <w:rFonts w:hint="eastAsia" w:ascii="仿宋_GB2312" w:hAnsi="仿宋_GB2312" w:cs="仿宋_GB2312"/>
          <w:b w:val="0"/>
          <w:bCs w:val="0"/>
          <w:color w:val="auto"/>
          <w:sz w:val="32"/>
          <w:szCs w:val="32"/>
          <w:lang w:val="en-US" w:eastAsia="zh-CN"/>
        </w:rPr>
        <w:t>五是救助流浪乞讨人员17人，</w:t>
      </w:r>
      <w:r>
        <w:rPr>
          <w:rFonts w:hint="eastAsia" w:ascii="仿宋_GB2312" w:hAnsi="仿宋_GB2312" w:eastAsia="仿宋_GB2312" w:cs="仿宋_GB2312"/>
          <w:color w:val="auto"/>
          <w:sz w:val="32"/>
          <w:szCs w:val="32"/>
          <w:lang w:val="en-US" w:eastAsia="zh-CN"/>
        </w:rPr>
        <w:t>流浪乞讨救助</w:t>
      </w:r>
      <w:r>
        <w:rPr>
          <w:rFonts w:hint="eastAsia" w:ascii="仿宋_GB2312" w:hAnsi="仿宋_GB2312" w:eastAsia="仿宋_GB2312" w:cs="仿宋_GB2312"/>
          <w:color w:val="auto"/>
          <w:sz w:val="32"/>
          <w:szCs w:val="32"/>
        </w:rPr>
        <w:t>资金</w:t>
      </w:r>
      <w:r>
        <w:rPr>
          <w:rFonts w:hint="eastAsia" w:ascii="仿宋_GB2312"/>
          <w:color w:val="auto"/>
          <w:szCs w:val="32"/>
          <w:lang w:val="en-US" w:eastAsia="zh-CN"/>
        </w:rPr>
        <w:t>1.94</w:t>
      </w:r>
      <w:r>
        <w:rPr>
          <w:rFonts w:hint="eastAsia" w:ascii="仿宋_GB2312" w:hAnsi="仿宋_GB2312" w:eastAsia="仿宋_GB2312" w:cs="仿宋_GB2312"/>
          <w:color w:val="auto"/>
          <w:sz w:val="32"/>
          <w:szCs w:val="32"/>
          <w:lang w:eastAsia="zh-CN"/>
        </w:rPr>
        <w:t>万元，确保困难群众基本生活得到有效保障和改善。</w:t>
      </w:r>
    </w:p>
    <w:p>
      <w:pPr>
        <w:keepNext w:val="0"/>
        <w:keepLines w:val="0"/>
        <w:pageBreakBefore w:val="0"/>
        <w:widowControl/>
        <w:numPr>
          <w:ilvl w:val="0"/>
          <w:numId w:val="0"/>
        </w:numPr>
        <w:kinsoku/>
        <w:wordWrap/>
        <w:overflowPunct/>
        <w:topLinePunct w:val="0"/>
        <w:autoSpaceDE/>
        <w:autoSpaceDN/>
        <w:bidi w:val="0"/>
        <w:adjustRightInd/>
        <w:snapToGrid/>
        <w:spacing w:after="200" w:line="560" w:lineRule="exact"/>
        <w:ind w:right="0" w:rightChars="0" w:firstLine="643" w:firstLineChars="200"/>
        <w:jc w:val="both"/>
        <w:textAlignment w:val="auto"/>
        <w:outlineLvl w:val="9"/>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（二）资金管理情况分析。</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Style w:val="38"/>
          <w:rFonts w:hint="eastAsia" w:ascii="仿宋_GB2312" w:hAnsi="仿宋_GB2312" w:eastAsia="仿宋_GB2312" w:cs="仿宋_GB2312"/>
          <w:color w:val="auto"/>
          <w:sz w:val="32"/>
          <w:szCs w:val="32"/>
          <w:lang w:val="en-US" w:eastAsia="zh-CN"/>
        </w:rPr>
      </w:pPr>
      <w:r>
        <w:rPr>
          <w:rStyle w:val="38"/>
          <w:rFonts w:hint="eastAsia" w:ascii="仿宋_GB2312" w:hAnsi="仿宋_GB2312" w:eastAsia="仿宋_GB2312" w:cs="仿宋_GB2312"/>
          <w:color w:val="auto"/>
          <w:sz w:val="32"/>
          <w:szCs w:val="32"/>
          <w:lang w:val="en-US" w:eastAsia="zh-CN"/>
        </w:rPr>
        <w:t xml:space="preserve"> 项目资金管理和使用均符合困难群众救助资金管理和使用要求，并按财政相关资金支付流程支付资金。 </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Style w:val="38"/>
          <w:rFonts w:hint="eastAsia" w:ascii="仿宋_GB2312" w:hAnsi="仿宋_GB2312" w:eastAsia="仿宋_GB2312" w:cs="仿宋_GB2312"/>
          <w:color w:val="auto"/>
          <w:sz w:val="32"/>
          <w:szCs w:val="32"/>
          <w:lang w:val="en-US" w:eastAsia="zh-CN"/>
        </w:rPr>
      </w:pPr>
      <w:r>
        <w:rPr>
          <w:rFonts w:hint="eastAsia" w:ascii="楷体_GB2312" w:hAnsi="Arial" w:eastAsia="楷体_GB2312" w:cs="Times New Roman"/>
          <w:b/>
          <w:kern w:val="2"/>
          <w:sz w:val="32"/>
          <w:szCs w:val="32"/>
          <w:lang w:val="en-US" w:eastAsia="zh-CN" w:bidi="ar-SA"/>
        </w:rPr>
        <w:t>（三）总体绩效目标完成情况分析。</w:t>
      </w:r>
      <w:r>
        <w:rPr>
          <w:rStyle w:val="38"/>
          <w:rFonts w:hint="eastAsia" w:ascii="仿宋_GB2312" w:hAnsi="仿宋_GB2312" w:eastAsia="仿宋_GB2312" w:cs="仿宋_GB2312"/>
          <w:color w:val="auto"/>
          <w:sz w:val="32"/>
          <w:szCs w:val="32"/>
          <w:lang w:val="en-US" w:eastAsia="zh-CN"/>
        </w:rPr>
        <w:t>每月按时发放城乡低保、特困供养、临时救助、孤儿和事实无人抚养儿童生活补助和流浪乞讨救助工作，保障困难群众基本生活，完成全年资金拨付目标任务的100%。</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Style w:val="38"/>
          <w:rFonts w:hint="eastAsia" w:ascii="仿宋_GB2312" w:hAnsi="仿宋_GB2312" w:eastAsia="仿宋_GB2312" w:cs="仿宋_GB2312"/>
          <w:color w:val="auto"/>
          <w:sz w:val="32"/>
          <w:szCs w:val="32"/>
          <w:lang w:val="en-US" w:eastAsia="zh-CN"/>
        </w:rPr>
      </w:pPr>
      <w:r>
        <w:rPr>
          <w:rFonts w:hint="eastAsia" w:ascii="楷体_GB2312" w:hAnsi="Arial" w:eastAsia="楷体_GB2312" w:cs="Times New Roman"/>
          <w:b/>
          <w:kern w:val="2"/>
          <w:sz w:val="32"/>
          <w:szCs w:val="32"/>
          <w:lang w:val="en-US" w:eastAsia="zh-CN" w:bidi="ar-SA"/>
        </w:rPr>
        <w:t>（四）绩效指标完成情况分析。</w:t>
      </w:r>
      <w:r>
        <w:rPr>
          <w:rStyle w:val="38"/>
          <w:rFonts w:hint="eastAsia" w:ascii="仿宋_GB2312" w:hAnsi="仿宋_GB2312" w:eastAsia="仿宋_GB2312" w:cs="仿宋_GB2312"/>
          <w:color w:val="auto"/>
          <w:sz w:val="32"/>
          <w:szCs w:val="32"/>
          <w:lang w:val="en-US" w:eastAsia="zh-CN"/>
        </w:rPr>
        <w:t>按时保质保量完成各项任务。</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三、偏离绩效目标的原因和下一步改进措施</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Style w:val="38"/>
          <w:rFonts w:hint="eastAsia" w:ascii="仿宋_GB2312" w:hAnsi="仿宋_GB2312" w:eastAsia="仿宋_GB2312" w:cs="仿宋_GB2312"/>
          <w:color w:val="auto"/>
          <w:sz w:val="32"/>
          <w:szCs w:val="32"/>
          <w:lang w:val="en-US" w:eastAsia="zh-CN"/>
        </w:rPr>
      </w:pPr>
      <w:r>
        <w:rPr>
          <w:rStyle w:val="38"/>
          <w:rFonts w:hint="eastAsia" w:ascii="仿宋_GB2312" w:hAnsi="仿宋_GB2312" w:eastAsia="仿宋_GB2312" w:cs="仿宋_GB2312"/>
          <w:color w:val="auto"/>
          <w:sz w:val="32"/>
          <w:szCs w:val="32"/>
          <w:lang w:val="en-US" w:eastAsia="zh-CN"/>
        </w:rPr>
        <w:t>无</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四、绩效自评结果拟应用和公开情况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Style w:val="38"/>
          <w:rFonts w:hint="eastAsia" w:ascii="仿宋_GB2312" w:hAnsi="仿宋_GB2312" w:eastAsia="仿宋_GB2312" w:cs="仿宋_GB2312"/>
          <w:color w:val="auto"/>
          <w:sz w:val="32"/>
          <w:szCs w:val="32"/>
          <w:lang w:val="en-US" w:eastAsia="zh-CN"/>
        </w:rPr>
      </w:pPr>
      <w:r>
        <w:rPr>
          <w:rStyle w:val="38"/>
          <w:rFonts w:hint="eastAsia" w:ascii="仿宋_GB2312" w:hAnsi="仿宋_GB2312" w:eastAsia="仿宋_GB2312" w:cs="仿宋_GB2312"/>
          <w:color w:val="auto"/>
          <w:sz w:val="32"/>
          <w:szCs w:val="32"/>
          <w:lang w:val="en-US" w:eastAsia="zh-CN"/>
        </w:rPr>
        <w:t>已进行公开。</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eastAsia" w:ascii="楷体_GB2312" w:hAnsi="Arial" w:eastAsia="楷体_GB2312" w:cs="Times New Roman"/>
          <w:b/>
          <w:kern w:val="2"/>
          <w:sz w:val="32"/>
          <w:szCs w:val="32"/>
          <w:lang w:val="en-US" w:eastAsia="zh-CN" w:bidi="ar-SA"/>
        </w:rPr>
      </w:pPr>
      <w:r>
        <w:rPr>
          <w:rFonts w:hint="eastAsia" w:ascii="楷体_GB2312" w:hAnsi="Arial" w:eastAsia="楷体_GB2312" w:cs="Times New Roman"/>
          <w:b/>
          <w:kern w:val="2"/>
          <w:sz w:val="32"/>
          <w:szCs w:val="32"/>
          <w:lang w:val="en-US" w:eastAsia="zh-CN" w:bidi="ar-SA"/>
        </w:rPr>
        <w:t>五、其他需要说明的问题</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Style w:val="38"/>
          <w:rFonts w:hint="eastAsia" w:ascii="仿宋_GB2312" w:hAnsi="仿宋_GB2312" w:eastAsia="仿宋_GB2312" w:cs="仿宋_GB2312"/>
          <w:color w:val="auto"/>
          <w:sz w:val="32"/>
          <w:szCs w:val="32"/>
          <w:lang w:val="en-US" w:eastAsia="zh-CN"/>
        </w:rPr>
      </w:pPr>
      <w:r>
        <w:rPr>
          <w:rStyle w:val="38"/>
          <w:rFonts w:hint="eastAsia" w:ascii="仿宋_GB2312" w:hAnsi="仿宋_GB2312" w:eastAsia="仿宋_GB2312" w:cs="仿宋_GB2312"/>
          <w:color w:val="auto"/>
          <w:sz w:val="32"/>
          <w:szCs w:val="32"/>
          <w:lang w:val="en-US" w:eastAsia="zh-CN"/>
        </w:rPr>
        <w:t>无</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eastAsia" w:ascii="楷体_GB2312" w:hAnsi="Arial" w:eastAsia="楷体_GB2312" w:cs="Times New Roman"/>
          <w:b/>
          <w:kern w:val="2"/>
          <w:sz w:val="32"/>
          <w:szCs w:val="32"/>
          <w:lang w:val="en" w:eastAsia="zh-CN" w:bidi="ar-SA"/>
        </w:rPr>
      </w:pPr>
      <w:r>
        <w:rPr>
          <w:rFonts w:hint="eastAsia" w:ascii="楷体_GB2312" w:hAnsi="Arial" w:eastAsia="楷体_GB2312" w:cs="Times New Roman"/>
          <w:b/>
          <w:kern w:val="2"/>
          <w:sz w:val="32"/>
          <w:szCs w:val="32"/>
          <w:lang w:val="en" w:eastAsia="zh-CN" w:bidi="ar-SA"/>
        </w:rPr>
        <w:t>六、附件</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Style w:val="38"/>
          <w:rFonts w:hint="eastAsia" w:ascii="仿宋_GB2312" w:hAnsi="仿宋_GB2312" w:eastAsia="仿宋_GB2312" w:cs="仿宋_GB2312"/>
          <w:color w:val="auto"/>
          <w:sz w:val="32"/>
          <w:szCs w:val="32"/>
          <w:lang w:val="en" w:eastAsia="zh-CN"/>
        </w:rPr>
      </w:pPr>
      <w:r>
        <w:rPr>
          <w:rStyle w:val="38"/>
          <w:rFonts w:hint="eastAsia" w:ascii="仿宋_GB2312" w:hAnsi="仿宋_GB2312" w:eastAsia="仿宋_GB2312" w:cs="仿宋_GB2312"/>
          <w:color w:val="auto"/>
          <w:sz w:val="32"/>
          <w:szCs w:val="32"/>
          <w:lang w:val="en-US" w:eastAsia="zh-CN"/>
        </w:rPr>
        <w:t>转移支付区域（项目）绩效自评表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6"/>
      <w:bookmarkEnd w:id="52"/>
      <w:bookmarkStart w:id="53"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F7896F"/>
    <w:multiLevelType w:val="singleLevel"/>
    <w:tmpl w:val="67F7896F"/>
    <w:lvl w:ilvl="0" w:tentative="0">
      <w:start w:val="1"/>
      <w:numFmt w:val="decimal"/>
      <w:lvlText w:val="%1."/>
      <w:lvlJc w:val="left"/>
      <w:pPr>
        <w:tabs>
          <w:tab w:val="left" w:pos="312"/>
        </w:tabs>
      </w:pPr>
    </w:lvl>
  </w:abstractNum>
  <w:abstractNum w:abstractNumId="1">
    <w:nsid w:val="7A11C795"/>
    <w:multiLevelType w:val="singleLevel"/>
    <w:tmpl w:val="7A11C79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0MDM0MzEyZDhhYTkxM2Y5YWIxMWNjMTkzZTZjNT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466CD"/>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A87AFF"/>
    <w:rsid w:val="021E0508"/>
    <w:rsid w:val="02FEBE30"/>
    <w:rsid w:val="03877D74"/>
    <w:rsid w:val="043953C0"/>
    <w:rsid w:val="04916F1E"/>
    <w:rsid w:val="05037275"/>
    <w:rsid w:val="05B9677F"/>
    <w:rsid w:val="05D81EC4"/>
    <w:rsid w:val="061E35DE"/>
    <w:rsid w:val="066E0107"/>
    <w:rsid w:val="07996F6E"/>
    <w:rsid w:val="07DFD8BA"/>
    <w:rsid w:val="07E21FBD"/>
    <w:rsid w:val="08955AD0"/>
    <w:rsid w:val="08D228B5"/>
    <w:rsid w:val="095347F5"/>
    <w:rsid w:val="097C160A"/>
    <w:rsid w:val="09867E8F"/>
    <w:rsid w:val="09BE0A46"/>
    <w:rsid w:val="0A2032A3"/>
    <w:rsid w:val="0AFB245D"/>
    <w:rsid w:val="0CA8290A"/>
    <w:rsid w:val="0D35B1ED"/>
    <w:rsid w:val="0E254B6B"/>
    <w:rsid w:val="0F6E2388"/>
    <w:rsid w:val="0F98263C"/>
    <w:rsid w:val="101860EC"/>
    <w:rsid w:val="101F47CC"/>
    <w:rsid w:val="10C055FF"/>
    <w:rsid w:val="11694EBD"/>
    <w:rsid w:val="11772AA4"/>
    <w:rsid w:val="118107EC"/>
    <w:rsid w:val="11CB1D14"/>
    <w:rsid w:val="12AF5192"/>
    <w:rsid w:val="12E24EE2"/>
    <w:rsid w:val="13365499"/>
    <w:rsid w:val="13D50BC4"/>
    <w:rsid w:val="14B17F78"/>
    <w:rsid w:val="14DE5E10"/>
    <w:rsid w:val="14EA24B1"/>
    <w:rsid w:val="15BF56EC"/>
    <w:rsid w:val="165E0673"/>
    <w:rsid w:val="16B831D5"/>
    <w:rsid w:val="16BB723D"/>
    <w:rsid w:val="16C136E5"/>
    <w:rsid w:val="17E50567"/>
    <w:rsid w:val="186504BB"/>
    <w:rsid w:val="19A445FC"/>
    <w:rsid w:val="1A8E38DF"/>
    <w:rsid w:val="1AAC38DB"/>
    <w:rsid w:val="1BE8440E"/>
    <w:rsid w:val="1C8651B5"/>
    <w:rsid w:val="1D155CEE"/>
    <w:rsid w:val="1D1638FE"/>
    <w:rsid w:val="1E312DEB"/>
    <w:rsid w:val="1E454BFC"/>
    <w:rsid w:val="1E740ACF"/>
    <w:rsid w:val="1FF35744"/>
    <w:rsid w:val="1FF6BC77"/>
    <w:rsid w:val="2186353C"/>
    <w:rsid w:val="23860B96"/>
    <w:rsid w:val="2398757C"/>
    <w:rsid w:val="23A6197B"/>
    <w:rsid w:val="23F64217"/>
    <w:rsid w:val="240371BF"/>
    <w:rsid w:val="244F3473"/>
    <w:rsid w:val="24C97D99"/>
    <w:rsid w:val="25A718F0"/>
    <w:rsid w:val="25BB59F6"/>
    <w:rsid w:val="25E9530A"/>
    <w:rsid w:val="260F557C"/>
    <w:rsid w:val="266E3D3D"/>
    <w:rsid w:val="26970054"/>
    <w:rsid w:val="281408E2"/>
    <w:rsid w:val="281F2148"/>
    <w:rsid w:val="29E857EE"/>
    <w:rsid w:val="29FD04D3"/>
    <w:rsid w:val="2BFF7BC6"/>
    <w:rsid w:val="2C2E3173"/>
    <w:rsid w:val="2C5544DD"/>
    <w:rsid w:val="2C8A61B5"/>
    <w:rsid w:val="2CD81EA7"/>
    <w:rsid w:val="2DDF4725"/>
    <w:rsid w:val="2DF04E50"/>
    <w:rsid w:val="2E586DFA"/>
    <w:rsid w:val="2F040D46"/>
    <w:rsid w:val="2F6B035B"/>
    <w:rsid w:val="2FAE5751"/>
    <w:rsid w:val="2FB1A395"/>
    <w:rsid w:val="2FD9A7D8"/>
    <w:rsid w:val="2FDBF714"/>
    <w:rsid w:val="30AB6865"/>
    <w:rsid w:val="31750675"/>
    <w:rsid w:val="318D6246"/>
    <w:rsid w:val="319F7F4E"/>
    <w:rsid w:val="329A4AF6"/>
    <w:rsid w:val="32A36868"/>
    <w:rsid w:val="32BD1EF1"/>
    <w:rsid w:val="3304709D"/>
    <w:rsid w:val="33A773CB"/>
    <w:rsid w:val="349D6851"/>
    <w:rsid w:val="34E754D7"/>
    <w:rsid w:val="36A42A4F"/>
    <w:rsid w:val="36AA5135"/>
    <w:rsid w:val="36BE0DA7"/>
    <w:rsid w:val="376B6AA6"/>
    <w:rsid w:val="376D39B2"/>
    <w:rsid w:val="37E16F03"/>
    <w:rsid w:val="37F53A3B"/>
    <w:rsid w:val="389B56ED"/>
    <w:rsid w:val="389B6C89"/>
    <w:rsid w:val="38D469F0"/>
    <w:rsid w:val="38F372D7"/>
    <w:rsid w:val="39627CCD"/>
    <w:rsid w:val="397BAF1F"/>
    <w:rsid w:val="3AB79AF3"/>
    <w:rsid w:val="3AE834C0"/>
    <w:rsid w:val="3B7EF35A"/>
    <w:rsid w:val="3B9FDB6C"/>
    <w:rsid w:val="3BF5BC2F"/>
    <w:rsid w:val="3CEBA265"/>
    <w:rsid w:val="3D98207C"/>
    <w:rsid w:val="3DEE7CF3"/>
    <w:rsid w:val="3E740A63"/>
    <w:rsid w:val="3E78745D"/>
    <w:rsid w:val="3ECA1318"/>
    <w:rsid w:val="3EE17838"/>
    <w:rsid w:val="3F0833B0"/>
    <w:rsid w:val="3F55381A"/>
    <w:rsid w:val="3F7F7599"/>
    <w:rsid w:val="3FF4CAE0"/>
    <w:rsid w:val="3FF7B227"/>
    <w:rsid w:val="41792C41"/>
    <w:rsid w:val="42EA1B91"/>
    <w:rsid w:val="43E443EC"/>
    <w:rsid w:val="44E268DA"/>
    <w:rsid w:val="450D13D7"/>
    <w:rsid w:val="45506656"/>
    <w:rsid w:val="45603F46"/>
    <w:rsid w:val="45A63E41"/>
    <w:rsid w:val="45BD3146"/>
    <w:rsid w:val="45C76B48"/>
    <w:rsid w:val="484C480D"/>
    <w:rsid w:val="486A6C7A"/>
    <w:rsid w:val="48FF7556"/>
    <w:rsid w:val="4A084FAB"/>
    <w:rsid w:val="4A627F82"/>
    <w:rsid w:val="4B0E749A"/>
    <w:rsid w:val="4B2477C4"/>
    <w:rsid w:val="4B4F25DA"/>
    <w:rsid w:val="4BE068DB"/>
    <w:rsid w:val="4CDF3C83"/>
    <w:rsid w:val="4D4C4DB0"/>
    <w:rsid w:val="4D577224"/>
    <w:rsid w:val="4DA4699A"/>
    <w:rsid w:val="4DBF1CEB"/>
    <w:rsid w:val="4DF0007C"/>
    <w:rsid w:val="4EAB630A"/>
    <w:rsid w:val="4ECE2238"/>
    <w:rsid w:val="4ED02686"/>
    <w:rsid w:val="4F833267"/>
    <w:rsid w:val="4FB14DB7"/>
    <w:rsid w:val="4FE9BD67"/>
    <w:rsid w:val="4FFB052F"/>
    <w:rsid w:val="5123409F"/>
    <w:rsid w:val="51C413B8"/>
    <w:rsid w:val="52691F60"/>
    <w:rsid w:val="52C47063"/>
    <w:rsid w:val="537E6D0A"/>
    <w:rsid w:val="53D7261D"/>
    <w:rsid w:val="53F74C96"/>
    <w:rsid w:val="54F93A6F"/>
    <w:rsid w:val="55086FD1"/>
    <w:rsid w:val="55170BA8"/>
    <w:rsid w:val="553218C9"/>
    <w:rsid w:val="56372AA1"/>
    <w:rsid w:val="567E1AA5"/>
    <w:rsid w:val="569F41A2"/>
    <w:rsid w:val="56E47B74"/>
    <w:rsid w:val="57175D52"/>
    <w:rsid w:val="57BD3DD4"/>
    <w:rsid w:val="57E44562"/>
    <w:rsid w:val="59213B4F"/>
    <w:rsid w:val="5A2734CC"/>
    <w:rsid w:val="5AF92295"/>
    <w:rsid w:val="5B250254"/>
    <w:rsid w:val="5BDD79E6"/>
    <w:rsid w:val="5BF561CA"/>
    <w:rsid w:val="5BFF5DFC"/>
    <w:rsid w:val="5CD71FC4"/>
    <w:rsid w:val="5D1F11B5"/>
    <w:rsid w:val="5D695134"/>
    <w:rsid w:val="5DAE1B18"/>
    <w:rsid w:val="5DE7D9E5"/>
    <w:rsid w:val="5EA42C9D"/>
    <w:rsid w:val="5ECEC941"/>
    <w:rsid w:val="5EF97F4F"/>
    <w:rsid w:val="5F2525CE"/>
    <w:rsid w:val="5FBF9FF3"/>
    <w:rsid w:val="5FCD4E2C"/>
    <w:rsid w:val="5FEF394A"/>
    <w:rsid w:val="5FF67715"/>
    <w:rsid w:val="62606EDB"/>
    <w:rsid w:val="62922D69"/>
    <w:rsid w:val="62BF3928"/>
    <w:rsid w:val="636447A9"/>
    <w:rsid w:val="63B3701E"/>
    <w:rsid w:val="647F5392"/>
    <w:rsid w:val="64C858B0"/>
    <w:rsid w:val="64F81422"/>
    <w:rsid w:val="654D7C2E"/>
    <w:rsid w:val="65E66580"/>
    <w:rsid w:val="664561D7"/>
    <w:rsid w:val="664B1D71"/>
    <w:rsid w:val="664B4E8E"/>
    <w:rsid w:val="67277B67"/>
    <w:rsid w:val="67AA3209"/>
    <w:rsid w:val="68522F5F"/>
    <w:rsid w:val="698D0931"/>
    <w:rsid w:val="6A7FE5F3"/>
    <w:rsid w:val="6B053271"/>
    <w:rsid w:val="6B6519C4"/>
    <w:rsid w:val="6BDD78B3"/>
    <w:rsid w:val="6C4A05C8"/>
    <w:rsid w:val="6C8742B8"/>
    <w:rsid w:val="6CEC7186"/>
    <w:rsid w:val="6DBF5E93"/>
    <w:rsid w:val="6DFF077E"/>
    <w:rsid w:val="6E714EF0"/>
    <w:rsid w:val="6E7E3605"/>
    <w:rsid w:val="6E7FDCC7"/>
    <w:rsid w:val="6EA463A2"/>
    <w:rsid w:val="6ED6A62E"/>
    <w:rsid w:val="6EE00B15"/>
    <w:rsid w:val="6F6FB3EB"/>
    <w:rsid w:val="6F8731EA"/>
    <w:rsid w:val="6FCE6052"/>
    <w:rsid w:val="6FD57C00"/>
    <w:rsid w:val="6FEFFFD8"/>
    <w:rsid w:val="6FF5CC65"/>
    <w:rsid w:val="6FFB47EC"/>
    <w:rsid w:val="6FFF034A"/>
    <w:rsid w:val="70484440"/>
    <w:rsid w:val="712A28F1"/>
    <w:rsid w:val="715C0E4B"/>
    <w:rsid w:val="717464FF"/>
    <w:rsid w:val="71992E7C"/>
    <w:rsid w:val="72233669"/>
    <w:rsid w:val="72734D90"/>
    <w:rsid w:val="73160E6D"/>
    <w:rsid w:val="7332FE48"/>
    <w:rsid w:val="73AB61DA"/>
    <w:rsid w:val="73AD73D5"/>
    <w:rsid w:val="73B6EB34"/>
    <w:rsid w:val="73FA497D"/>
    <w:rsid w:val="744731E5"/>
    <w:rsid w:val="74BBD01D"/>
    <w:rsid w:val="74ED5379"/>
    <w:rsid w:val="75D15981"/>
    <w:rsid w:val="75DEEEC2"/>
    <w:rsid w:val="75E32345"/>
    <w:rsid w:val="75FE6CDF"/>
    <w:rsid w:val="764E42B0"/>
    <w:rsid w:val="76764AC8"/>
    <w:rsid w:val="76A43029"/>
    <w:rsid w:val="76E3355F"/>
    <w:rsid w:val="76FF5125"/>
    <w:rsid w:val="776F6FFA"/>
    <w:rsid w:val="778769C8"/>
    <w:rsid w:val="77A75DCA"/>
    <w:rsid w:val="77DC22F5"/>
    <w:rsid w:val="782544BF"/>
    <w:rsid w:val="783E271A"/>
    <w:rsid w:val="78616DE9"/>
    <w:rsid w:val="78E875D7"/>
    <w:rsid w:val="79086DAD"/>
    <w:rsid w:val="794744F9"/>
    <w:rsid w:val="79D7FD79"/>
    <w:rsid w:val="79EE5BA4"/>
    <w:rsid w:val="7A894339"/>
    <w:rsid w:val="7AD284E8"/>
    <w:rsid w:val="7AFF7572"/>
    <w:rsid w:val="7B2A40D3"/>
    <w:rsid w:val="7B5E4BE7"/>
    <w:rsid w:val="7B6C7DFB"/>
    <w:rsid w:val="7BBD2674"/>
    <w:rsid w:val="7BBFBED0"/>
    <w:rsid w:val="7BC3E394"/>
    <w:rsid w:val="7C1F3737"/>
    <w:rsid w:val="7C73635D"/>
    <w:rsid w:val="7C8E388C"/>
    <w:rsid w:val="7CBFC87B"/>
    <w:rsid w:val="7CFE0F48"/>
    <w:rsid w:val="7D21078B"/>
    <w:rsid w:val="7D272ABC"/>
    <w:rsid w:val="7D7EC23E"/>
    <w:rsid w:val="7DB50159"/>
    <w:rsid w:val="7E282B4B"/>
    <w:rsid w:val="7E736BE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index 8"/>
    <w:basedOn w:val="1"/>
    <w:next w:val="1"/>
    <w:unhideWhenUsed/>
    <w:qFormat/>
    <w:uiPriority w:val="99"/>
    <w:pPr>
      <w:widowControl w:val="0"/>
      <w:ind w:left="2940"/>
      <w:jc w:val="both"/>
    </w:pPr>
    <w:rPr>
      <w:rFonts w:ascii="Calibri" w:hAnsi="Calibri" w:eastAsia="宋体" w:cs="黑体"/>
      <w:kern w:val="2"/>
      <w:sz w:val="21"/>
      <w:szCs w:val="22"/>
      <w:lang w:val="en-US" w:eastAsia="zh-CN" w:bidi="ar-SA"/>
    </w:rPr>
  </w:style>
  <w:style w:type="paragraph" w:styleId="7">
    <w:name w:val="Body Text"/>
    <w:basedOn w:val="1"/>
    <w:next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8">
    <w:name w:val="Title"/>
    <w:basedOn w:val="1"/>
    <w:qFormat/>
    <w:uiPriority w:val="99"/>
    <w:pPr>
      <w:spacing w:before="240" w:after="60"/>
      <w:jc w:val="center"/>
      <w:outlineLvl w:val="0"/>
    </w:pPr>
    <w:rPr>
      <w:rFonts w:ascii="Arial" w:hAnsi="Arial" w:cs="Arial"/>
      <w:b/>
      <w:bCs/>
      <w:sz w:val="32"/>
      <w:szCs w:val="32"/>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1"/>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收入支出决算总体情况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收入支出决算总体情况说明</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2024年度收入、支出总计</c:v>
                </c:pt>
                <c:pt idx="1">
                  <c:v>2023年度收入、支出总计</c:v>
                </c:pt>
              </c:strCache>
            </c:strRef>
          </c:cat>
          <c:val>
            <c:numRef>
              <c:f>Sheet1!$B$2:$B$3</c:f>
              <c:numCache>
                <c:formatCode>General</c:formatCode>
                <c:ptCount val="2"/>
                <c:pt idx="0">
                  <c:v>14845.37</c:v>
                </c:pt>
                <c:pt idx="1">
                  <c:v>15700.67</c:v>
                </c:pt>
              </c:numCache>
            </c:numRef>
          </c:val>
        </c:ser>
        <c:dLbls>
          <c:showLegendKey val="0"/>
          <c:showVal val="1"/>
          <c:showCatName val="0"/>
          <c:showSerName val="0"/>
          <c:showPercent val="0"/>
          <c:showBubbleSize val="0"/>
        </c:dLbls>
        <c:gapWidth val="219"/>
        <c:overlap val="-27"/>
        <c:axId val="371718805"/>
        <c:axId val="400823538"/>
      </c:barChart>
      <c:catAx>
        <c:axId val="371718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0823538"/>
        <c:crosses val="autoZero"/>
        <c:auto val="1"/>
        <c:lblAlgn val="ctr"/>
        <c:lblOffset val="100"/>
        <c:noMultiLvlLbl val="0"/>
      </c:catAx>
      <c:valAx>
        <c:axId val="40082353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1718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strCache>
            </c:strRef>
          </c:cat>
          <c:val>
            <c:numRef>
              <c:f>Sheet1!$B$2:$B$5</c:f>
              <c:numCache>
                <c:formatCode>General</c:formatCode>
                <c:ptCount val="4"/>
                <c:pt idx="0">
                  <c:v>14343.29</c:v>
                </c:pt>
                <c:pt idx="1">
                  <c:v>454.16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682.48</c:v>
                </c:pt>
                <c:pt idx="1">
                  <c:v>14162.89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财政拨款收入支出决算总体情况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2024年度财政拨款收入、支出总计</c:v>
                </c:pt>
                <c:pt idx="1">
                  <c:v>2023年度财政拨款收入、支出总计</c:v>
                </c:pt>
              </c:strCache>
            </c:strRef>
          </c:cat>
          <c:val>
            <c:numRef>
              <c:f>Sheet1!$B$2:$B$3</c:f>
              <c:numCache>
                <c:formatCode>General</c:formatCode>
                <c:ptCount val="2"/>
                <c:pt idx="0">
                  <c:v>14845.37</c:v>
                </c:pt>
                <c:pt idx="1">
                  <c:v>15700.67</c:v>
                </c:pt>
              </c:numCache>
            </c:numRef>
          </c:val>
        </c:ser>
        <c:dLbls>
          <c:showLegendKey val="0"/>
          <c:showVal val="1"/>
          <c:showCatName val="0"/>
          <c:showSerName val="0"/>
          <c:showPercent val="0"/>
          <c:showBubbleSize val="0"/>
        </c:dLbls>
        <c:gapWidth val="219"/>
        <c:overlap val="-27"/>
        <c:axId val="988622406"/>
        <c:axId val="295927171"/>
      </c:barChart>
      <c:catAx>
        <c:axId val="98862240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927171"/>
        <c:crosses val="autoZero"/>
        <c:auto val="1"/>
        <c:lblAlgn val="ctr"/>
        <c:lblOffset val="100"/>
        <c:noMultiLvlLbl val="0"/>
      </c:catAx>
      <c:valAx>
        <c:axId val="2959271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6224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2024年度一般公共预算财政拨款支出</c:v>
                </c:pt>
                <c:pt idx="1">
                  <c:v>2023年度一般公共预算财政拨款支出</c:v>
                </c:pt>
              </c:strCache>
            </c:strRef>
          </c:cat>
          <c:val>
            <c:numRef>
              <c:f>Sheet1!$B$2:$B$3</c:f>
              <c:numCache>
                <c:formatCode>General</c:formatCode>
                <c:ptCount val="2"/>
                <c:pt idx="0">
                  <c:v>14391.2</c:v>
                </c:pt>
                <c:pt idx="1">
                  <c:v>14540.14</c:v>
                </c:pt>
              </c:numCache>
            </c:numRef>
          </c:val>
        </c:ser>
        <c:dLbls>
          <c:showLegendKey val="0"/>
          <c:showVal val="1"/>
          <c:showCatName val="0"/>
          <c:showSerName val="0"/>
          <c:showPercent val="0"/>
          <c:showBubbleSize val="0"/>
        </c:dLbls>
        <c:gapWidth val="219"/>
        <c:overlap val="-27"/>
        <c:axId val="869807015"/>
        <c:axId val="383295394"/>
      </c:barChart>
      <c:catAx>
        <c:axId val="86980701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295394"/>
        <c:crosses val="autoZero"/>
        <c:auto val="1"/>
        <c:lblAlgn val="ctr"/>
        <c:lblOffset val="100"/>
        <c:noMultiLvlLbl val="0"/>
      </c:catAx>
      <c:valAx>
        <c:axId val="38329539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8070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2"/>
              <c:layout>
                <c:manualLayout>
                  <c:x val="-0.0972720993718462"/>
                  <c:y val="-0.013938611369271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65201607137795"/>
                  <c:y val="0.0035617667662058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12959.76</c:v>
                </c:pt>
                <c:pt idx="1">
                  <c:v>1375.57</c:v>
                </c:pt>
                <c:pt idx="2">
                  <c:v>5.98</c:v>
                </c:pt>
                <c:pt idx="3">
                  <c:v>49.9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25891315808213"/>
                  <c:y val="-0.16195850318200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c:v>
                </c:pt>
                <c:pt idx="1">
                  <c:v>公务接待费支出</c:v>
                </c:pt>
              </c:strCache>
            </c:strRef>
          </c:cat>
          <c:val>
            <c:numRef>
              <c:f>Sheet1!$B$2:$B$3</c:f>
              <c:numCache>
                <c:formatCode>General</c:formatCode>
                <c:ptCount val="2"/>
                <c:pt idx="0">
                  <c:v>2.9</c:v>
                </c:pt>
                <c:pt idx="1">
                  <c:v>0.37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15654</Words>
  <Characters>17347</Characters>
  <Lines>61</Lines>
  <Paragraphs>17</Paragraphs>
  <TotalTime>9</TotalTime>
  <ScaleCrop>false</ScaleCrop>
  <LinksUpToDate>false</LinksUpToDate>
  <CharactersWithSpaces>17465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2025-08-06T17:34:00Z</cp:lastPrinted>
  <dcterms:modified xsi:type="dcterms:W3CDTF">2025-11-04T03:03:43Z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209C4FB5D2B545999AB007A00A7E278E</vt:lpwstr>
  </property>
</Properties>
</file>