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5ED9FC">
      <w:pPr>
        <w:spacing w:line="600" w:lineRule="exact"/>
        <w:jc w:val="center"/>
        <w:outlineLvl w:val="0"/>
        <w:rPr>
          <w:rFonts w:ascii="黑体" w:hAnsi="宋体" w:eastAsia="黑体"/>
          <w:color w:val="auto"/>
          <w:sz w:val="72"/>
          <w:szCs w:val="72"/>
          <w:highlight w:val="none"/>
        </w:rPr>
      </w:pPr>
      <w:bookmarkStart w:id="0" w:name="_Toc15396475"/>
      <w:bookmarkStart w:id="1" w:name="_Toc15396597"/>
      <w:bookmarkStart w:id="2" w:name="_Toc15377193"/>
      <w:bookmarkStart w:id="3" w:name="_Toc15377425"/>
      <w:bookmarkStart w:id="4" w:name="_Toc15378441"/>
      <w:bookmarkStart w:id="5" w:name="_Toc15306267"/>
    </w:p>
    <w:p w14:paraId="47408D2F">
      <w:pPr>
        <w:spacing w:line="600" w:lineRule="exact"/>
        <w:jc w:val="center"/>
        <w:outlineLvl w:val="0"/>
        <w:rPr>
          <w:rFonts w:ascii="黑体" w:hAnsi="宋体" w:eastAsia="黑体"/>
          <w:color w:val="auto"/>
          <w:sz w:val="72"/>
          <w:szCs w:val="72"/>
          <w:highlight w:val="none"/>
        </w:rPr>
      </w:pPr>
    </w:p>
    <w:p w14:paraId="31B2E621">
      <w:pPr>
        <w:spacing w:line="600" w:lineRule="exact"/>
        <w:jc w:val="center"/>
        <w:outlineLvl w:val="0"/>
        <w:rPr>
          <w:rFonts w:ascii="黑体" w:hAnsi="宋体" w:eastAsia="黑体"/>
          <w:color w:val="auto"/>
          <w:sz w:val="72"/>
          <w:szCs w:val="72"/>
          <w:highlight w:val="none"/>
        </w:rPr>
      </w:pPr>
    </w:p>
    <w:p w14:paraId="419AB070">
      <w:pPr>
        <w:adjustRightInd w:val="0"/>
        <w:snapToGrid w:val="0"/>
        <w:spacing w:line="360" w:lineRule="auto"/>
        <w:jc w:val="center"/>
        <w:outlineLvl w:val="0"/>
        <w:rPr>
          <w:rFonts w:hint="eastAsia" w:ascii="黑体" w:hAnsi="黑体" w:eastAsia="黑体" w:cs="黑体"/>
          <w:color w:val="auto"/>
          <w:sz w:val="72"/>
          <w:szCs w:val="72"/>
          <w:highlight w:val="none"/>
        </w:rPr>
      </w:pPr>
      <w:bookmarkStart w:id="6" w:name="_Toc9933"/>
      <w:r>
        <w:rPr>
          <w:rFonts w:hint="eastAsia" w:ascii="黑体" w:hAnsi="黑体" w:eastAsia="黑体" w:cs="黑体"/>
          <w:color w:val="auto"/>
          <w:sz w:val="72"/>
          <w:szCs w:val="72"/>
          <w:highlight w:val="none"/>
        </w:rPr>
        <w:t>20</w:t>
      </w:r>
      <w:r>
        <w:rPr>
          <w:rFonts w:hint="eastAsia" w:ascii="黑体" w:hAnsi="黑体" w:eastAsia="黑体" w:cs="黑体"/>
          <w:color w:val="auto"/>
          <w:sz w:val="72"/>
          <w:szCs w:val="72"/>
          <w:highlight w:val="none"/>
          <w:lang w:val="en-US" w:eastAsia="zh-CN"/>
        </w:rPr>
        <w:t>24</w:t>
      </w:r>
      <w:r>
        <w:rPr>
          <w:rFonts w:hint="eastAsia" w:ascii="黑体" w:hAnsi="黑体" w:eastAsia="黑体" w:cs="黑体"/>
          <w:color w:val="auto"/>
          <w:sz w:val="72"/>
          <w:szCs w:val="72"/>
          <w:highlight w:val="none"/>
        </w:rPr>
        <w:t>年度</w:t>
      </w:r>
      <w:bookmarkEnd w:id="0"/>
      <w:bookmarkEnd w:id="1"/>
      <w:bookmarkEnd w:id="2"/>
      <w:bookmarkEnd w:id="3"/>
      <w:bookmarkEnd w:id="4"/>
      <w:bookmarkEnd w:id="6"/>
    </w:p>
    <w:p w14:paraId="034A20DA">
      <w:pPr>
        <w:adjustRightInd w:val="0"/>
        <w:snapToGrid w:val="0"/>
        <w:spacing w:line="360" w:lineRule="auto"/>
        <w:jc w:val="center"/>
        <w:outlineLvl w:val="0"/>
        <w:rPr>
          <w:rFonts w:hint="eastAsia" w:ascii="黑体" w:hAnsi="黑体" w:eastAsia="黑体" w:cs="黑体"/>
          <w:color w:val="auto"/>
          <w:sz w:val="72"/>
          <w:szCs w:val="72"/>
          <w:highlight w:val="none"/>
        </w:rPr>
      </w:pPr>
      <w:bookmarkStart w:id="7" w:name="_Toc15396598"/>
      <w:bookmarkStart w:id="8" w:name="_Toc15377426"/>
      <w:bookmarkStart w:id="9" w:name="_Toc15378442"/>
      <w:bookmarkStart w:id="10" w:name="_Toc15377194"/>
      <w:bookmarkStart w:id="11" w:name="_Toc15396476"/>
      <w:bookmarkStart w:id="12" w:name="_Toc32547"/>
      <w:r>
        <w:rPr>
          <w:rFonts w:hint="eastAsia" w:ascii="黑体" w:hAnsi="黑体" w:eastAsia="黑体" w:cs="黑体"/>
          <w:color w:val="auto"/>
          <w:sz w:val="72"/>
          <w:szCs w:val="72"/>
          <w:highlight w:val="none"/>
        </w:rPr>
        <w:t>四川省</w:t>
      </w:r>
      <w:bookmarkEnd w:id="5"/>
      <w:bookmarkStart w:id="13" w:name="_Toc15306268"/>
      <w:r>
        <w:rPr>
          <w:rFonts w:hint="eastAsia" w:ascii="黑体" w:hAnsi="黑体" w:eastAsia="黑体" w:cs="黑体"/>
          <w:color w:val="auto"/>
          <w:sz w:val="72"/>
          <w:szCs w:val="72"/>
          <w:highlight w:val="none"/>
          <w:lang w:eastAsia="zh-CN"/>
        </w:rPr>
        <w:t>乐山市马边彝族自治县档案馆单位</w:t>
      </w:r>
      <w:r>
        <w:rPr>
          <w:rFonts w:hint="eastAsia" w:ascii="黑体" w:hAnsi="黑体" w:eastAsia="黑体" w:cs="黑体"/>
          <w:color w:val="auto"/>
          <w:sz w:val="72"/>
          <w:szCs w:val="72"/>
          <w:highlight w:val="none"/>
        </w:rPr>
        <w:t>决算</w:t>
      </w:r>
      <w:bookmarkEnd w:id="7"/>
      <w:bookmarkEnd w:id="8"/>
      <w:bookmarkEnd w:id="9"/>
      <w:bookmarkEnd w:id="10"/>
      <w:bookmarkEnd w:id="11"/>
      <w:bookmarkEnd w:id="12"/>
      <w:bookmarkEnd w:id="13"/>
    </w:p>
    <w:p w14:paraId="406A47A2">
      <w:pPr>
        <w:pStyle w:val="12"/>
        <w:adjustRightInd w:val="0"/>
        <w:snapToGrid w:val="0"/>
        <w:spacing w:line="440" w:lineRule="exact"/>
        <w:jc w:val="left"/>
        <w:rPr>
          <w:rFonts w:hint="eastAsia"/>
          <w:color w:val="auto"/>
          <w:sz w:val="24"/>
          <w:highlight w:val="none"/>
        </w:rPr>
      </w:pPr>
      <w:r>
        <w:rPr>
          <w:rFonts w:ascii="黑体" w:hAnsi="宋体" w:eastAsia="黑体"/>
          <w:color w:val="auto"/>
          <w:sz w:val="36"/>
          <w:szCs w:val="36"/>
          <w:highlight w:val="none"/>
        </w:rPr>
        <w:br w:type="page"/>
      </w:r>
      <w:bookmarkStart w:id="104" w:name="_GoBack"/>
      <w:bookmarkEnd w:id="104"/>
    </w:p>
    <w:sdt>
      <w:sdtPr>
        <w:rPr>
          <w:rFonts w:hint="eastAsia" w:ascii="黑体" w:hAnsi="黑体" w:eastAsia="黑体" w:cs="黑体"/>
          <w:sz w:val="44"/>
          <w:szCs w:val="52"/>
          <w:lang w:val="en-US" w:eastAsia="zh-CN"/>
        </w:rPr>
        <w:id w:val="147460539"/>
        <w15:color w:val="DBDBDB"/>
        <w:docPartObj>
          <w:docPartGallery w:val="Table of Contents"/>
          <w:docPartUnique/>
        </w:docPartObj>
      </w:sdtPr>
      <w:sdtEndPr>
        <w:rPr>
          <w:sz w:val="20"/>
          <w:szCs w:val="20"/>
        </w:rPr>
      </w:sdtEndPr>
      <w:sdtContent>
        <w:p w14:paraId="0AB559A4">
          <w:pPr>
            <w:spacing w:before="0" w:beforeLines="0" w:after="0" w:afterLines="0" w:line="240" w:lineRule="auto"/>
            <w:ind w:left="0" w:leftChars="0" w:right="0" w:rightChars="0" w:firstLine="0" w:firstLineChars="0"/>
            <w:jc w:val="center"/>
            <w:rPr>
              <w:sz w:val="21"/>
              <w:szCs w:val="24"/>
            </w:rPr>
          </w:pPr>
          <w:bookmarkStart w:id="14" w:name="_Toc15396599"/>
          <w:bookmarkStart w:id="15" w:name="_Toc15377196"/>
          <w:r>
            <w:rPr>
              <w:rFonts w:hint="eastAsia" w:ascii="黑体" w:hAnsi="黑体" w:eastAsia="黑体" w:cs="黑体"/>
              <w:sz w:val="44"/>
              <w:szCs w:val="52"/>
            </w:rPr>
            <w:t>目</w:t>
          </w:r>
          <w:r>
            <w:rPr>
              <w:rFonts w:hint="eastAsia" w:ascii="黑体" w:hAnsi="黑体" w:eastAsia="黑体" w:cs="黑体"/>
              <w:sz w:val="44"/>
              <w:szCs w:val="52"/>
              <w:lang w:val="en-US" w:eastAsia="zh-CN"/>
            </w:rPr>
            <w:t xml:space="preserve"> </w:t>
          </w:r>
          <w:r>
            <w:rPr>
              <w:rFonts w:hint="eastAsia" w:ascii="黑体" w:hAnsi="黑体" w:eastAsia="黑体" w:cs="黑体"/>
              <w:sz w:val="44"/>
              <w:szCs w:val="52"/>
            </w:rPr>
            <w:t>录</w:t>
          </w:r>
          <w:r>
            <w:rPr>
              <w:sz w:val="21"/>
              <w:szCs w:val="24"/>
            </w:rPr>
            <w:fldChar w:fldCharType="begin"/>
          </w:r>
          <w:r>
            <w:rPr>
              <w:sz w:val="21"/>
              <w:szCs w:val="24"/>
            </w:rPr>
            <w:instrText xml:space="preserve">TOC \o "1-2" \h \u </w:instrText>
          </w:r>
          <w:r>
            <w:rPr>
              <w:sz w:val="21"/>
              <w:szCs w:val="24"/>
            </w:rPr>
            <w:fldChar w:fldCharType="separate"/>
          </w:r>
        </w:p>
        <w:p w14:paraId="165EA174">
          <w:pPr>
            <w:pStyle w:val="11"/>
            <w:tabs>
              <w:tab w:val="right" w:leader="dot" w:pos="8306"/>
              <w:tab w:val="clear" w:pos="8296"/>
            </w:tabs>
            <w:rPr>
              <w:sz w:val="28"/>
              <w:szCs w:val="28"/>
            </w:rPr>
          </w:pPr>
          <w:r>
            <w:rPr>
              <w:sz w:val="28"/>
              <w:szCs w:val="28"/>
            </w:rPr>
            <w:fldChar w:fldCharType="begin"/>
          </w:r>
          <w:r>
            <w:rPr>
              <w:sz w:val="28"/>
              <w:szCs w:val="28"/>
            </w:rPr>
            <w:instrText xml:space="preserve"> HYPERLINK \l _Toc31678 </w:instrText>
          </w:r>
          <w:r>
            <w:rPr>
              <w:sz w:val="28"/>
              <w:szCs w:val="28"/>
            </w:rPr>
            <w:fldChar w:fldCharType="separate"/>
          </w:r>
          <w:r>
            <w:rPr>
              <w:rFonts w:hint="eastAsia" w:ascii="黑体" w:hAnsi="黑体" w:eastAsia="黑体"/>
              <w:sz w:val="28"/>
              <w:szCs w:val="28"/>
              <w:highlight w:val="none"/>
            </w:rPr>
            <w:t xml:space="preserve">第一部分 </w:t>
          </w:r>
          <w:r>
            <w:rPr>
              <w:rFonts w:hint="eastAsia" w:ascii="黑体" w:hAnsi="黑体" w:eastAsia="黑体"/>
              <w:sz w:val="28"/>
              <w:szCs w:val="28"/>
              <w:highlight w:val="none"/>
              <w:lang w:eastAsia="zh-CN"/>
            </w:rPr>
            <w:t>单位</w:t>
          </w:r>
          <w:r>
            <w:rPr>
              <w:rFonts w:hint="eastAsia" w:ascii="黑体" w:hAnsi="黑体" w:eastAsia="黑体"/>
              <w:bCs w:val="0"/>
              <w:sz w:val="28"/>
              <w:szCs w:val="28"/>
              <w:highlight w:val="none"/>
            </w:rPr>
            <w:t>概况</w:t>
          </w:r>
          <w:r>
            <w:rPr>
              <w:sz w:val="28"/>
              <w:szCs w:val="28"/>
            </w:rPr>
            <w:tab/>
          </w:r>
          <w:r>
            <w:rPr>
              <w:sz w:val="28"/>
              <w:szCs w:val="28"/>
            </w:rPr>
            <w:fldChar w:fldCharType="begin"/>
          </w:r>
          <w:r>
            <w:rPr>
              <w:sz w:val="28"/>
              <w:szCs w:val="28"/>
            </w:rPr>
            <w:instrText xml:space="preserve"> PAGEREF _Toc31678 \h </w:instrText>
          </w:r>
          <w:r>
            <w:rPr>
              <w:sz w:val="28"/>
              <w:szCs w:val="28"/>
            </w:rPr>
            <w:fldChar w:fldCharType="separate"/>
          </w:r>
          <w:r>
            <w:rPr>
              <w:sz w:val="28"/>
              <w:szCs w:val="28"/>
            </w:rPr>
            <w:t>4</w:t>
          </w:r>
          <w:r>
            <w:rPr>
              <w:sz w:val="28"/>
              <w:szCs w:val="28"/>
            </w:rPr>
            <w:fldChar w:fldCharType="end"/>
          </w:r>
          <w:r>
            <w:rPr>
              <w:sz w:val="28"/>
              <w:szCs w:val="28"/>
            </w:rPr>
            <w:fldChar w:fldCharType="end"/>
          </w:r>
        </w:p>
        <w:p w14:paraId="63BE8847">
          <w:pPr>
            <w:pStyle w:val="12"/>
            <w:tabs>
              <w:tab w:val="right" w:leader="dot" w:pos="8306"/>
              <w:tab w:val="clear" w:pos="8296"/>
            </w:tabs>
            <w:rPr>
              <w:sz w:val="21"/>
              <w:szCs w:val="24"/>
            </w:rPr>
          </w:pPr>
          <w:r>
            <w:rPr>
              <w:sz w:val="21"/>
              <w:szCs w:val="24"/>
            </w:rPr>
            <w:fldChar w:fldCharType="begin"/>
          </w:r>
          <w:r>
            <w:rPr>
              <w:sz w:val="21"/>
              <w:szCs w:val="24"/>
            </w:rPr>
            <w:instrText xml:space="preserve"> HYPERLINK \l _Toc3145 </w:instrText>
          </w:r>
          <w:r>
            <w:rPr>
              <w:sz w:val="21"/>
              <w:szCs w:val="24"/>
            </w:rPr>
            <w:fldChar w:fldCharType="separate"/>
          </w:r>
          <w:r>
            <w:rPr>
              <w:rFonts w:hint="eastAsia" w:ascii="黑体" w:hAnsi="黑体" w:eastAsia="黑体"/>
              <w:sz w:val="21"/>
              <w:szCs w:val="24"/>
              <w:highlight w:val="none"/>
            </w:rPr>
            <w:t>一、</w:t>
          </w:r>
          <w:r>
            <w:rPr>
              <w:rFonts w:hint="eastAsia" w:ascii="黑体" w:hAnsi="黑体" w:eastAsia="黑体"/>
              <w:sz w:val="21"/>
              <w:szCs w:val="24"/>
              <w:highlight w:val="none"/>
              <w:lang w:eastAsia="zh-CN"/>
            </w:rPr>
            <w:t>单位职责</w:t>
          </w:r>
          <w:r>
            <w:rPr>
              <w:sz w:val="21"/>
              <w:szCs w:val="24"/>
            </w:rPr>
            <w:tab/>
          </w:r>
          <w:r>
            <w:rPr>
              <w:sz w:val="21"/>
              <w:szCs w:val="24"/>
            </w:rPr>
            <w:fldChar w:fldCharType="begin"/>
          </w:r>
          <w:r>
            <w:rPr>
              <w:sz w:val="21"/>
              <w:szCs w:val="24"/>
            </w:rPr>
            <w:instrText xml:space="preserve"> PAGEREF _Toc3145 \h </w:instrText>
          </w:r>
          <w:r>
            <w:rPr>
              <w:sz w:val="21"/>
              <w:szCs w:val="24"/>
            </w:rPr>
            <w:fldChar w:fldCharType="separate"/>
          </w:r>
          <w:r>
            <w:rPr>
              <w:sz w:val="21"/>
              <w:szCs w:val="24"/>
            </w:rPr>
            <w:t>4</w:t>
          </w:r>
          <w:r>
            <w:rPr>
              <w:sz w:val="21"/>
              <w:szCs w:val="24"/>
            </w:rPr>
            <w:fldChar w:fldCharType="end"/>
          </w:r>
          <w:r>
            <w:rPr>
              <w:sz w:val="21"/>
              <w:szCs w:val="24"/>
            </w:rPr>
            <w:fldChar w:fldCharType="end"/>
          </w:r>
        </w:p>
        <w:p w14:paraId="12F7659B">
          <w:pPr>
            <w:pStyle w:val="12"/>
            <w:tabs>
              <w:tab w:val="right" w:leader="dot" w:pos="8306"/>
              <w:tab w:val="clear" w:pos="8296"/>
            </w:tabs>
            <w:rPr>
              <w:sz w:val="21"/>
              <w:szCs w:val="24"/>
            </w:rPr>
          </w:pPr>
          <w:r>
            <w:rPr>
              <w:sz w:val="21"/>
              <w:szCs w:val="24"/>
            </w:rPr>
            <w:fldChar w:fldCharType="begin"/>
          </w:r>
          <w:r>
            <w:rPr>
              <w:sz w:val="21"/>
              <w:szCs w:val="24"/>
            </w:rPr>
            <w:instrText xml:space="preserve"> HYPERLINK \l _Toc15216 </w:instrText>
          </w:r>
          <w:r>
            <w:rPr>
              <w:sz w:val="21"/>
              <w:szCs w:val="24"/>
            </w:rPr>
            <w:fldChar w:fldCharType="separate"/>
          </w:r>
          <w:r>
            <w:rPr>
              <w:rFonts w:hint="eastAsia" w:ascii="黑体" w:eastAsia="黑体"/>
              <w:sz w:val="21"/>
              <w:szCs w:val="24"/>
              <w:highlight w:val="none"/>
            </w:rPr>
            <w:t>二、</w:t>
          </w:r>
          <w:r>
            <w:rPr>
              <w:rFonts w:hint="eastAsia" w:ascii="黑体" w:hAnsi="黑体" w:eastAsia="黑体"/>
              <w:sz w:val="21"/>
              <w:szCs w:val="24"/>
              <w:highlight w:val="none"/>
            </w:rPr>
            <w:t>机</w:t>
          </w:r>
          <w:r>
            <w:rPr>
              <w:rFonts w:hint="eastAsia" w:ascii="黑体" w:hAnsi="黑体" w:eastAsia="黑体"/>
              <w:bCs w:val="0"/>
              <w:sz w:val="21"/>
              <w:szCs w:val="24"/>
              <w:highlight w:val="none"/>
            </w:rPr>
            <w:t>构设置</w:t>
          </w:r>
          <w:r>
            <w:rPr>
              <w:sz w:val="21"/>
              <w:szCs w:val="24"/>
            </w:rPr>
            <w:tab/>
          </w:r>
          <w:r>
            <w:rPr>
              <w:sz w:val="21"/>
              <w:szCs w:val="24"/>
            </w:rPr>
            <w:fldChar w:fldCharType="begin"/>
          </w:r>
          <w:r>
            <w:rPr>
              <w:sz w:val="21"/>
              <w:szCs w:val="24"/>
            </w:rPr>
            <w:instrText xml:space="preserve"> PAGEREF _Toc15216 \h </w:instrText>
          </w:r>
          <w:r>
            <w:rPr>
              <w:sz w:val="21"/>
              <w:szCs w:val="24"/>
            </w:rPr>
            <w:fldChar w:fldCharType="separate"/>
          </w:r>
          <w:r>
            <w:rPr>
              <w:sz w:val="21"/>
              <w:szCs w:val="24"/>
            </w:rPr>
            <w:t>5</w:t>
          </w:r>
          <w:r>
            <w:rPr>
              <w:sz w:val="21"/>
              <w:szCs w:val="24"/>
            </w:rPr>
            <w:fldChar w:fldCharType="end"/>
          </w:r>
          <w:r>
            <w:rPr>
              <w:sz w:val="21"/>
              <w:szCs w:val="24"/>
            </w:rPr>
            <w:fldChar w:fldCharType="end"/>
          </w:r>
        </w:p>
        <w:p w14:paraId="081E5B9D">
          <w:pPr>
            <w:pStyle w:val="11"/>
            <w:tabs>
              <w:tab w:val="right" w:leader="dot" w:pos="8306"/>
              <w:tab w:val="clear" w:pos="8296"/>
            </w:tabs>
            <w:rPr>
              <w:sz w:val="28"/>
              <w:szCs w:val="28"/>
            </w:rPr>
          </w:pPr>
          <w:r>
            <w:rPr>
              <w:sz w:val="28"/>
              <w:szCs w:val="28"/>
            </w:rPr>
            <w:fldChar w:fldCharType="begin"/>
          </w:r>
          <w:r>
            <w:rPr>
              <w:sz w:val="28"/>
              <w:szCs w:val="28"/>
            </w:rPr>
            <w:instrText xml:space="preserve"> HYPERLINK \l _Toc19786 </w:instrText>
          </w:r>
          <w:r>
            <w:rPr>
              <w:sz w:val="28"/>
              <w:szCs w:val="28"/>
            </w:rPr>
            <w:fldChar w:fldCharType="separate"/>
          </w:r>
          <w:r>
            <w:rPr>
              <w:rFonts w:hint="eastAsia" w:ascii="黑体" w:hAnsi="黑体" w:eastAsia="黑体"/>
              <w:bCs/>
              <w:sz w:val="28"/>
              <w:szCs w:val="28"/>
              <w:highlight w:val="none"/>
            </w:rPr>
            <w:t xml:space="preserve">第二部分 </w:t>
          </w:r>
          <w:r>
            <w:rPr>
              <w:rFonts w:hint="eastAsia" w:ascii="黑体" w:hAnsi="黑体" w:eastAsia="黑体"/>
              <w:bCs/>
              <w:sz w:val="28"/>
              <w:szCs w:val="28"/>
              <w:highlight w:val="none"/>
              <w:lang w:val="en-US" w:eastAsia="zh-CN"/>
            </w:rPr>
            <w:t>2024年度单位</w:t>
          </w:r>
          <w:r>
            <w:rPr>
              <w:rFonts w:hint="eastAsia" w:ascii="黑体" w:hAnsi="黑体" w:eastAsia="黑体"/>
              <w:bCs/>
              <w:sz w:val="28"/>
              <w:szCs w:val="28"/>
              <w:highlight w:val="none"/>
            </w:rPr>
            <w:t>决算情况说明</w:t>
          </w:r>
          <w:r>
            <w:rPr>
              <w:sz w:val="28"/>
              <w:szCs w:val="28"/>
            </w:rPr>
            <w:tab/>
          </w:r>
          <w:r>
            <w:rPr>
              <w:sz w:val="28"/>
              <w:szCs w:val="28"/>
            </w:rPr>
            <w:fldChar w:fldCharType="begin"/>
          </w:r>
          <w:r>
            <w:rPr>
              <w:sz w:val="28"/>
              <w:szCs w:val="28"/>
            </w:rPr>
            <w:instrText xml:space="preserve"> PAGEREF _Toc19786 \h </w:instrText>
          </w:r>
          <w:r>
            <w:rPr>
              <w:sz w:val="28"/>
              <w:szCs w:val="28"/>
            </w:rPr>
            <w:fldChar w:fldCharType="separate"/>
          </w:r>
          <w:r>
            <w:rPr>
              <w:sz w:val="28"/>
              <w:szCs w:val="28"/>
            </w:rPr>
            <w:t>6</w:t>
          </w:r>
          <w:r>
            <w:rPr>
              <w:sz w:val="28"/>
              <w:szCs w:val="28"/>
            </w:rPr>
            <w:fldChar w:fldCharType="end"/>
          </w:r>
          <w:r>
            <w:rPr>
              <w:sz w:val="28"/>
              <w:szCs w:val="28"/>
            </w:rPr>
            <w:fldChar w:fldCharType="end"/>
          </w:r>
        </w:p>
        <w:p w14:paraId="09056098">
          <w:pPr>
            <w:pStyle w:val="12"/>
            <w:tabs>
              <w:tab w:val="right" w:leader="dot" w:pos="8306"/>
              <w:tab w:val="clear" w:pos="8296"/>
            </w:tabs>
            <w:rPr>
              <w:sz w:val="21"/>
              <w:szCs w:val="24"/>
            </w:rPr>
          </w:pPr>
          <w:r>
            <w:rPr>
              <w:sz w:val="21"/>
              <w:szCs w:val="24"/>
            </w:rPr>
            <w:fldChar w:fldCharType="begin"/>
          </w:r>
          <w:r>
            <w:rPr>
              <w:sz w:val="21"/>
              <w:szCs w:val="24"/>
            </w:rPr>
            <w:instrText xml:space="preserve"> HYPERLINK \l _Toc29580 </w:instrText>
          </w:r>
          <w:r>
            <w:rPr>
              <w:sz w:val="21"/>
              <w:szCs w:val="24"/>
            </w:rPr>
            <w:fldChar w:fldCharType="separate"/>
          </w:r>
          <w:r>
            <w:rPr>
              <w:rFonts w:hint="default" w:ascii="黑体" w:hAnsi="黑体" w:eastAsia="黑体"/>
              <w:sz w:val="21"/>
              <w:szCs w:val="24"/>
            </w:rPr>
            <w:t xml:space="preserve">一、 </w:t>
          </w:r>
          <w:r>
            <w:rPr>
              <w:rFonts w:hint="eastAsia" w:ascii="黑体" w:hAnsi="黑体" w:eastAsia="黑体"/>
              <w:sz w:val="21"/>
              <w:szCs w:val="32"/>
              <w:highlight w:val="none"/>
            </w:rPr>
            <w:t>收</w:t>
          </w:r>
          <w:r>
            <w:rPr>
              <w:rFonts w:hint="eastAsia" w:ascii="黑体" w:hAnsi="黑体" w:eastAsia="黑体"/>
              <w:sz w:val="21"/>
              <w:szCs w:val="24"/>
              <w:highlight w:val="none"/>
            </w:rPr>
            <w:t>入支出决算总体情况说明</w:t>
          </w:r>
          <w:r>
            <w:rPr>
              <w:sz w:val="21"/>
              <w:szCs w:val="24"/>
            </w:rPr>
            <w:tab/>
          </w:r>
          <w:r>
            <w:rPr>
              <w:sz w:val="21"/>
              <w:szCs w:val="24"/>
            </w:rPr>
            <w:fldChar w:fldCharType="begin"/>
          </w:r>
          <w:r>
            <w:rPr>
              <w:sz w:val="21"/>
              <w:szCs w:val="24"/>
            </w:rPr>
            <w:instrText xml:space="preserve"> PAGEREF _Toc29580 \h </w:instrText>
          </w:r>
          <w:r>
            <w:rPr>
              <w:sz w:val="21"/>
              <w:szCs w:val="24"/>
            </w:rPr>
            <w:fldChar w:fldCharType="separate"/>
          </w:r>
          <w:r>
            <w:rPr>
              <w:sz w:val="21"/>
              <w:szCs w:val="24"/>
            </w:rPr>
            <w:t>6</w:t>
          </w:r>
          <w:r>
            <w:rPr>
              <w:sz w:val="21"/>
              <w:szCs w:val="24"/>
            </w:rPr>
            <w:fldChar w:fldCharType="end"/>
          </w:r>
          <w:r>
            <w:rPr>
              <w:sz w:val="21"/>
              <w:szCs w:val="24"/>
            </w:rPr>
            <w:fldChar w:fldCharType="end"/>
          </w:r>
        </w:p>
        <w:p w14:paraId="776F9195">
          <w:pPr>
            <w:pStyle w:val="12"/>
            <w:tabs>
              <w:tab w:val="right" w:leader="dot" w:pos="8306"/>
              <w:tab w:val="clear" w:pos="8296"/>
            </w:tabs>
            <w:rPr>
              <w:sz w:val="21"/>
              <w:szCs w:val="24"/>
            </w:rPr>
          </w:pPr>
          <w:r>
            <w:rPr>
              <w:sz w:val="21"/>
              <w:szCs w:val="24"/>
            </w:rPr>
            <w:fldChar w:fldCharType="begin"/>
          </w:r>
          <w:r>
            <w:rPr>
              <w:sz w:val="21"/>
              <w:szCs w:val="24"/>
            </w:rPr>
            <w:instrText xml:space="preserve"> HYPERLINK \l _Toc10948 </w:instrText>
          </w:r>
          <w:r>
            <w:rPr>
              <w:sz w:val="21"/>
              <w:szCs w:val="24"/>
            </w:rPr>
            <w:fldChar w:fldCharType="separate"/>
          </w:r>
          <w:r>
            <w:rPr>
              <w:rFonts w:hint="default" w:ascii="黑体" w:hAnsi="黑体" w:eastAsia="黑体"/>
              <w:sz w:val="21"/>
              <w:szCs w:val="24"/>
            </w:rPr>
            <w:t xml:space="preserve">二、 </w:t>
          </w:r>
          <w:r>
            <w:rPr>
              <w:rFonts w:hint="eastAsia" w:ascii="黑体" w:hAnsi="黑体" w:eastAsia="黑体"/>
              <w:sz w:val="21"/>
              <w:szCs w:val="32"/>
              <w:highlight w:val="none"/>
            </w:rPr>
            <w:t>收</w:t>
          </w:r>
          <w:r>
            <w:rPr>
              <w:rFonts w:hint="eastAsia" w:ascii="黑体" w:hAnsi="黑体" w:eastAsia="黑体"/>
              <w:sz w:val="21"/>
              <w:szCs w:val="24"/>
              <w:highlight w:val="none"/>
            </w:rPr>
            <w:t>入决算情况说明</w:t>
          </w:r>
          <w:r>
            <w:rPr>
              <w:sz w:val="21"/>
              <w:szCs w:val="24"/>
            </w:rPr>
            <w:tab/>
          </w:r>
          <w:r>
            <w:rPr>
              <w:sz w:val="21"/>
              <w:szCs w:val="24"/>
            </w:rPr>
            <w:fldChar w:fldCharType="begin"/>
          </w:r>
          <w:r>
            <w:rPr>
              <w:sz w:val="21"/>
              <w:szCs w:val="24"/>
            </w:rPr>
            <w:instrText xml:space="preserve"> PAGEREF _Toc10948 \h </w:instrText>
          </w:r>
          <w:r>
            <w:rPr>
              <w:sz w:val="21"/>
              <w:szCs w:val="24"/>
            </w:rPr>
            <w:fldChar w:fldCharType="separate"/>
          </w:r>
          <w:r>
            <w:rPr>
              <w:sz w:val="21"/>
              <w:szCs w:val="24"/>
            </w:rPr>
            <w:t>6</w:t>
          </w:r>
          <w:r>
            <w:rPr>
              <w:sz w:val="21"/>
              <w:szCs w:val="24"/>
            </w:rPr>
            <w:fldChar w:fldCharType="end"/>
          </w:r>
          <w:r>
            <w:rPr>
              <w:sz w:val="21"/>
              <w:szCs w:val="24"/>
            </w:rPr>
            <w:fldChar w:fldCharType="end"/>
          </w:r>
        </w:p>
        <w:p w14:paraId="1994E81F">
          <w:pPr>
            <w:pStyle w:val="12"/>
            <w:tabs>
              <w:tab w:val="right" w:leader="dot" w:pos="8306"/>
              <w:tab w:val="clear" w:pos="8296"/>
            </w:tabs>
            <w:rPr>
              <w:sz w:val="21"/>
              <w:szCs w:val="24"/>
            </w:rPr>
          </w:pPr>
          <w:r>
            <w:rPr>
              <w:sz w:val="21"/>
              <w:szCs w:val="24"/>
            </w:rPr>
            <w:fldChar w:fldCharType="begin"/>
          </w:r>
          <w:r>
            <w:rPr>
              <w:sz w:val="21"/>
              <w:szCs w:val="24"/>
            </w:rPr>
            <w:instrText xml:space="preserve"> HYPERLINK \l _Toc28278 </w:instrText>
          </w:r>
          <w:r>
            <w:rPr>
              <w:sz w:val="21"/>
              <w:szCs w:val="24"/>
            </w:rPr>
            <w:fldChar w:fldCharType="separate"/>
          </w:r>
          <w:r>
            <w:rPr>
              <w:rFonts w:hint="default" w:ascii="黑体" w:hAnsi="黑体" w:eastAsia="黑体"/>
              <w:sz w:val="21"/>
              <w:szCs w:val="24"/>
            </w:rPr>
            <w:t xml:space="preserve">三、 </w:t>
          </w:r>
          <w:r>
            <w:rPr>
              <w:rFonts w:hint="eastAsia" w:ascii="黑体" w:hAnsi="黑体" w:eastAsia="黑体"/>
              <w:sz w:val="21"/>
              <w:szCs w:val="32"/>
              <w:highlight w:val="none"/>
            </w:rPr>
            <w:t>支</w:t>
          </w:r>
          <w:r>
            <w:rPr>
              <w:rFonts w:hint="eastAsia" w:ascii="黑体" w:hAnsi="黑体" w:eastAsia="黑体"/>
              <w:sz w:val="21"/>
              <w:szCs w:val="24"/>
              <w:highlight w:val="none"/>
            </w:rPr>
            <w:t>出决算情况说明</w:t>
          </w:r>
          <w:r>
            <w:rPr>
              <w:sz w:val="21"/>
              <w:szCs w:val="24"/>
            </w:rPr>
            <w:tab/>
          </w:r>
          <w:r>
            <w:rPr>
              <w:sz w:val="21"/>
              <w:szCs w:val="24"/>
            </w:rPr>
            <w:fldChar w:fldCharType="begin"/>
          </w:r>
          <w:r>
            <w:rPr>
              <w:sz w:val="21"/>
              <w:szCs w:val="24"/>
            </w:rPr>
            <w:instrText xml:space="preserve"> PAGEREF _Toc28278 \h </w:instrText>
          </w:r>
          <w:r>
            <w:rPr>
              <w:sz w:val="21"/>
              <w:szCs w:val="24"/>
            </w:rPr>
            <w:fldChar w:fldCharType="separate"/>
          </w:r>
          <w:r>
            <w:rPr>
              <w:sz w:val="21"/>
              <w:szCs w:val="24"/>
            </w:rPr>
            <w:t>7</w:t>
          </w:r>
          <w:r>
            <w:rPr>
              <w:sz w:val="21"/>
              <w:szCs w:val="24"/>
            </w:rPr>
            <w:fldChar w:fldCharType="end"/>
          </w:r>
          <w:r>
            <w:rPr>
              <w:sz w:val="21"/>
              <w:szCs w:val="24"/>
            </w:rPr>
            <w:fldChar w:fldCharType="end"/>
          </w:r>
        </w:p>
        <w:p w14:paraId="11B5E8E4">
          <w:pPr>
            <w:pStyle w:val="12"/>
            <w:tabs>
              <w:tab w:val="right" w:leader="dot" w:pos="8306"/>
              <w:tab w:val="clear" w:pos="8296"/>
            </w:tabs>
            <w:rPr>
              <w:sz w:val="21"/>
              <w:szCs w:val="24"/>
            </w:rPr>
          </w:pPr>
          <w:r>
            <w:rPr>
              <w:sz w:val="21"/>
              <w:szCs w:val="24"/>
            </w:rPr>
            <w:fldChar w:fldCharType="begin"/>
          </w:r>
          <w:r>
            <w:rPr>
              <w:sz w:val="21"/>
              <w:szCs w:val="24"/>
            </w:rPr>
            <w:instrText xml:space="preserve"> HYPERLINK \l _Toc29684 </w:instrText>
          </w:r>
          <w:r>
            <w:rPr>
              <w:sz w:val="21"/>
              <w:szCs w:val="24"/>
            </w:rPr>
            <w:fldChar w:fldCharType="separate"/>
          </w:r>
          <w:r>
            <w:rPr>
              <w:rFonts w:hint="eastAsia" w:ascii="黑体" w:hAnsi="黑体" w:eastAsia="黑体"/>
              <w:sz w:val="21"/>
              <w:szCs w:val="32"/>
              <w:highlight w:val="none"/>
            </w:rPr>
            <w:t>四、财</w:t>
          </w:r>
          <w:r>
            <w:rPr>
              <w:rFonts w:hint="eastAsia" w:ascii="黑体" w:hAnsi="黑体" w:eastAsia="黑体"/>
              <w:sz w:val="21"/>
              <w:szCs w:val="24"/>
              <w:highlight w:val="none"/>
            </w:rPr>
            <w:t>政拨款收入支出决算总体情况说明</w:t>
          </w:r>
          <w:r>
            <w:rPr>
              <w:sz w:val="21"/>
              <w:szCs w:val="24"/>
            </w:rPr>
            <w:tab/>
          </w:r>
          <w:r>
            <w:rPr>
              <w:sz w:val="21"/>
              <w:szCs w:val="24"/>
            </w:rPr>
            <w:fldChar w:fldCharType="begin"/>
          </w:r>
          <w:r>
            <w:rPr>
              <w:sz w:val="21"/>
              <w:szCs w:val="24"/>
            </w:rPr>
            <w:instrText xml:space="preserve"> PAGEREF _Toc29684 \h </w:instrText>
          </w:r>
          <w:r>
            <w:rPr>
              <w:sz w:val="21"/>
              <w:szCs w:val="24"/>
            </w:rPr>
            <w:fldChar w:fldCharType="separate"/>
          </w:r>
          <w:r>
            <w:rPr>
              <w:sz w:val="21"/>
              <w:szCs w:val="24"/>
            </w:rPr>
            <w:t>7</w:t>
          </w:r>
          <w:r>
            <w:rPr>
              <w:sz w:val="21"/>
              <w:szCs w:val="24"/>
            </w:rPr>
            <w:fldChar w:fldCharType="end"/>
          </w:r>
          <w:r>
            <w:rPr>
              <w:sz w:val="21"/>
              <w:szCs w:val="24"/>
            </w:rPr>
            <w:fldChar w:fldCharType="end"/>
          </w:r>
        </w:p>
        <w:p w14:paraId="4B0AC477">
          <w:pPr>
            <w:pStyle w:val="12"/>
            <w:tabs>
              <w:tab w:val="right" w:leader="dot" w:pos="8306"/>
              <w:tab w:val="clear" w:pos="8296"/>
            </w:tabs>
            <w:rPr>
              <w:sz w:val="21"/>
              <w:szCs w:val="24"/>
            </w:rPr>
          </w:pPr>
          <w:r>
            <w:rPr>
              <w:sz w:val="21"/>
              <w:szCs w:val="24"/>
            </w:rPr>
            <w:fldChar w:fldCharType="begin"/>
          </w:r>
          <w:r>
            <w:rPr>
              <w:sz w:val="21"/>
              <w:szCs w:val="24"/>
            </w:rPr>
            <w:instrText xml:space="preserve"> HYPERLINK \l _Toc14636 </w:instrText>
          </w:r>
          <w:r>
            <w:rPr>
              <w:sz w:val="21"/>
              <w:szCs w:val="24"/>
            </w:rPr>
            <w:fldChar w:fldCharType="separate"/>
          </w:r>
          <w:r>
            <w:rPr>
              <w:rFonts w:hint="eastAsia" w:ascii="黑体" w:hAnsi="黑体" w:eastAsia="黑体"/>
              <w:sz w:val="21"/>
              <w:szCs w:val="32"/>
              <w:highlight w:val="none"/>
            </w:rPr>
            <w:t>五、一</w:t>
          </w:r>
          <w:r>
            <w:rPr>
              <w:rFonts w:hint="eastAsia" w:ascii="黑体" w:hAnsi="黑体" w:eastAsia="黑体"/>
              <w:sz w:val="21"/>
              <w:szCs w:val="24"/>
              <w:highlight w:val="none"/>
            </w:rPr>
            <w:t>般公共预算财政拨款支出决算情况说明</w:t>
          </w:r>
          <w:r>
            <w:rPr>
              <w:sz w:val="21"/>
              <w:szCs w:val="24"/>
            </w:rPr>
            <w:tab/>
          </w:r>
          <w:r>
            <w:rPr>
              <w:sz w:val="21"/>
              <w:szCs w:val="24"/>
            </w:rPr>
            <w:fldChar w:fldCharType="begin"/>
          </w:r>
          <w:r>
            <w:rPr>
              <w:sz w:val="21"/>
              <w:szCs w:val="24"/>
            </w:rPr>
            <w:instrText xml:space="preserve"> PAGEREF _Toc14636 \h </w:instrText>
          </w:r>
          <w:r>
            <w:rPr>
              <w:sz w:val="21"/>
              <w:szCs w:val="24"/>
            </w:rPr>
            <w:fldChar w:fldCharType="separate"/>
          </w:r>
          <w:r>
            <w:rPr>
              <w:sz w:val="21"/>
              <w:szCs w:val="24"/>
            </w:rPr>
            <w:t>8</w:t>
          </w:r>
          <w:r>
            <w:rPr>
              <w:sz w:val="21"/>
              <w:szCs w:val="24"/>
            </w:rPr>
            <w:fldChar w:fldCharType="end"/>
          </w:r>
          <w:r>
            <w:rPr>
              <w:sz w:val="21"/>
              <w:szCs w:val="24"/>
            </w:rPr>
            <w:fldChar w:fldCharType="end"/>
          </w:r>
        </w:p>
        <w:p w14:paraId="00443FFF">
          <w:pPr>
            <w:pStyle w:val="12"/>
            <w:tabs>
              <w:tab w:val="right" w:leader="dot" w:pos="8306"/>
              <w:tab w:val="clear" w:pos="8296"/>
            </w:tabs>
            <w:rPr>
              <w:sz w:val="21"/>
              <w:szCs w:val="24"/>
            </w:rPr>
          </w:pPr>
          <w:r>
            <w:rPr>
              <w:sz w:val="21"/>
              <w:szCs w:val="24"/>
            </w:rPr>
            <w:fldChar w:fldCharType="begin"/>
          </w:r>
          <w:r>
            <w:rPr>
              <w:sz w:val="21"/>
              <w:szCs w:val="24"/>
            </w:rPr>
            <w:instrText xml:space="preserve"> HYPERLINK \l _Toc30190 </w:instrText>
          </w:r>
          <w:r>
            <w:rPr>
              <w:sz w:val="21"/>
              <w:szCs w:val="24"/>
            </w:rPr>
            <w:fldChar w:fldCharType="separate"/>
          </w:r>
          <w:r>
            <w:rPr>
              <w:rFonts w:hint="eastAsia" w:ascii="黑体" w:eastAsia="黑体"/>
              <w:sz w:val="21"/>
              <w:szCs w:val="32"/>
              <w:highlight w:val="none"/>
            </w:rPr>
            <w:t>六、</w:t>
          </w:r>
          <w:r>
            <w:rPr>
              <w:rFonts w:hint="eastAsia" w:ascii="黑体" w:hAnsi="黑体" w:eastAsia="黑体"/>
              <w:sz w:val="21"/>
              <w:szCs w:val="32"/>
              <w:highlight w:val="none"/>
            </w:rPr>
            <w:t>一</w:t>
          </w:r>
          <w:r>
            <w:rPr>
              <w:rFonts w:hint="eastAsia" w:ascii="黑体" w:hAnsi="黑体" w:eastAsia="黑体"/>
              <w:sz w:val="21"/>
              <w:szCs w:val="24"/>
              <w:highlight w:val="none"/>
            </w:rPr>
            <w:t>般公共预算财政拨款基本支出决算情况说明</w:t>
          </w:r>
          <w:r>
            <w:rPr>
              <w:sz w:val="21"/>
              <w:szCs w:val="24"/>
            </w:rPr>
            <w:tab/>
          </w:r>
          <w:r>
            <w:rPr>
              <w:sz w:val="21"/>
              <w:szCs w:val="24"/>
            </w:rPr>
            <w:fldChar w:fldCharType="begin"/>
          </w:r>
          <w:r>
            <w:rPr>
              <w:sz w:val="21"/>
              <w:szCs w:val="24"/>
            </w:rPr>
            <w:instrText xml:space="preserve"> PAGEREF _Toc30190 \h </w:instrText>
          </w:r>
          <w:r>
            <w:rPr>
              <w:sz w:val="21"/>
              <w:szCs w:val="24"/>
            </w:rPr>
            <w:fldChar w:fldCharType="separate"/>
          </w:r>
          <w:r>
            <w:rPr>
              <w:sz w:val="21"/>
              <w:szCs w:val="24"/>
            </w:rPr>
            <w:t>10</w:t>
          </w:r>
          <w:r>
            <w:rPr>
              <w:sz w:val="21"/>
              <w:szCs w:val="24"/>
            </w:rPr>
            <w:fldChar w:fldCharType="end"/>
          </w:r>
          <w:r>
            <w:rPr>
              <w:sz w:val="21"/>
              <w:szCs w:val="24"/>
            </w:rPr>
            <w:fldChar w:fldCharType="end"/>
          </w:r>
        </w:p>
        <w:p w14:paraId="2559F11F">
          <w:pPr>
            <w:pStyle w:val="12"/>
            <w:tabs>
              <w:tab w:val="right" w:leader="dot" w:pos="8306"/>
              <w:tab w:val="clear" w:pos="8296"/>
            </w:tabs>
            <w:rPr>
              <w:sz w:val="21"/>
              <w:szCs w:val="24"/>
            </w:rPr>
          </w:pPr>
          <w:r>
            <w:rPr>
              <w:sz w:val="21"/>
              <w:szCs w:val="24"/>
            </w:rPr>
            <w:fldChar w:fldCharType="begin"/>
          </w:r>
          <w:r>
            <w:rPr>
              <w:sz w:val="21"/>
              <w:szCs w:val="24"/>
            </w:rPr>
            <w:instrText xml:space="preserve"> HYPERLINK \l _Toc32408 </w:instrText>
          </w:r>
          <w:r>
            <w:rPr>
              <w:sz w:val="21"/>
              <w:szCs w:val="24"/>
            </w:rPr>
            <w:fldChar w:fldCharType="separate"/>
          </w:r>
          <w:r>
            <w:rPr>
              <w:rFonts w:hint="eastAsia" w:ascii="黑体" w:eastAsia="黑体"/>
              <w:sz w:val="21"/>
              <w:szCs w:val="32"/>
              <w:highlight w:val="none"/>
            </w:rPr>
            <w:t>七、</w:t>
          </w:r>
          <w:r>
            <w:rPr>
              <w:rFonts w:hint="eastAsia" w:ascii="黑体" w:hAnsi="黑体" w:eastAsia="黑体"/>
              <w:sz w:val="21"/>
              <w:szCs w:val="24"/>
              <w:highlight w:val="none"/>
            </w:rPr>
            <w:t>财政拨款“三公”经费支出决算情况说明</w:t>
          </w:r>
          <w:r>
            <w:rPr>
              <w:sz w:val="21"/>
              <w:szCs w:val="24"/>
            </w:rPr>
            <w:tab/>
          </w:r>
          <w:r>
            <w:rPr>
              <w:sz w:val="21"/>
              <w:szCs w:val="24"/>
            </w:rPr>
            <w:fldChar w:fldCharType="begin"/>
          </w:r>
          <w:r>
            <w:rPr>
              <w:sz w:val="21"/>
              <w:szCs w:val="24"/>
            </w:rPr>
            <w:instrText xml:space="preserve"> PAGEREF _Toc32408 \h </w:instrText>
          </w:r>
          <w:r>
            <w:rPr>
              <w:sz w:val="21"/>
              <w:szCs w:val="24"/>
            </w:rPr>
            <w:fldChar w:fldCharType="separate"/>
          </w:r>
          <w:r>
            <w:rPr>
              <w:sz w:val="21"/>
              <w:szCs w:val="24"/>
            </w:rPr>
            <w:t>11</w:t>
          </w:r>
          <w:r>
            <w:rPr>
              <w:sz w:val="21"/>
              <w:szCs w:val="24"/>
            </w:rPr>
            <w:fldChar w:fldCharType="end"/>
          </w:r>
          <w:r>
            <w:rPr>
              <w:sz w:val="21"/>
              <w:szCs w:val="24"/>
            </w:rPr>
            <w:fldChar w:fldCharType="end"/>
          </w:r>
        </w:p>
        <w:p w14:paraId="05248F72">
          <w:pPr>
            <w:pStyle w:val="12"/>
            <w:tabs>
              <w:tab w:val="right" w:leader="dot" w:pos="8306"/>
              <w:tab w:val="clear" w:pos="8296"/>
            </w:tabs>
            <w:rPr>
              <w:sz w:val="21"/>
              <w:szCs w:val="24"/>
            </w:rPr>
          </w:pPr>
          <w:r>
            <w:rPr>
              <w:sz w:val="21"/>
              <w:szCs w:val="24"/>
            </w:rPr>
            <w:fldChar w:fldCharType="begin"/>
          </w:r>
          <w:r>
            <w:rPr>
              <w:sz w:val="21"/>
              <w:szCs w:val="24"/>
            </w:rPr>
            <w:instrText xml:space="preserve"> HYPERLINK \l _Toc15167 </w:instrText>
          </w:r>
          <w:r>
            <w:rPr>
              <w:sz w:val="21"/>
              <w:szCs w:val="24"/>
            </w:rPr>
            <w:fldChar w:fldCharType="separate"/>
          </w:r>
          <w:r>
            <w:rPr>
              <w:rFonts w:hint="eastAsia" w:ascii="黑体" w:eastAsia="黑体"/>
              <w:sz w:val="21"/>
              <w:szCs w:val="32"/>
              <w:highlight w:val="none"/>
            </w:rPr>
            <w:t>八、</w:t>
          </w:r>
          <w:r>
            <w:rPr>
              <w:rFonts w:hint="eastAsia" w:ascii="黑体" w:hAnsi="黑体" w:eastAsia="黑体"/>
              <w:sz w:val="21"/>
              <w:szCs w:val="24"/>
              <w:highlight w:val="none"/>
            </w:rPr>
            <w:t>政府性基金预算支出决算情况说明</w:t>
          </w:r>
          <w:r>
            <w:rPr>
              <w:sz w:val="21"/>
              <w:szCs w:val="24"/>
            </w:rPr>
            <w:tab/>
          </w:r>
          <w:r>
            <w:rPr>
              <w:sz w:val="21"/>
              <w:szCs w:val="24"/>
            </w:rPr>
            <w:fldChar w:fldCharType="begin"/>
          </w:r>
          <w:r>
            <w:rPr>
              <w:sz w:val="21"/>
              <w:szCs w:val="24"/>
            </w:rPr>
            <w:instrText xml:space="preserve"> PAGEREF _Toc15167 \h </w:instrText>
          </w:r>
          <w:r>
            <w:rPr>
              <w:sz w:val="21"/>
              <w:szCs w:val="24"/>
            </w:rPr>
            <w:fldChar w:fldCharType="separate"/>
          </w:r>
          <w:r>
            <w:rPr>
              <w:sz w:val="21"/>
              <w:szCs w:val="24"/>
            </w:rPr>
            <w:t>13</w:t>
          </w:r>
          <w:r>
            <w:rPr>
              <w:sz w:val="21"/>
              <w:szCs w:val="24"/>
            </w:rPr>
            <w:fldChar w:fldCharType="end"/>
          </w:r>
          <w:r>
            <w:rPr>
              <w:sz w:val="21"/>
              <w:szCs w:val="24"/>
            </w:rPr>
            <w:fldChar w:fldCharType="end"/>
          </w:r>
        </w:p>
        <w:p w14:paraId="4337FC0C">
          <w:pPr>
            <w:pStyle w:val="12"/>
            <w:tabs>
              <w:tab w:val="right" w:leader="dot" w:pos="8306"/>
              <w:tab w:val="clear" w:pos="8296"/>
            </w:tabs>
            <w:rPr>
              <w:sz w:val="21"/>
              <w:szCs w:val="24"/>
            </w:rPr>
          </w:pPr>
          <w:r>
            <w:rPr>
              <w:sz w:val="21"/>
              <w:szCs w:val="24"/>
            </w:rPr>
            <w:fldChar w:fldCharType="begin"/>
          </w:r>
          <w:r>
            <w:rPr>
              <w:sz w:val="21"/>
              <w:szCs w:val="24"/>
            </w:rPr>
            <w:instrText xml:space="preserve"> HYPERLINK \l _Toc1801 </w:instrText>
          </w:r>
          <w:r>
            <w:rPr>
              <w:sz w:val="21"/>
              <w:szCs w:val="24"/>
            </w:rPr>
            <w:fldChar w:fldCharType="separate"/>
          </w:r>
          <w:r>
            <w:rPr>
              <w:rFonts w:hint="eastAsia" w:ascii="黑体" w:hAnsi="黑体" w:eastAsia="黑体"/>
              <w:sz w:val="21"/>
              <w:szCs w:val="24"/>
            </w:rPr>
            <w:t xml:space="preserve">九、 </w:t>
          </w:r>
          <w:r>
            <w:rPr>
              <w:rFonts w:hint="eastAsia" w:ascii="黑体" w:hAnsi="黑体" w:eastAsia="黑体"/>
              <w:sz w:val="21"/>
              <w:szCs w:val="24"/>
              <w:highlight w:val="none"/>
            </w:rPr>
            <w:t>国有资本经营预算支出决算情况说明</w:t>
          </w:r>
          <w:r>
            <w:rPr>
              <w:sz w:val="21"/>
              <w:szCs w:val="24"/>
            </w:rPr>
            <w:tab/>
          </w:r>
          <w:r>
            <w:rPr>
              <w:sz w:val="21"/>
              <w:szCs w:val="24"/>
            </w:rPr>
            <w:fldChar w:fldCharType="begin"/>
          </w:r>
          <w:r>
            <w:rPr>
              <w:sz w:val="21"/>
              <w:szCs w:val="24"/>
            </w:rPr>
            <w:instrText xml:space="preserve"> PAGEREF _Toc1801 \h </w:instrText>
          </w:r>
          <w:r>
            <w:rPr>
              <w:sz w:val="21"/>
              <w:szCs w:val="24"/>
            </w:rPr>
            <w:fldChar w:fldCharType="separate"/>
          </w:r>
          <w:r>
            <w:rPr>
              <w:sz w:val="21"/>
              <w:szCs w:val="24"/>
            </w:rPr>
            <w:t>13</w:t>
          </w:r>
          <w:r>
            <w:rPr>
              <w:sz w:val="21"/>
              <w:szCs w:val="24"/>
            </w:rPr>
            <w:fldChar w:fldCharType="end"/>
          </w:r>
          <w:r>
            <w:rPr>
              <w:sz w:val="21"/>
              <w:szCs w:val="24"/>
            </w:rPr>
            <w:fldChar w:fldCharType="end"/>
          </w:r>
        </w:p>
        <w:p w14:paraId="41B97BEB">
          <w:pPr>
            <w:pStyle w:val="12"/>
            <w:tabs>
              <w:tab w:val="right" w:leader="dot" w:pos="8306"/>
              <w:tab w:val="clear" w:pos="8296"/>
            </w:tabs>
            <w:rPr>
              <w:sz w:val="21"/>
              <w:szCs w:val="24"/>
            </w:rPr>
          </w:pPr>
          <w:r>
            <w:rPr>
              <w:sz w:val="21"/>
              <w:szCs w:val="24"/>
            </w:rPr>
            <w:fldChar w:fldCharType="begin"/>
          </w:r>
          <w:r>
            <w:rPr>
              <w:sz w:val="21"/>
              <w:szCs w:val="24"/>
            </w:rPr>
            <w:instrText xml:space="preserve"> HYPERLINK \l _Toc19806 </w:instrText>
          </w:r>
          <w:r>
            <w:rPr>
              <w:sz w:val="21"/>
              <w:szCs w:val="24"/>
            </w:rPr>
            <w:fldChar w:fldCharType="separate"/>
          </w:r>
          <w:r>
            <w:rPr>
              <w:rFonts w:hint="eastAsia" w:ascii="黑体" w:hAnsi="黑体" w:eastAsia="黑体"/>
              <w:sz w:val="21"/>
              <w:szCs w:val="24"/>
            </w:rPr>
            <w:t xml:space="preserve">十、 </w:t>
          </w:r>
          <w:r>
            <w:rPr>
              <w:rFonts w:hint="eastAsia" w:ascii="黑体" w:hAnsi="黑体" w:eastAsia="黑体"/>
              <w:sz w:val="21"/>
              <w:szCs w:val="24"/>
              <w:highlight w:val="none"/>
            </w:rPr>
            <w:t>其他重要事项的情况说明</w:t>
          </w:r>
          <w:r>
            <w:rPr>
              <w:sz w:val="21"/>
              <w:szCs w:val="24"/>
            </w:rPr>
            <w:tab/>
          </w:r>
          <w:r>
            <w:rPr>
              <w:sz w:val="21"/>
              <w:szCs w:val="24"/>
            </w:rPr>
            <w:fldChar w:fldCharType="begin"/>
          </w:r>
          <w:r>
            <w:rPr>
              <w:sz w:val="21"/>
              <w:szCs w:val="24"/>
            </w:rPr>
            <w:instrText xml:space="preserve"> PAGEREF _Toc19806 \h </w:instrText>
          </w:r>
          <w:r>
            <w:rPr>
              <w:sz w:val="21"/>
              <w:szCs w:val="24"/>
            </w:rPr>
            <w:fldChar w:fldCharType="separate"/>
          </w:r>
          <w:r>
            <w:rPr>
              <w:sz w:val="21"/>
              <w:szCs w:val="24"/>
            </w:rPr>
            <w:t>13</w:t>
          </w:r>
          <w:r>
            <w:rPr>
              <w:sz w:val="21"/>
              <w:szCs w:val="24"/>
            </w:rPr>
            <w:fldChar w:fldCharType="end"/>
          </w:r>
          <w:r>
            <w:rPr>
              <w:sz w:val="21"/>
              <w:szCs w:val="24"/>
            </w:rPr>
            <w:fldChar w:fldCharType="end"/>
          </w:r>
        </w:p>
        <w:p w14:paraId="2277CCD3">
          <w:pPr>
            <w:pStyle w:val="11"/>
            <w:tabs>
              <w:tab w:val="right" w:leader="dot" w:pos="8306"/>
              <w:tab w:val="clear" w:pos="8296"/>
            </w:tabs>
            <w:rPr>
              <w:sz w:val="28"/>
              <w:szCs w:val="28"/>
            </w:rPr>
          </w:pPr>
          <w:r>
            <w:rPr>
              <w:sz w:val="28"/>
              <w:szCs w:val="28"/>
            </w:rPr>
            <w:fldChar w:fldCharType="begin"/>
          </w:r>
          <w:r>
            <w:rPr>
              <w:sz w:val="28"/>
              <w:szCs w:val="28"/>
            </w:rPr>
            <w:instrText xml:space="preserve"> HYPERLINK \l _Toc12405 </w:instrText>
          </w:r>
          <w:r>
            <w:rPr>
              <w:sz w:val="28"/>
              <w:szCs w:val="28"/>
            </w:rPr>
            <w:fldChar w:fldCharType="separate"/>
          </w:r>
          <w:r>
            <w:rPr>
              <w:rFonts w:hint="eastAsia" w:ascii="黑体" w:hAnsi="黑体" w:eastAsia="黑体"/>
              <w:sz w:val="28"/>
              <w:szCs w:val="28"/>
            </w:rPr>
            <w:t xml:space="preserve">第三部分 </w:t>
          </w:r>
          <w:r>
            <w:rPr>
              <w:rFonts w:hint="eastAsia" w:ascii="黑体" w:hAnsi="黑体" w:eastAsia="黑体"/>
              <w:sz w:val="28"/>
              <w:szCs w:val="44"/>
              <w:highlight w:val="none"/>
            </w:rPr>
            <w:t>名</w:t>
          </w:r>
          <w:r>
            <w:rPr>
              <w:rFonts w:hint="eastAsia" w:ascii="黑体" w:hAnsi="黑体" w:eastAsia="黑体"/>
              <w:sz w:val="28"/>
              <w:szCs w:val="28"/>
              <w:highlight w:val="none"/>
            </w:rPr>
            <w:t>词解释</w:t>
          </w:r>
          <w:r>
            <w:rPr>
              <w:sz w:val="28"/>
              <w:szCs w:val="28"/>
            </w:rPr>
            <w:tab/>
          </w:r>
          <w:r>
            <w:rPr>
              <w:sz w:val="28"/>
              <w:szCs w:val="28"/>
            </w:rPr>
            <w:fldChar w:fldCharType="begin"/>
          </w:r>
          <w:r>
            <w:rPr>
              <w:sz w:val="28"/>
              <w:szCs w:val="28"/>
            </w:rPr>
            <w:instrText xml:space="preserve"> PAGEREF _Toc12405 \h </w:instrText>
          </w:r>
          <w:r>
            <w:rPr>
              <w:sz w:val="28"/>
              <w:szCs w:val="28"/>
            </w:rPr>
            <w:fldChar w:fldCharType="separate"/>
          </w:r>
          <w:r>
            <w:rPr>
              <w:sz w:val="28"/>
              <w:szCs w:val="28"/>
            </w:rPr>
            <w:t>15</w:t>
          </w:r>
          <w:r>
            <w:rPr>
              <w:sz w:val="28"/>
              <w:szCs w:val="28"/>
            </w:rPr>
            <w:fldChar w:fldCharType="end"/>
          </w:r>
          <w:r>
            <w:rPr>
              <w:sz w:val="28"/>
              <w:szCs w:val="28"/>
            </w:rPr>
            <w:fldChar w:fldCharType="end"/>
          </w:r>
        </w:p>
        <w:p w14:paraId="6CB07E95">
          <w:pPr>
            <w:pStyle w:val="11"/>
            <w:tabs>
              <w:tab w:val="right" w:leader="dot" w:pos="8306"/>
              <w:tab w:val="clear" w:pos="8296"/>
            </w:tabs>
            <w:rPr>
              <w:sz w:val="28"/>
              <w:szCs w:val="28"/>
            </w:rPr>
          </w:pPr>
          <w:r>
            <w:rPr>
              <w:sz w:val="28"/>
              <w:szCs w:val="28"/>
            </w:rPr>
            <w:fldChar w:fldCharType="begin"/>
          </w:r>
          <w:r>
            <w:rPr>
              <w:sz w:val="28"/>
              <w:szCs w:val="28"/>
            </w:rPr>
            <w:instrText xml:space="preserve"> HYPERLINK \l _Toc2909 </w:instrText>
          </w:r>
          <w:r>
            <w:rPr>
              <w:sz w:val="28"/>
              <w:szCs w:val="28"/>
            </w:rPr>
            <w:fldChar w:fldCharType="separate"/>
          </w:r>
          <w:r>
            <w:rPr>
              <w:rFonts w:hint="eastAsia" w:ascii="黑体" w:hAnsi="黑体" w:eastAsia="黑体"/>
              <w:sz w:val="28"/>
              <w:szCs w:val="44"/>
              <w:highlight w:val="none"/>
            </w:rPr>
            <w:t>第</w:t>
          </w:r>
          <w:r>
            <w:rPr>
              <w:rFonts w:hint="eastAsia" w:ascii="黑体" w:hAnsi="黑体" w:eastAsia="黑体"/>
              <w:sz w:val="28"/>
              <w:szCs w:val="28"/>
              <w:highlight w:val="none"/>
            </w:rPr>
            <w:t>四部分 附件</w:t>
          </w:r>
          <w:r>
            <w:rPr>
              <w:sz w:val="28"/>
              <w:szCs w:val="28"/>
            </w:rPr>
            <w:tab/>
          </w:r>
          <w:r>
            <w:rPr>
              <w:sz w:val="28"/>
              <w:szCs w:val="28"/>
            </w:rPr>
            <w:fldChar w:fldCharType="begin"/>
          </w:r>
          <w:r>
            <w:rPr>
              <w:sz w:val="28"/>
              <w:szCs w:val="28"/>
            </w:rPr>
            <w:instrText xml:space="preserve"> PAGEREF _Toc2909 \h </w:instrText>
          </w:r>
          <w:r>
            <w:rPr>
              <w:sz w:val="28"/>
              <w:szCs w:val="28"/>
            </w:rPr>
            <w:fldChar w:fldCharType="separate"/>
          </w:r>
          <w:r>
            <w:rPr>
              <w:sz w:val="28"/>
              <w:szCs w:val="28"/>
            </w:rPr>
            <w:t>18</w:t>
          </w:r>
          <w:r>
            <w:rPr>
              <w:sz w:val="28"/>
              <w:szCs w:val="28"/>
            </w:rPr>
            <w:fldChar w:fldCharType="end"/>
          </w:r>
          <w:r>
            <w:rPr>
              <w:sz w:val="28"/>
              <w:szCs w:val="28"/>
            </w:rPr>
            <w:fldChar w:fldCharType="end"/>
          </w:r>
        </w:p>
        <w:p w14:paraId="2F15074D">
          <w:pPr>
            <w:pStyle w:val="11"/>
            <w:tabs>
              <w:tab w:val="right" w:leader="dot" w:pos="8306"/>
              <w:tab w:val="clear" w:pos="8296"/>
            </w:tabs>
            <w:rPr>
              <w:sz w:val="28"/>
              <w:szCs w:val="28"/>
            </w:rPr>
          </w:pPr>
          <w:r>
            <w:rPr>
              <w:sz w:val="28"/>
              <w:szCs w:val="28"/>
            </w:rPr>
            <w:fldChar w:fldCharType="begin"/>
          </w:r>
          <w:r>
            <w:rPr>
              <w:sz w:val="28"/>
              <w:szCs w:val="28"/>
            </w:rPr>
            <w:instrText xml:space="preserve"> HYPERLINK \l _Toc17882 </w:instrText>
          </w:r>
          <w:r>
            <w:rPr>
              <w:sz w:val="28"/>
              <w:szCs w:val="28"/>
            </w:rPr>
            <w:fldChar w:fldCharType="separate"/>
          </w:r>
          <w:r>
            <w:rPr>
              <w:rFonts w:hint="eastAsia" w:ascii="黑体" w:hAnsi="黑体" w:eastAsia="黑体"/>
              <w:sz w:val="28"/>
              <w:szCs w:val="44"/>
              <w:highlight w:val="none"/>
            </w:rPr>
            <w:t>第</w:t>
          </w:r>
          <w:r>
            <w:rPr>
              <w:rFonts w:hint="eastAsia" w:ascii="黑体" w:hAnsi="黑体" w:eastAsia="黑体"/>
              <w:sz w:val="28"/>
              <w:szCs w:val="28"/>
              <w:highlight w:val="none"/>
            </w:rPr>
            <w:t>五部分 附表</w:t>
          </w:r>
          <w:r>
            <w:rPr>
              <w:sz w:val="28"/>
              <w:szCs w:val="28"/>
            </w:rPr>
            <w:tab/>
          </w:r>
          <w:r>
            <w:rPr>
              <w:sz w:val="28"/>
              <w:szCs w:val="28"/>
            </w:rPr>
            <w:fldChar w:fldCharType="begin"/>
          </w:r>
          <w:r>
            <w:rPr>
              <w:sz w:val="28"/>
              <w:szCs w:val="28"/>
            </w:rPr>
            <w:instrText xml:space="preserve"> PAGEREF _Toc17882 \h </w:instrText>
          </w:r>
          <w:r>
            <w:rPr>
              <w:sz w:val="28"/>
              <w:szCs w:val="28"/>
            </w:rPr>
            <w:fldChar w:fldCharType="separate"/>
          </w:r>
          <w:r>
            <w:rPr>
              <w:sz w:val="28"/>
              <w:szCs w:val="28"/>
            </w:rPr>
            <w:t>24</w:t>
          </w:r>
          <w:r>
            <w:rPr>
              <w:sz w:val="28"/>
              <w:szCs w:val="28"/>
            </w:rPr>
            <w:fldChar w:fldCharType="end"/>
          </w:r>
          <w:r>
            <w:rPr>
              <w:sz w:val="28"/>
              <w:szCs w:val="28"/>
            </w:rPr>
            <w:fldChar w:fldCharType="end"/>
          </w:r>
        </w:p>
        <w:p w14:paraId="23242B1F">
          <w:pPr>
            <w:pStyle w:val="12"/>
            <w:tabs>
              <w:tab w:val="right" w:leader="dot" w:pos="8306"/>
              <w:tab w:val="clear" w:pos="8296"/>
            </w:tabs>
            <w:rPr>
              <w:rFonts w:hint="eastAsia" w:ascii="黑体" w:hAnsi="黑体" w:eastAsia="黑体" w:cs="黑体"/>
              <w:sz w:val="21"/>
              <w:szCs w:val="24"/>
            </w:rPr>
          </w:pPr>
          <w:r>
            <w:rPr>
              <w:rFonts w:hint="eastAsia" w:ascii="黑体" w:hAnsi="黑体" w:eastAsia="黑体" w:cs="黑体"/>
              <w:sz w:val="21"/>
              <w:szCs w:val="24"/>
            </w:rPr>
            <w:fldChar w:fldCharType="begin"/>
          </w:r>
          <w:r>
            <w:rPr>
              <w:rFonts w:hint="eastAsia" w:ascii="黑体" w:hAnsi="黑体" w:eastAsia="黑体" w:cs="黑体"/>
              <w:sz w:val="21"/>
              <w:szCs w:val="24"/>
            </w:rPr>
            <w:instrText xml:space="preserve"> HYPERLINK \l _Toc2748 </w:instrText>
          </w:r>
          <w:r>
            <w:rPr>
              <w:rFonts w:hint="eastAsia" w:ascii="黑体" w:hAnsi="黑体" w:eastAsia="黑体" w:cs="黑体"/>
              <w:sz w:val="21"/>
              <w:szCs w:val="24"/>
            </w:rPr>
            <w:fldChar w:fldCharType="separate"/>
          </w:r>
          <w:r>
            <w:rPr>
              <w:rFonts w:hint="eastAsia" w:ascii="黑体" w:hAnsi="黑体" w:eastAsia="黑体" w:cs="黑体"/>
              <w:sz w:val="21"/>
              <w:szCs w:val="24"/>
            </w:rPr>
            <w:t>一、收入支出决算总表</w:t>
          </w:r>
          <w:r>
            <w:rPr>
              <w:rFonts w:hint="eastAsia" w:ascii="黑体" w:hAnsi="黑体" w:eastAsia="黑体" w:cs="黑体"/>
              <w:sz w:val="21"/>
              <w:szCs w:val="24"/>
            </w:rPr>
            <w:tab/>
          </w:r>
          <w:r>
            <w:rPr>
              <w:rFonts w:hint="eastAsia" w:ascii="黑体" w:hAnsi="黑体" w:eastAsia="黑体" w:cs="黑体"/>
              <w:sz w:val="21"/>
              <w:szCs w:val="24"/>
            </w:rPr>
            <w:fldChar w:fldCharType="begin"/>
          </w:r>
          <w:r>
            <w:rPr>
              <w:rFonts w:hint="eastAsia" w:ascii="黑体" w:hAnsi="黑体" w:eastAsia="黑体" w:cs="黑体"/>
              <w:sz w:val="21"/>
              <w:szCs w:val="24"/>
            </w:rPr>
            <w:instrText xml:space="preserve"> PAGEREF _Toc2748 \h </w:instrText>
          </w:r>
          <w:r>
            <w:rPr>
              <w:rFonts w:hint="eastAsia" w:ascii="黑体" w:hAnsi="黑体" w:eastAsia="黑体" w:cs="黑体"/>
              <w:sz w:val="21"/>
              <w:szCs w:val="24"/>
            </w:rPr>
            <w:fldChar w:fldCharType="separate"/>
          </w:r>
          <w:r>
            <w:rPr>
              <w:rFonts w:hint="eastAsia" w:ascii="黑体" w:hAnsi="黑体" w:eastAsia="黑体" w:cs="黑体"/>
              <w:sz w:val="21"/>
              <w:szCs w:val="24"/>
            </w:rPr>
            <w:t>24</w:t>
          </w:r>
          <w:r>
            <w:rPr>
              <w:rFonts w:hint="eastAsia" w:ascii="黑体" w:hAnsi="黑体" w:eastAsia="黑体" w:cs="黑体"/>
              <w:sz w:val="21"/>
              <w:szCs w:val="24"/>
            </w:rPr>
            <w:fldChar w:fldCharType="end"/>
          </w:r>
          <w:r>
            <w:rPr>
              <w:rFonts w:hint="eastAsia" w:ascii="黑体" w:hAnsi="黑体" w:eastAsia="黑体" w:cs="黑体"/>
              <w:sz w:val="21"/>
              <w:szCs w:val="24"/>
            </w:rPr>
            <w:fldChar w:fldCharType="end"/>
          </w:r>
        </w:p>
        <w:p w14:paraId="500E39D7">
          <w:pPr>
            <w:pStyle w:val="12"/>
            <w:tabs>
              <w:tab w:val="right" w:leader="dot" w:pos="8306"/>
              <w:tab w:val="clear" w:pos="8296"/>
            </w:tabs>
            <w:rPr>
              <w:rFonts w:hint="eastAsia" w:ascii="黑体" w:hAnsi="黑体" w:eastAsia="黑体" w:cs="黑体"/>
              <w:sz w:val="21"/>
              <w:szCs w:val="24"/>
            </w:rPr>
          </w:pPr>
          <w:r>
            <w:rPr>
              <w:rFonts w:hint="eastAsia" w:ascii="黑体" w:hAnsi="黑体" w:eastAsia="黑体" w:cs="黑体"/>
              <w:sz w:val="21"/>
              <w:szCs w:val="24"/>
            </w:rPr>
            <w:fldChar w:fldCharType="begin"/>
          </w:r>
          <w:r>
            <w:rPr>
              <w:rFonts w:hint="eastAsia" w:ascii="黑体" w:hAnsi="黑体" w:eastAsia="黑体" w:cs="黑体"/>
              <w:sz w:val="21"/>
              <w:szCs w:val="24"/>
            </w:rPr>
            <w:instrText xml:space="preserve"> HYPERLINK \l _Toc13204 </w:instrText>
          </w:r>
          <w:r>
            <w:rPr>
              <w:rFonts w:hint="eastAsia" w:ascii="黑体" w:hAnsi="黑体" w:eastAsia="黑体" w:cs="黑体"/>
              <w:sz w:val="21"/>
              <w:szCs w:val="24"/>
            </w:rPr>
            <w:fldChar w:fldCharType="separate"/>
          </w:r>
          <w:r>
            <w:rPr>
              <w:rFonts w:hint="eastAsia" w:ascii="黑体" w:hAnsi="黑体" w:eastAsia="黑体" w:cs="黑体"/>
              <w:sz w:val="21"/>
              <w:szCs w:val="24"/>
            </w:rPr>
            <w:t>二、收入决算表</w:t>
          </w:r>
          <w:r>
            <w:rPr>
              <w:rFonts w:hint="eastAsia" w:ascii="黑体" w:hAnsi="黑体" w:eastAsia="黑体" w:cs="黑体"/>
              <w:sz w:val="21"/>
              <w:szCs w:val="24"/>
            </w:rPr>
            <w:tab/>
          </w:r>
          <w:r>
            <w:rPr>
              <w:rFonts w:hint="eastAsia" w:ascii="黑体" w:hAnsi="黑体" w:eastAsia="黑体" w:cs="黑体"/>
              <w:sz w:val="21"/>
              <w:szCs w:val="24"/>
            </w:rPr>
            <w:fldChar w:fldCharType="begin"/>
          </w:r>
          <w:r>
            <w:rPr>
              <w:rFonts w:hint="eastAsia" w:ascii="黑体" w:hAnsi="黑体" w:eastAsia="黑体" w:cs="黑体"/>
              <w:sz w:val="21"/>
              <w:szCs w:val="24"/>
            </w:rPr>
            <w:instrText xml:space="preserve"> PAGEREF _Toc13204 \h </w:instrText>
          </w:r>
          <w:r>
            <w:rPr>
              <w:rFonts w:hint="eastAsia" w:ascii="黑体" w:hAnsi="黑体" w:eastAsia="黑体" w:cs="黑体"/>
              <w:sz w:val="21"/>
              <w:szCs w:val="24"/>
            </w:rPr>
            <w:fldChar w:fldCharType="separate"/>
          </w:r>
          <w:r>
            <w:rPr>
              <w:rFonts w:hint="eastAsia" w:ascii="黑体" w:hAnsi="黑体" w:eastAsia="黑体" w:cs="黑体"/>
              <w:sz w:val="21"/>
              <w:szCs w:val="24"/>
            </w:rPr>
            <w:t>24</w:t>
          </w:r>
          <w:r>
            <w:rPr>
              <w:rFonts w:hint="eastAsia" w:ascii="黑体" w:hAnsi="黑体" w:eastAsia="黑体" w:cs="黑体"/>
              <w:sz w:val="21"/>
              <w:szCs w:val="24"/>
            </w:rPr>
            <w:fldChar w:fldCharType="end"/>
          </w:r>
          <w:r>
            <w:rPr>
              <w:rFonts w:hint="eastAsia" w:ascii="黑体" w:hAnsi="黑体" w:eastAsia="黑体" w:cs="黑体"/>
              <w:sz w:val="21"/>
              <w:szCs w:val="24"/>
            </w:rPr>
            <w:fldChar w:fldCharType="end"/>
          </w:r>
        </w:p>
        <w:p w14:paraId="6139AA5B">
          <w:pPr>
            <w:pStyle w:val="12"/>
            <w:tabs>
              <w:tab w:val="right" w:leader="dot" w:pos="8306"/>
              <w:tab w:val="clear" w:pos="8296"/>
            </w:tabs>
            <w:rPr>
              <w:rFonts w:hint="eastAsia" w:ascii="黑体" w:hAnsi="黑体" w:eastAsia="黑体" w:cs="黑体"/>
              <w:sz w:val="21"/>
              <w:szCs w:val="24"/>
            </w:rPr>
          </w:pPr>
          <w:r>
            <w:rPr>
              <w:rFonts w:hint="eastAsia" w:ascii="黑体" w:hAnsi="黑体" w:eastAsia="黑体" w:cs="黑体"/>
              <w:sz w:val="21"/>
              <w:szCs w:val="24"/>
            </w:rPr>
            <w:fldChar w:fldCharType="begin"/>
          </w:r>
          <w:r>
            <w:rPr>
              <w:rFonts w:hint="eastAsia" w:ascii="黑体" w:hAnsi="黑体" w:eastAsia="黑体" w:cs="黑体"/>
              <w:sz w:val="21"/>
              <w:szCs w:val="24"/>
            </w:rPr>
            <w:instrText xml:space="preserve"> HYPERLINK \l _Toc5699 </w:instrText>
          </w:r>
          <w:r>
            <w:rPr>
              <w:rFonts w:hint="eastAsia" w:ascii="黑体" w:hAnsi="黑体" w:eastAsia="黑体" w:cs="黑体"/>
              <w:sz w:val="21"/>
              <w:szCs w:val="24"/>
            </w:rPr>
            <w:fldChar w:fldCharType="separate"/>
          </w:r>
          <w:r>
            <w:rPr>
              <w:rFonts w:hint="eastAsia" w:ascii="黑体" w:hAnsi="黑体" w:eastAsia="黑体" w:cs="黑体"/>
              <w:sz w:val="21"/>
              <w:szCs w:val="24"/>
            </w:rPr>
            <w:t>三、支出决算表</w:t>
          </w:r>
          <w:r>
            <w:rPr>
              <w:rFonts w:hint="eastAsia" w:ascii="黑体" w:hAnsi="黑体" w:eastAsia="黑体" w:cs="黑体"/>
              <w:sz w:val="21"/>
              <w:szCs w:val="24"/>
            </w:rPr>
            <w:tab/>
          </w:r>
          <w:r>
            <w:rPr>
              <w:rFonts w:hint="eastAsia" w:ascii="黑体" w:hAnsi="黑体" w:eastAsia="黑体" w:cs="黑体"/>
              <w:sz w:val="21"/>
              <w:szCs w:val="24"/>
            </w:rPr>
            <w:fldChar w:fldCharType="begin"/>
          </w:r>
          <w:r>
            <w:rPr>
              <w:rFonts w:hint="eastAsia" w:ascii="黑体" w:hAnsi="黑体" w:eastAsia="黑体" w:cs="黑体"/>
              <w:sz w:val="21"/>
              <w:szCs w:val="24"/>
            </w:rPr>
            <w:instrText xml:space="preserve"> PAGEREF _Toc5699 \h </w:instrText>
          </w:r>
          <w:r>
            <w:rPr>
              <w:rFonts w:hint="eastAsia" w:ascii="黑体" w:hAnsi="黑体" w:eastAsia="黑体" w:cs="黑体"/>
              <w:sz w:val="21"/>
              <w:szCs w:val="24"/>
            </w:rPr>
            <w:fldChar w:fldCharType="separate"/>
          </w:r>
          <w:r>
            <w:rPr>
              <w:rFonts w:hint="eastAsia" w:ascii="黑体" w:hAnsi="黑体" w:eastAsia="黑体" w:cs="黑体"/>
              <w:sz w:val="21"/>
              <w:szCs w:val="24"/>
            </w:rPr>
            <w:t>24</w:t>
          </w:r>
          <w:r>
            <w:rPr>
              <w:rFonts w:hint="eastAsia" w:ascii="黑体" w:hAnsi="黑体" w:eastAsia="黑体" w:cs="黑体"/>
              <w:sz w:val="21"/>
              <w:szCs w:val="24"/>
            </w:rPr>
            <w:fldChar w:fldCharType="end"/>
          </w:r>
          <w:r>
            <w:rPr>
              <w:rFonts w:hint="eastAsia" w:ascii="黑体" w:hAnsi="黑体" w:eastAsia="黑体" w:cs="黑体"/>
              <w:sz w:val="21"/>
              <w:szCs w:val="24"/>
            </w:rPr>
            <w:fldChar w:fldCharType="end"/>
          </w:r>
        </w:p>
        <w:p w14:paraId="737D1F91">
          <w:pPr>
            <w:pStyle w:val="12"/>
            <w:tabs>
              <w:tab w:val="right" w:leader="dot" w:pos="8306"/>
              <w:tab w:val="clear" w:pos="8296"/>
            </w:tabs>
            <w:rPr>
              <w:rFonts w:hint="eastAsia" w:ascii="黑体" w:hAnsi="黑体" w:eastAsia="黑体" w:cs="黑体"/>
              <w:sz w:val="21"/>
              <w:szCs w:val="24"/>
            </w:rPr>
          </w:pPr>
          <w:r>
            <w:rPr>
              <w:rFonts w:hint="eastAsia" w:ascii="黑体" w:hAnsi="黑体" w:eastAsia="黑体" w:cs="黑体"/>
              <w:sz w:val="21"/>
              <w:szCs w:val="24"/>
            </w:rPr>
            <w:fldChar w:fldCharType="begin"/>
          </w:r>
          <w:r>
            <w:rPr>
              <w:rFonts w:hint="eastAsia" w:ascii="黑体" w:hAnsi="黑体" w:eastAsia="黑体" w:cs="黑体"/>
              <w:sz w:val="21"/>
              <w:szCs w:val="24"/>
            </w:rPr>
            <w:instrText xml:space="preserve"> HYPERLINK \l _Toc19326 </w:instrText>
          </w:r>
          <w:r>
            <w:rPr>
              <w:rFonts w:hint="eastAsia" w:ascii="黑体" w:hAnsi="黑体" w:eastAsia="黑体" w:cs="黑体"/>
              <w:sz w:val="21"/>
              <w:szCs w:val="24"/>
            </w:rPr>
            <w:fldChar w:fldCharType="separate"/>
          </w:r>
          <w:r>
            <w:rPr>
              <w:rFonts w:hint="eastAsia" w:ascii="黑体" w:hAnsi="黑体" w:eastAsia="黑体" w:cs="黑体"/>
              <w:sz w:val="21"/>
              <w:szCs w:val="24"/>
            </w:rPr>
            <w:t>四、财政拨款收入支出决算总表</w:t>
          </w:r>
          <w:r>
            <w:rPr>
              <w:rFonts w:hint="eastAsia" w:ascii="黑体" w:hAnsi="黑体" w:eastAsia="黑体" w:cs="黑体"/>
              <w:sz w:val="21"/>
              <w:szCs w:val="24"/>
            </w:rPr>
            <w:tab/>
          </w:r>
          <w:r>
            <w:rPr>
              <w:rFonts w:hint="eastAsia" w:ascii="黑体" w:hAnsi="黑体" w:eastAsia="黑体" w:cs="黑体"/>
              <w:sz w:val="21"/>
              <w:szCs w:val="24"/>
            </w:rPr>
            <w:fldChar w:fldCharType="begin"/>
          </w:r>
          <w:r>
            <w:rPr>
              <w:rFonts w:hint="eastAsia" w:ascii="黑体" w:hAnsi="黑体" w:eastAsia="黑体" w:cs="黑体"/>
              <w:sz w:val="21"/>
              <w:szCs w:val="24"/>
            </w:rPr>
            <w:instrText xml:space="preserve"> PAGEREF _Toc19326 \h </w:instrText>
          </w:r>
          <w:r>
            <w:rPr>
              <w:rFonts w:hint="eastAsia" w:ascii="黑体" w:hAnsi="黑体" w:eastAsia="黑体" w:cs="黑体"/>
              <w:sz w:val="21"/>
              <w:szCs w:val="24"/>
            </w:rPr>
            <w:fldChar w:fldCharType="separate"/>
          </w:r>
          <w:r>
            <w:rPr>
              <w:rFonts w:hint="eastAsia" w:ascii="黑体" w:hAnsi="黑体" w:eastAsia="黑体" w:cs="黑体"/>
              <w:sz w:val="21"/>
              <w:szCs w:val="24"/>
            </w:rPr>
            <w:t>24</w:t>
          </w:r>
          <w:r>
            <w:rPr>
              <w:rFonts w:hint="eastAsia" w:ascii="黑体" w:hAnsi="黑体" w:eastAsia="黑体" w:cs="黑体"/>
              <w:sz w:val="21"/>
              <w:szCs w:val="24"/>
            </w:rPr>
            <w:fldChar w:fldCharType="end"/>
          </w:r>
          <w:r>
            <w:rPr>
              <w:rFonts w:hint="eastAsia" w:ascii="黑体" w:hAnsi="黑体" w:eastAsia="黑体" w:cs="黑体"/>
              <w:sz w:val="21"/>
              <w:szCs w:val="24"/>
            </w:rPr>
            <w:fldChar w:fldCharType="end"/>
          </w:r>
        </w:p>
        <w:p w14:paraId="4692F7C0">
          <w:pPr>
            <w:pStyle w:val="12"/>
            <w:tabs>
              <w:tab w:val="right" w:leader="dot" w:pos="8306"/>
              <w:tab w:val="clear" w:pos="8296"/>
            </w:tabs>
            <w:rPr>
              <w:rFonts w:hint="eastAsia" w:ascii="黑体" w:hAnsi="黑体" w:eastAsia="黑体" w:cs="黑体"/>
              <w:sz w:val="21"/>
              <w:szCs w:val="24"/>
            </w:rPr>
          </w:pPr>
          <w:r>
            <w:rPr>
              <w:rFonts w:hint="eastAsia" w:ascii="黑体" w:hAnsi="黑体" w:eastAsia="黑体" w:cs="黑体"/>
              <w:sz w:val="21"/>
              <w:szCs w:val="24"/>
            </w:rPr>
            <w:fldChar w:fldCharType="begin"/>
          </w:r>
          <w:r>
            <w:rPr>
              <w:rFonts w:hint="eastAsia" w:ascii="黑体" w:hAnsi="黑体" w:eastAsia="黑体" w:cs="黑体"/>
              <w:sz w:val="21"/>
              <w:szCs w:val="24"/>
            </w:rPr>
            <w:instrText xml:space="preserve"> HYPERLINK \l _Toc29994 </w:instrText>
          </w:r>
          <w:r>
            <w:rPr>
              <w:rFonts w:hint="eastAsia" w:ascii="黑体" w:hAnsi="黑体" w:eastAsia="黑体" w:cs="黑体"/>
              <w:sz w:val="21"/>
              <w:szCs w:val="24"/>
            </w:rPr>
            <w:fldChar w:fldCharType="separate"/>
          </w:r>
          <w:r>
            <w:rPr>
              <w:rFonts w:hint="eastAsia" w:ascii="黑体" w:hAnsi="黑体" w:eastAsia="黑体" w:cs="黑体"/>
              <w:sz w:val="21"/>
              <w:szCs w:val="24"/>
            </w:rPr>
            <w:t>五、财政拨款支出决算明细表</w:t>
          </w:r>
          <w:r>
            <w:rPr>
              <w:rFonts w:hint="eastAsia" w:ascii="黑体" w:hAnsi="黑体" w:eastAsia="黑体" w:cs="黑体"/>
              <w:sz w:val="21"/>
              <w:szCs w:val="24"/>
            </w:rPr>
            <w:tab/>
          </w:r>
          <w:r>
            <w:rPr>
              <w:rFonts w:hint="eastAsia" w:ascii="黑体" w:hAnsi="黑体" w:eastAsia="黑体" w:cs="黑体"/>
              <w:sz w:val="21"/>
              <w:szCs w:val="24"/>
            </w:rPr>
            <w:fldChar w:fldCharType="begin"/>
          </w:r>
          <w:r>
            <w:rPr>
              <w:rFonts w:hint="eastAsia" w:ascii="黑体" w:hAnsi="黑体" w:eastAsia="黑体" w:cs="黑体"/>
              <w:sz w:val="21"/>
              <w:szCs w:val="24"/>
            </w:rPr>
            <w:instrText xml:space="preserve"> PAGEREF _Toc29994 \h </w:instrText>
          </w:r>
          <w:r>
            <w:rPr>
              <w:rFonts w:hint="eastAsia" w:ascii="黑体" w:hAnsi="黑体" w:eastAsia="黑体" w:cs="黑体"/>
              <w:sz w:val="21"/>
              <w:szCs w:val="24"/>
            </w:rPr>
            <w:fldChar w:fldCharType="separate"/>
          </w:r>
          <w:r>
            <w:rPr>
              <w:rFonts w:hint="eastAsia" w:ascii="黑体" w:hAnsi="黑体" w:eastAsia="黑体" w:cs="黑体"/>
              <w:sz w:val="21"/>
              <w:szCs w:val="24"/>
            </w:rPr>
            <w:t>24</w:t>
          </w:r>
          <w:r>
            <w:rPr>
              <w:rFonts w:hint="eastAsia" w:ascii="黑体" w:hAnsi="黑体" w:eastAsia="黑体" w:cs="黑体"/>
              <w:sz w:val="21"/>
              <w:szCs w:val="24"/>
            </w:rPr>
            <w:fldChar w:fldCharType="end"/>
          </w:r>
          <w:r>
            <w:rPr>
              <w:rFonts w:hint="eastAsia" w:ascii="黑体" w:hAnsi="黑体" w:eastAsia="黑体" w:cs="黑体"/>
              <w:sz w:val="21"/>
              <w:szCs w:val="24"/>
            </w:rPr>
            <w:fldChar w:fldCharType="end"/>
          </w:r>
        </w:p>
        <w:p w14:paraId="5CC8073D">
          <w:pPr>
            <w:pStyle w:val="12"/>
            <w:tabs>
              <w:tab w:val="right" w:leader="dot" w:pos="8306"/>
              <w:tab w:val="clear" w:pos="8296"/>
            </w:tabs>
            <w:rPr>
              <w:rFonts w:hint="eastAsia" w:ascii="黑体" w:hAnsi="黑体" w:eastAsia="黑体" w:cs="黑体"/>
              <w:sz w:val="21"/>
              <w:szCs w:val="24"/>
            </w:rPr>
          </w:pPr>
          <w:r>
            <w:rPr>
              <w:rFonts w:hint="eastAsia" w:ascii="黑体" w:hAnsi="黑体" w:eastAsia="黑体" w:cs="黑体"/>
              <w:sz w:val="21"/>
              <w:szCs w:val="24"/>
            </w:rPr>
            <w:fldChar w:fldCharType="begin"/>
          </w:r>
          <w:r>
            <w:rPr>
              <w:rFonts w:hint="eastAsia" w:ascii="黑体" w:hAnsi="黑体" w:eastAsia="黑体" w:cs="黑体"/>
              <w:sz w:val="21"/>
              <w:szCs w:val="24"/>
            </w:rPr>
            <w:instrText xml:space="preserve"> HYPERLINK \l _Toc14463 </w:instrText>
          </w:r>
          <w:r>
            <w:rPr>
              <w:rFonts w:hint="eastAsia" w:ascii="黑体" w:hAnsi="黑体" w:eastAsia="黑体" w:cs="黑体"/>
              <w:sz w:val="21"/>
              <w:szCs w:val="24"/>
            </w:rPr>
            <w:fldChar w:fldCharType="separate"/>
          </w:r>
          <w:r>
            <w:rPr>
              <w:rFonts w:hint="eastAsia" w:ascii="黑体" w:hAnsi="黑体" w:eastAsia="黑体" w:cs="黑体"/>
              <w:sz w:val="21"/>
              <w:szCs w:val="24"/>
            </w:rPr>
            <w:t>六、一般公共预算财政拨款支出决算表</w:t>
          </w:r>
          <w:r>
            <w:rPr>
              <w:rFonts w:hint="eastAsia" w:ascii="黑体" w:hAnsi="黑体" w:eastAsia="黑体" w:cs="黑体"/>
              <w:sz w:val="21"/>
              <w:szCs w:val="24"/>
            </w:rPr>
            <w:tab/>
          </w:r>
          <w:r>
            <w:rPr>
              <w:rFonts w:hint="eastAsia" w:ascii="黑体" w:hAnsi="黑体" w:eastAsia="黑体" w:cs="黑体"/>
              <w:sz w:val="21"/>
              <w:szCs w:val="24"/>
            </w:rPr>
            <w:fldChar w:fldCharType="begin"/>
          </w:r>
          <w:r>
            <w:rPr>
              <w:rFonts w:hint="eastAsia" w:ascii="黑体" w:hAnsi="黑体" w:eastAsia="黑体" w:cs="黑体"/>
              <w:sz w:val="21"/>
              <w:szCs w:val="24"/>
            </w:rPr>
            <w:instrText xml:space="preserve"> PAGEREF _Toc14463 \h </w:instrText>
          </w:r>
          <w:r>
            <w:rPr>
              <w:rFonts w:hint="eastAsia" w:ascii="黑体" w:hAnsi="黑体" w:eastAsia="黑体" w:cs="黑体"/>
              <w:sz w:val="21"/>
              <w:szCs w:val="24"/>
            </w:rPr>
            <w:fldChar w:fldCharType="separate"/>
          </w:r>
          <w:r>
            <w:rPr>
              <w:rFonts w:hint="eastAsia" w:ascii="黑体" w:hAnsi="黑体" w:eastAsia="黑体" w:cs="黑体"/>
              <w:sz w:val="21"/>
              <w:szCs w:val="24"/>
            </w:rPr>
            <w:t>24</w:t>
          </w:r>
          <w:r>
            <w:rPr>
              <w:rFonts w:hint="eastAsia" w:ascii="黑体" w:hAnsi="黑体" w:eastAsia="黑体" w:cs="黑体"/>
              <w:sz w:val="21"/>
              <w:szCs w:val="24"/>
            </w:rPr>
            <w:fldChar w:fldCharType="end"/>
          </w:r>
          <w:r>
            <w:rPr>
              <w:rFonts w:hint="eastAsia" w:ascii="黑体" w:hAnsi="黑体" w:eastAsia="黑体" w:cs="黑体"/>
              <w:sz w:val="21"/>
              <w:szCs w:val="24"/>
            </w:rPr>
            <w:fldChar w:fldCharType="end"/>
          </w:r>
        </w:p>
        <w:p w14:paraId="423D06DB">
          <w:pPr>
            <w:pStyle w:val="12"/>
            <w:tabs>
              <w:tab w:val="right" w:leader="dot" w:pos="8306"/>
              <w:tab w:val="clear" w:pos="8296"/>
            </w:tabs>
            <w:rPr>
              <w:rFonts w:hint="eastAsia" w:ascii="黑体" w:hAnsi="黑体" w:eastAsia="黑体" w:cs="黑体"/>
              <w:sz w:val="21"/>
              <w:szCs w:val="24"/>
            </w:rPr>
          </w:pPr>
          <w:r>
            <w:rPr>
              <w:rFonts w:hint="eastAsia" w:ascii="黑体" w:hAnsi="黑体" w:eastAsia="黑体" w:cs="黑体"/>
              <w:sz w:val="21"/>
              <w:szCs w:val="24"/>
            </w:rPr>
            <w:fldChar w:fldCharType="begin"/>
          </w:r>
          <w:r>
            <w:rPr>
              <w:rFonts w:hint="eastAsia" w:ascii="黑体" w:hAnsi="黑体" w:eastAsia="黑体" w:cs="黑体"/>
              <w:sz w:val="21"/>
              <w:szCs w:val="24"/>
            </w:rPr>
            <w:instrText xml:space="preserve"> HYPERLINK \l _Toc6175 </w:instrText>
          </w:r>
          <w:r>
            <w:rPr>
              <w:rFonts w:hint="eastAsia" w:ascii="黑体" w:hAnsi="黑体" w:eastAsia="黑体" w:cs="黑体"/>
              <w:sz w:val="21"/>
              <w:szCs w:val="24"/>
            </w:rPr>
            <w:fldChar w:fldCharType="separate"/>
          </w:r>
          <w:r>
            <w:rPr>
              <w:rFonts w:hint="eastAsia" w:ascii="黑体" w:hAnsi="黑体" w:eastAsia="黑体" w:cs="黑体"/>
              <w:sz w:val="21"/>
              <w:szCs w:val="24"/>
            </w:rPr>
            <w:t>七、一般公共预算财政拨款支出决算明细表</w:t>
          </w:r>
          <w:r>
            <w:rPr>
              <w:rFonts w:hint="eastAsia" w:ascii="黑体" w:hAnsi="黑体" w:eastAsia="黑体" w:cs="黑体"/>
              <w:sz w:val="21"/>
              <w:szCs w:val="24"/>
            </w:rPr>
            <w:tab/>
          </w:r>
          <w:r>
            <w:rPr>
              <w:rFonts w:hint="eastAsia" w:ascii="黑体" w:hAnsi="黑体" w:eastAsia="黑体" w:cs="黑体"/>
              <w:sz w:val="21"/>
              <w:szCs w:val="24"/>
            </w:rPr>
            <w:fldChar w:fldCharType="begin"/>
          </w:r>
          <w:r>
            <w:rPr>
              <w:rFonts w:hint="eastAsia" w:ascii="黑体" w:hAnsi="黑体" w:eastAsia="黑体" w:cs="黑体"/>
              <w:sz w:val="21"/>
              <w:szCs w:val="24"/>
            </w:rPr>
            <w:instrText xml:space="preserve"> PAGEREF _Toc6175 \h </w:instrText>
          </w:r>
          <w:r>
            <w:rPr>
              <w:rFonts w:hint="eastAsia" w:ascii="黑体" w:hAnsi="黑体" w:eastAsia="黑体" w:cs="黑体"/>
              <w:sz w:val="21"/>
              <w:szCs w:val="24"/>
            </w:rPr>
            <w:fldChar w:fldCharType="separate"/>
          </w:r>
          <w:r>
            <w:rPr>
              <w:rFonts w:hint="eastAsia" w:ascii="黑体" w:hAnsi="黑体" w:eastAsia="黑体" w:cs="黑体"/>
              <w:sz w:val="21"/>
              <w:szCs w:val="24"/>
            </w:rPr>
            <w:t>24</w:t>
          </w:r>
          <w:r>
            <w:rPr>
              <w:rFonts w:hint="eastAsia" w:ascii="黑体" w:hAnsi="黑体" w:eastAsia="黑体" w:cs="黑体"/>
              <w:sz w:val="21"/>
              <w:szCs w:val="24"/>
            </w:rPr>
            <w:fldChar w:fldCharType="end"/>
          </w:r>
          <w:r>
            <w:rPr>
              <w:rFonts w:hint="eastAsia" w:ascii="黑体" w:hAnsi="黑体" w:eastAsia="黑体" w:cs="黑体"/>
              <w:sz w:val="21"/>
              <w:szCs w:val="24"/>
            </w:rPr>
            <w:fldChar w:fldCharType="end"/>
          </w:r>
        </w:p>
        <w:p w14:paraId="5B434D58">
          <w:pPr>
            <w:pStyle w:val="12"/>
            <w:tabs>
              <w:tab w:val="right" w:leader="dot" w:pos="8306"/>
              <w:tab w:val="clear" w:pos="8296"/>
            </w:tabs>
            <w:rPr>
              <w:rFonts w:hint="eastAsia" w:ascii="黑体" w:hAnsi="黑体" w:eastAsia="黑体" w:cs="黑体"/>
              <w:sz w:val="21"/>
              <w:szCs w:val="24"/>
            </w:rPr>
          </w:pPr>
          <w:r>
            <w:rPr>
              <w:rFonts w:hint="eastAsia" w:ascii="黑体" w:hAnsi="黑体" w:eastAsia="黑体" w:cs="黑体"/>
              <w:sz w:val="21"/>
              <w:szCs w:val="24"/>
            </w:rPr>
            <w:fldChar w:fldCharType="begin"/>
          </w:r>
          <w:r>
            <w:rPr>
              <w:rFonts w:hint="eastAsia" w:ascii="黑体" w:hAnsi="黑体" w:eastAsia="黑体" w:cs="黑体"/>
              <w:sz w:val="21"/>
              <w:szCs w:val="24"/>
            </w:rPr>
            <w:instrText xml:space="preserve"> HYPERLINK \l _Toc31825 </w:instrText>
          </w:r>
          <w:r>
            <w:rPr>
              <w:rFonts w:hint="eastAsia" w:ascii="黑体" w:hAnsi="黑体" w:eastAsia="黑体" w:cs="黑体"/>
              <w:sz w:val="21"/>
              <w:szCs w:val="24"/>
            </w:rPr>
            <w:fldChar w:fldCharType="separate"/>
          </w:r>
          <w:r>
            <w:rPr>
              <w:rFonts w:hint="eastAsia" w:ascii="黑体" w:hAnsi="黑体" w:eastAsia="黑体" w:cs="黑体"/>
              <w:sz w:val="21"/>
              <w:szCs w:val="24"/>
            </w:rPr>
            <w:t>八、一般公共预算财政拨款基本支出决算表</w:t>
          </w:r>
          <w:r>
            <w:rPr>
              <w:rFonts w:hint="eastAsia" w:ascii="黑体" w:hAnsi="黑体" w:eastAsia="黑体" w:cs="黑体"/>
              <w:sz w:val="21"/>
              <w:szCs w:val="24"/>
            </w:rPr>
            <w:tab/>
          </w:r>
          <w:r>
            <w:rPr>
              <w:rFonts w:hint="eastAsia" w:ascii="黑体" w:hAnsi="黑体" w:eastAsia="黑体" w:cs="黑体"/>
              <w:sz w:val="21"/>
              <w:szCs w:val="24"/>
            </w:rPr>
            <w:fldChar w:fldCharType="begin"/>
          </w:r>
          <w:r>
            <w:rPr>
              <w:rFonts w:hint="eastAsia" w:ascii="黑体" w:hAnsi="黑体" w:eastAsia="黑体" w:cs="黑体"/>
              <w:sz w:val="21"/>
              <w:szCs w:val="24"/>
            </w:rPr>
            <w:instrText xml:space="preserve"> PAGEREF _Toc31825 \h </w:instrText>
          </w:r>
          <w:r>
            <w:rPr>
              <w:rFonts w:hint="eastAsia" w:ascii="黑体" w:hAnsi="黑体" w:eastAsia="黑体" w:cs="黑体"/>
              <w:sz w:val="21"/>
              <w:szCs w:val="24"/>
            </w:rPr>
            <w:fldChar w:fldCharType="separate"/>
          </w:r>
          <w:r>
            <w:rPr>
              <w:rFonts w:hint="eastAsia" w:ascii="黑体" w:hAnsi="黑体" w:eastAsia="黑体" w:cs="黑体"/>
              <w:sz w:val="21"/>
              <w:szCs w:val="24"/>
            </w:rPr>
            <w:t>24</w:t>
          </w:r>
          <w:r>
            <w:rPr>
              <w:rFonts w:hint="eastAsia" w:ascii="黑体" w:hAnsi="黑体" w:eastAsia="黑体" w:cs="黑体"/>
              <w:sz w:val="21"/>
              <w:szCs w:val="24"/>
            </w:rPr>
            <w:fldChar w:fldCharType="end"/>
          </w:r>
          <w:r>
            <w:rPr>
              <w:rFonts w:hint="eastAsia" w:ascii="黑体" w:hAnsi="黑体" w:eastAsia="黑体" w:cs="黑体"/>
              <w:sz w:val="21"/>
              <w:szCs w:val="24"/>
            </w:rPr>
            <w:fldChar w:fldCharType="end"/>
          </w:r>
        </w:p>
        <w:p w14:paraId="2AB4A747">
          <w:pPr>
            <w:pStyle w:val="12"/>
            <w:tabs>
              <w:tab w:val="right" w:leader="dot" w:pos="8306"/>
              <w:tab w:val="clear" w:pos="8296"/>
            </w:tabs>
            <w:rPr>
              <w:rFonts w:hint="eastAsia" w:ascii="黑体" w:hAnsi="黑体" w:eastAsia="黑体" w:cs="黑体"/>
              <w:sz w:val="21"/>
              <w:szCs w:val="24"/>
            </w:rPr>
          </w:pPr>
          <w:r>
            <w:rPr>
              <w:rFonts w:hint="eastAsia" w:ascii="黑体" w:hAnsi="黑体" w:eastAsia="黑体" w:cs="黑体"/>
              <w:sz w:val="21"/>
              <w:szCs w:val="24"/>
            </w:rPr>
            <w:fldChar w:fldCharType="begin"/>
          </w:r>
          <w:r>
            <w:rPr>
              <w:rFonts w:hint="eastAsia" w:ascii="黑体" w:hAnsi="黑体" w:eastAsia="黑体" w:cs="黑体"/>
              <w:sz w:val="21"/>
              <w:szCs w:val="24"/>
            </w:rPr>
            <w:instrText xml:space="preserve"> HYPERLINK \l _Toc1717 </w:instrText>
          </w:r>
          <w:r>
            <w:rPr>
              <w:rFonts w:hint="eastAsia" w:ascii="黑体" w:hAnsi="黑体" w:eastAsia="黑体" w:cs="黑体"/>
              <w:sz w:val="21"/>
              <w:szCs w:val="24"/>
            </w:rPr>
            <w:fldChar w:fldCharType="separate"/>
          </w:r>
          <w:r>
            <w:rPr>
              <w:rFonts w:hint="eastAsia" w:ascii="黑体" w:hAnsi="黑体" w:eastAsia="黑体" w:cs="黑体"/>
              <w:sz w:val="21"/>
              <w:szCs w:val="24"/>
            </w:rPr>
            <w:t>九、一般公共预算财政拨款项目支出决算表</w:t>
          </w:r>
          <w:r>
            <w:rPr>
              <w:rFonts w:hint="eastAsia" w:ascii="黑体" w:hAnsi="黑体" w:eastAsia="黑体" w:cs="黑体"/>
              <w:sz w:val="21"/>
              <w:szCs w:val="24"/>
            </w:rPr>
            <w:tab/>
          </w:r>
          <w:r>
            <w:rPr>
              <w:rFonts w:hint="eastAsia" w:ascii="黑体" w:hAnsi="黑体" w:eastAsia="黑体" w:cs="黑体"/>
              <w:sz w:val="21"/>
              <w:szCs w:val="24"/>
            </w:rPr>
            <w:fldChar w:fldCharType="begin"/>
          </w:r>
          <w:r>
            <w:rPr>
              <w:rFonts w:hint="eastAsia" w:ascii="黑体" w:hAnsi="黑体" w:eastAsia="黑体" w:cs="黑体"/>
              <w:sz w:val="21"/>
              <w:szCs w:val="24"/>
            </w:rPr>
            <w:instrText xml:space="preserve"> PAGEREF _Toc1717 \h </w:instrText>
          </w:r>
          <w:r>
            <w:rPr>
              <w:rFonts w:hint="eastAsia" w:ascii="黑体" w:hAnsi="黑体" w:eastAsia="黑体" w:cs="黑体"/>
              <w:sz w:val="21"/>
              <w:szCs w:val="24"/>
            </w:rPr>
            <w:fldChar w:fldCharType="separate"/>
          </w:r>
          <w:r>
            <w:rPr>
              <w:rFonts w:hint="eastAsia" w:ascii="黑体" w:hAnsi="黑体" w:eastAsia="黑体" w:cs="黑体"/>
              <w:sz w:val="21"/>
              <w:szCs w:val="24"/>
            </w:rPr>
            <w:t>24</w:t>
          </w:r>
          <w:r>
            <w:rPr>
              <w:rFonts w:hint="eastAsia" w:ascii="黑体" w:hAnsi="黑体" w:eastAsia="黑体" w:cs="黑体"/>
              <w:sz w:val="21"/>
              <w:szCs w:val="24"/>
            </w:rPr>
            <w:fldChar w:fldCharType="end"/>
          </w:r>
          <w:r>
            <w:rPr>
              <w:rFonts w:hint="eastAsia" w:ascii="黑体" w:hAnsi="黑体" w:eastAsia="黑体" w:cs="黑体"/>
              <w:sz w:val="21"/>
              <w:szCs w:val="24"/>
            </w:rPr>
            <w:fldChar w:fldCharType="end"/>
          </w:r>
        </w:p>
        <w:p w14:paraId="4EA46F09">
          <w:pPr>
            <w:pStyle w:val="12"/>
            <w:tabs>
              <w:tab w:val="right" w:leader="dot" w:pos="8306"/>
              <w:tab w:val="clear" w:pos="8296"/>
            </w:tabs>
            <w:rPr>
              <w:rFonts w:hint="eastAsia" w:ascii="黑体" w:hAnsi="黑体" w:eastAsia="黑体" w:cs="黑体"/>
              <w:sz w:val="21"/>
              <w:szCs w:val="24"/>
            </w:rPr>
          </w:pPr>
          <w:r>
            <w:rPr>
              <w:rFonts w:hint="eastAsia" w:ascii="黑体" w:hAnsi="黑体" w:eastAsia="黑体" w:cs="黑体"/>
              <w:sz w:val="21"/>
              <w:szCs w:val="24"/>
            </w:rPr>
            <w:fldChar w:fldCharType="begin"/>
          </w:r>
          <w:r>
            <w:rPr>
              <w:rFonts w:hint="eastAsia" w:ascii="黑体" w:hAnsi="黑体" w:eastAsia="黑体" w:cs="黑体"/>
              <w:sz w:val="21"/>
              <w:szCs w:val="24"/>
            </w:rPr>
            <w:instrText xml:space="preserve"> HYPERLINK \l _Toc16911 </w:instrText>
          </w:r>
          <w:r>
            <w:rPr>
              <w:rFonts w:hint="eastAsia" w:ascii="黑体" w:hAnsi="黑体" w:eastAsia="黑体" w:cs="黑体"/>
              <w:sz w:val="21"/>
              <w:szCs w:val="24"/>
            </w:rPr>
            <w:fldChar w:fldCharType="separate"/>
          </w:r>
          <w:r>
            <w:rPr>
              <w:rFonts w:hint="eastAsia" w:ascii="黑体" w:hAnsi="黑体" w:eastAsia="黑体" w:cs="黑体"/>
              <w:sz w:val="21"/>
              <w:szCs w:val="24"/>
            </w:rPr>
            <w:t>十、政府性基金预算财政拨款收入支出决算表</w:t>
          </w:r>
          <w:r>
            <w:rPr>
              <w:rFonts w:hint="eastAsia" w:ascii="黑体" w:hAnsi="黑体" w:eastAsia="黑体" w:cs="黑体"/>
              <w:sz w:val="21"/>
              <w:szCs w:val="24"/>
            </w:rPr>
            <w:tab/>
          </w:r>
          <w:r>
            <w:rPr>
              <w:rFonts w:hint="eastAsia" w:ascii="黑体" w:hAnsi="黑体" w:eastAsia="黑体" w:cs="黑体"/>
              <w:sz w:val="21"/>
              <w:szCs w:val="24"/>
            </w:rPr>
            <w:fldChar w:fldCharType="begin"/>
          </w:r>
          <w:r>
            <w:rPr>
              <w:rFonts w:hint="eastAsia" w:ascii="黑体" w:hAnsi="黑体" w:eastAsia="黑体" w:cs="黑体"/>
              <w:sz w:val="21"/>
              <w:szCs w:val="24"/>
            </w:rPr>
            <w:instrText xml:space="preserve"> PAGEREF _Toc16911 \h </w:instrText>
          </w:r>
          <w:r>
            <w:rPr>
              <w:rFonts w:hint="eastAsia" w:ascii="黑体" w:hAnsi="黑体" w:eastAsia="黑体" w:cs="黑体"/>
              <w:sz w:val="21"/>
              <w:szCs w:val="24"/>
            </w:rPr>
            <w:fldChar w:fldCharType="separate"/>
          </w:r>
          <w:r>
            <w:rPr>
              <w:rFonts w:hint="eastAsia" w:ascii="黑体" w:hAnsi="黑体" w:eastAsia="黑体" w:cs="黑体"/>
              <w:sz w:val="21"/>
              <w:szCs w:val="24"/>
            </w:rPr>
            <w:t>24</w:t>
          </w:r>
          <w:r>
            <w:rPr>
              <w:rFonts w:hint="eastAsia" w:ascii="黑体" w:hAnsi="黑体" w:eastAsia="黑体" w:cs="黑体"/>
              <w:sz w:val="21"/>
              <w:szCs w:val="24"/>
            </w:rPr>
            <w:fldChar w:fldCharType="end"/>
          </w:r>
          <w:r>
            <w:rPr>
              <w:rFonts w:hint="eastAsia" w:ascii="黑体" w:hAnsi="黑体" w:eastAsia="黑体" w:cs="黑体"/>
              <w:sz w:val="21"/>
              <w:szCs w:val="24"/>
            </w:rPr>
            <w:fldChar w:fldCharType="end"/>
          </w:r>
        </w:p>
        <w:p w14:paraId="5EF794D8">
          <w:pPr>
            <w:pStyle w:val="12"/>
            <w:tabs>
              <w:tab w:val="right" w:leader="dot" w:pos="8306"/>
              <w:tab w:val="clear" w:pos="8296"/>
            </w:tabs>
            <w:rPr>
              <w:rFonts w:hint="eastAsia" w:ascii="黑体" w:hAnsi="黑体" w:eastAsia="黑体" w:cs="黑体"/>
              <w:sz w:val="21"/>
              <w:szCs w:val="24"/>
            </w:rPr>
          </w:pPr>
          <w:r>
            <w:rPr>
              <w:rFonts w:hint="eastAsia" w:ascii="黑体" w:hAnsi="黑体" w:eastAsia="黑体" w:cs="黑体"/>
              <w:sz w:val="21"/>
              <w:szCs w:val="24"/>
            </w:rPr>
            <w:fldChar w:fldCharType="begin"/>
          </w:r>
          <w:r>
            <w:rPr>
              <w:rFonts w:hint="eastAsia" w:ascii="黑体" w:hAnsi="黑体" w:eastAsia="黑体" w:cs="黑体"/>
              <w:sz w:val="21"/>
              <w:szCs w:val="24"/>
            </w:rPr>
            <w:instrText xml:space="preserve"> HYPERLINK \l _Toc16931 </w:instrText>
          </w:r>
          <w:r>
            <w:rPr>
              <w:rFonts w:hint="eastAsia" w:ascii="黑体" w:hAnsi="黑体" w:eastAsia="黑体" w:cs="黑体"/>
              <w:sz w:val="21"/>
              <w:szCs w:val="24"/>
            </w:rPr>
            <w:fldChar w:fldCharType="separate"/>
          </w:r>
          <w:r>
            <w:rPr>
              <w:rFonts w:hint="eastAsia" w:ascii="黑体" w:hAnsi="黑体" w:eastAsia="黑体" w:cs="黑体"/>
              <w:sz w:val="21"/>
              <w:szCs w:val="24"/>
            </w:rPr>
            <w:t>十一、国有资本经营预算</w:t>
          </w:r>
          <w:r>
            <w:rPr>
              <w:rFonts w:hint="eastAsia" w:ascii="黑体" w:hAnsi="黑体" w:eastAsia="黑体" w:cs="黑体"/>
              <w:sz w:val="21"/>
              <w:szCs w:val="24"/>
              <w:lang w:eastAsia="zh-CN"/>
            </w:rPr>
            <w:t>财政拨款收入</w:t>
          </w:r>
          <w:r>
            <w:rPr>
              <w:rFonts w:hint="eastAsia" w:ascii="黑体" w:hAnsi="黑体" w:eastAsia="黑体" w:cs="黑体"/>
              <w:sz w:val="21"/>
              <w:szCs w:val="24"/>
            </w:rPr>
            <w:t>支出决算表</w:t>
          </w:r>
          <w:r>
            <w:rPr>
              <w:rFonts w:hint="eastAsia" w:ascii="黑体" w:hAnsi="黑体" w:eastAsia="黑体" w:cs="黑体"/>
              <w:sz w:val="21"/>
              <w:szCs w:val="24"/>
            </w:rPr>
            <w:tab/>
          </w:r>
          <w:r>
            <w:rPr>
              <w:rFonts w:hint="eastAsia" w:ascii="黑体" w:hAnsi="黑体" w:eastAsia="黑体" w:cs="黑体"/>
              <w:sz w:val="21"/>
              <w:szCs w:val="24"/>
            </w:rPr>
            <w:fldChar w:fldCharType="begin"/>
          </w:r>
          <w:r>
            <w:rPr>
              <w:rFonts w:hint="eastAsia" w:ascii="黑体" w:hAnsi="黑体" w:eastAsia="黑体" w:cs="黑体"/>
              <w:sz w:val="21"/>
              <w:szCs w:val="24"/>
            </w:rPr>
            <w:instrText xml:space="preserve"> PAGEREF _Toc16931 \h </w:instrText>
          </w:r>
          <w:r>
            <w:rPr>
              <w:rFonts w:hint="eastAsia" w:ascii="黑体" w:hAnsi="黑体" w:eastAsia="黑体" w:cs="黑体"/>
              <w:sz w:val="21"/>
              <w:szCs w:val="24"/>
            </w:rPr>
            <w:fldChar w:fldCharType="separate"/>
          </w:r>
          <w:r>
            <w:rPr>
              <w:rFonts w:hint="eastAsia" w:ascii="黑体" w:hAnsi="黑体" w:eastAsia="黑体" w:cs="黑体"/>
              <w:sz w:val="21"/>
              <w:szCs w:val="24"/>
            </w:rPr>
            <w:t>24</w:t>
          </w:r>
          <w:r>
            <w:rPr>
              <w:rFonts w:hint="eastAsia" w:ascii="黑体" w:hAnsi="黑体" w:eastAsia="黑体" w:cs="黑体"/>
              <w:sz w:val="21"/>
              <w:szCs w:val="24"/>
            </w:rPr>
            <w:fldChar w:fldCharType="end"/>
          </w:r>
          <w:r>
            <w:rPr>
              <w:rFonts w:hint="eastAsia" w:ascii="黑体" w:hAnsi="黑体" w:eastAsia="黑体" w:cs="黑体"/>
              <w:sz w:val="21"/>
              <w:szCs w:val="24"/>
            </w:rPr>
            <w:fldChar w:fldCharType="end"/>
          </w:r>
        </w:p>
        <w:p w14:paraId="1E77015B">
          <w:pPr>
            <w:pStyle w:val="12"/>
            <w:tabs>
              <w:tab w:val="right" w:leader="dot" w:pos="8306"/>
              <w:tab w:val="clear" w:pos="8296"/>
            </w:tabs>
            <w:rPr>
              <w:rFonts w:hint="eastAsia" w:ascii="黑体" w:hAnsi="黑体" w:eastAsia="黑体" w:cs="黑体"/>
              <w:sz w:val="21"/>
              <w:szCs w:val="24"/>
            </w:rPr>
          </w:pPr>
          <w:r>
            <w:rPr>
              <w:rFonts w:hint="eastAsia" w:ascii="黑体" w:hAnsi="黑体" w:eastAsia="黑体" w:cs="黑体"/>
              <w:sz w:val="21"/>
              <w:szCs w:val="24"/>
            </w:rPr>
            <w:fldChar w:fldCharType="begin"/>
          </w:r>
          <w:r>
            <w:rPr>
              <w:rFonts w:hint="eastAsia" w:ascii="黑体" w:hAnsi="黑体" w:eastAsia="黑体" w:cs="黑体"/>
              <w:sz w:val="21"/>
              <w:szCs w:val="24"/>
            </w:rPr>
            <w:instrText xml:space="preserve"> HYPERLINK \l _Toc9839 </w:instrText>
          </w:r>
          <w:r>
            <w:rPr>
              <w:rFonts w:hint="eastAsia" w:ascii="黑体" w:hAnsi="黑体" w:eastAsia="黑体" w:cs="黑体"/>
              <w:sz w:val="21"/>
              <w:szCs w:val="24"/>
            </w:rPr>
            <w:fldChar w:fldCharType="separate"/>
          </w:r>
          <w:r>
            <w:rPr>
              <w:rFonts w:hint="eastAsia" w:ascii="黑体" w:hAnsi="黑体" w:eastAsia="黑体" w:cs="黑体"/>
              <w:sz w:val="21"/>
              <w:szCs w:val="24"/>
            </w:rPr>
            <w:t>十二、</w:t>
          </w:r>
          <w:r>
            <w:rPr>
              <w:rFonts w:hint="eastAsia" w:ascii="黑体" w:hAnsi="黑体" w:eastAsia="黑体" w:cs="黑体"/>
              <w:sz w:val="21"/>
              <w:szCs w:val="24"/>
              <w:lang w:eastAsia="zh-CN"/>
            </w:rPr>
            <w:t>国有资本经营预算财政拨款支出决算表</w:t>
          </w:r>
          <w:r>
            <w:rPr>
              <w:rFonts w:hint="eastAsia" w:ascii="黑体" w:hAnsi="黑体" w:eastAsia="黑体" w:cs="黑体"/>
              <w:sz w:val="21"/>
              <w:szCs w:val="24"/>
            </w:rPr>
            <w:tab/>
          </w:r>
          <w:r>
            <w:rPr>
              <w:rFonts w:hint="eastAsia" w:ascii="黑体" w:hAnsi="黑体" w:eastAsia="黑体" w:cs="黑体"/>
              <w:sz w:val="21"/>
              <w:szCs w:val="24"/>
            </w:rPr>
            <w:fldChar w:fldCharType="begin"/>
          </w:r>
          <w:r>
            <w:rPr>
              <w:rFonts w:hint="eastAsia" w:ascii="黑体" w:hAnsi="黑体" w:eastAsia="黑体" w:cs="黑体"/>
              <w:sz w:val="21"/>
              <w:szCs w:val="24"/>
            </w:rPr>
            <w:instrText xml:space="preserve"> PAGEREF _Toc9839 \h </w:instrText>
          </w:r>
          <w:r>
            <w:rPr>
              <w:rFonts w:hint="eastAsia" w:ascii="黑体" w:hAnsi="黑体" w:eastAsia="黑体" w:cs="黑体"/>
              <w:sz w:val="21"/>
              <w:szCs w:val="24"/>
            </w:rPr>
            <w:fldChar w:fldCharType="separate"/>
          </w:r>
          <w:r>
            <w:rPr>
              <w:rFonts w:hint="eastAsia" w:ascii="黑体" w:hAnsi="黑体" w:eastAsia="黑体" w:cs="黑体"/>
              <w:sz w:val="21"/>
              <w:szCs w:val="24"/>
            </w:rPr>
            <w:t>24</w:t>
          </w:r>
          <w:r>
            <w:rPr>
              <w:rFonts w:hint="eastAsia" w:ascii="黑体" w:hAnsi="黑体" w:eastAsia="黑体" w:cs="黑体"/>
              <w:sz w:val="21"/>
              <w:szCs w:val="24"/>
            </w:rPr>
            <w:fldChar w:fldCharType="end"/>
          </w:r>
          <w:r>
            <w:rPr>
              <w:rFonts w:hint="eastAsia" w:ascii="黑体" w:hAnsi="黑体" w:eastAsia="黑体" w:cs="黑体"/>
              <w:sz w:val="21"/>
              <w:szCs w:val="24"/>
            </w:rPr>
            <w:fldChar w:fldCharType="end"/>
          </w:r>
        </w:p>
        <w:p w14:paraId="48568D30">
          <w:pPr>
            <w:pStyle w:val="12"/>
            <w:tabs>
              <w:tab w:val="right" w:leader="dot" w:pos="8306"/>
              <w:tab w:val="clear" w:pos="8296"/>
            </w:tabs>
            <w:rPr>
              <w:sz w:val="21"/>
              <w:szCs w:val="24"/>
            </w:rPr>
          </w:pPr>
          <w:r>
            <w:rPr>
              <w:rFonts w:hint="eastAsia" w:ascii="黑体" w:hAnsi="黑体" w:eastAsia="黑体" w:cs="黑体"/>
              <w:sz w:val="21"/>
              <w:szCs w:val="24"/>
            </w:rPr>
            <w:fldChar w:fldCharType="begin"/>
          </w:r>
          <w:r>
            <w:rPr>
              <w:rFonts w:hint="eastAsia" w:ascii="黑体" w:hAnsi="黑体" w:eastAsia="黑体" w:cs="黑体"/>
              <w:sz w:val="21"/>
              <w:szCs w:val="24"/>
            </w:rPr>
            <w:instrText xml:space="preserve"> HYPERLINK \l _Toc6941 </w:instrText>
          </w:r>
          <w:r>
            <w:rPr>
              <w:rFonts w:hint="eastAsia" w:ascii="黑体" w:hAnsi="黑体" w:eastAsia="黑体" w:cs="黑体"/>
              <w:sz w:val="21"/>
              <w:szCs w:val="24"/>
            </w:rPr>
            <w:fldChar w:fldCharType="separate"/>
          </w:r>
          <w:r>
            <w:rPr>
              <w:rFonts w:hint="eastAsia" w:ascii="黑体" w:hAnsi="黑体" w:eastAsia="黑体" w:cs="黑体"/>
              <w:sz w:val="21"/>
              <w:szCs w:val="24"/>
            </w:rPr>
            <w:t>十三、</w:t>
          </w:r>
          <w:r>
            <w:rPr>
              <w:rFonts w:hint="eastAsia" w:ascii="黑体" w:hAnsi="黑体" w:eastAsia="黑体" w:cs="黑体"/>
              <w:sz w:val="21"/>
              <w:szCs w:val="24"/>
              <w:lang w:eastAsia="zh-CN"/>
            </w:rPr>
            <w:t>财政拨款“三公”经费支出决算表</w:t>
          </w:r>
          <w:r>
            <w:rPr>
              <w:rFonts w:hint="eastAsia" w:ascii="黑体" w:hAnsi="黑体" w:eastAsia="黑体" w:cs="黑体"/>
              <w:sz w:val="21"/>
              <w:szCs w:val="24"/>
            </w:rPr>
            <w:tab/>
          </w:r>
          <w:r>
            <w:rPr>
              <w:rFonts w:hint="eastAsia" w:ascii="黑体" w:hAnsi="黑体" w:eastAsia="黑体" w:cs="黑体"/>
              <w:sz w:val="21"/>
              <w:szCs w:val="24"/>
            </w:rPr>
            <w:fldChar w:fldCharType="begin"/>
          </w:r>
          <w:r>
            <w:rPr>
              <w:rFonts w:hint="eastAsia" w:ascii="黑体" w:hAnsi="黑体" w:eastAsia="黑体" w:cs="黑体"/>
              <w:sz w:val="21"/>
              <w:szCs w:val="24"/>
            </w:rPr>
            <w:instrText xml:space="preserve"> PAGEREF _Toc6941 \h </w:instrText>
          </w:r>
          <w:r>
            <w:rPr>
              <w:rFonts w:hint="eastAsia" w:ascii="黑体" w:hAnsi="黑体" w:eastAsia="黑体" w:cs="黑体"/>
              <w:sz w:val="21"/>
              <w:szCs w:val="24"/>
            </w:rPr>
            <w:fldChar w:fldCharType="separate"/>
          </w:r>
          <w:r>
            <w:rPr>
              <w:rFonts w:hint="eastAsia" w:ascii="黑体" w:hAnsi="黑体" w:eastAsia="黑体" w:cs="黑体"/>
              <w:sz w:val="21"/>
              <w:szCs w:val="24"/>
            </w:rPr>
            <w:t>24</w:t>
          </w:r>
          <w:r>
            <w:rPr>
              <w:rFonts w:hint="eastAsia" w:ascii="黑体" w:hAnsi="黑体" w:eastAsia="黑体" w:cs="黑体"/>
              <w:sz w:val="21"/>
              <w:szCs w:val="24"/>
            </w:rPr>
            <w:fldChar w:fldCharType="end"/>
          </w:r>
          <w:r>
            <w:rPr>
              <w:rFonts w:hint="eastAsia" w:ascii="黑体" w:hAnsi="黑体" w:eastAsia="黑体" w:cs="黑体"/>
              <w:sz w:val="21"/>
              <w:szCs w:val="24"/>
            </w:rPr>
            <w:fldChar w:fldCharType="end"/>
          </w:r>
        </w:p>
        <w:p w14:paraId="2E75E0B4">
          <w:pPr>
            <w:rPr>
              <w:sz w:val="20"/>
              <w:szCs w:val="20"/>
            </w:rPr>
          </w:pPr>
          <w:r>
            <w:rPr>
              <w:sz w:val="20"/>
              <w:szCs w:val="20"/>
            </w:rPr>
            <w:fldChar w:fldCharType="end"/>
          </w:r>
        </w:p>
      </w:sdtContent>
    </w:sdt>
    <w:p w14:paraId="1A5D97FB"/>
    <w:p w14:paraId="2084C56B">
      <w:pPr>
        <w:widowControl/>
        <w:spacing w:line="440" w:lineRule="exact"/>
        <w:jc w:val="left"/>
        <w:rPr>
          <w:rFonts w:ascii="仿宋" w:hAnsi="仿宋" w:eastAsia="仿宋"/>
          <w:bCs/>
          <w:color w:val="auto"/>
          <w:kern w:val="44"/>
          <w:sz w:val="24"/>
          <w:highlight w:val="none"/>
        </w:rPr>
      </w:pPr>
      <w:r>
        <w:rPr>
          <w:rFonts w:ascii="仿宋" w:hAnsi="仿宋" w:eastAsia="仿宋"/>
          <w:b/>
          <w:color w:val="auto"/>
          <w:sz w:val="24"/>
          <w:highlight w:val="none"/>
        </w:rPr>
        <w:br w:type="page"/>
      </w:r>
    </w:p>
    <w:p w14:paraId="77860B75">
      <w:pPr>
        <w:pStyle w:val="3"/>
        <w:jc w:val="center"/>
        <w:rPr>
          <w:rFonts w:ascii="黑体" w:eastAsia="黑体"/>
          <w:color w:val="auto"/>
          <w:sz w:val="32"/>
          <w:szCs w:val="32"/>
          <w:highlight w:val="none"/>
        </w:rPr>
      </w:pPr>
      <w:bookmarkStart w:id="16" w:name="_Toc31678"/>
      <w:r>
        <w:rPr>
          <w:rFonts w:hint="eastAsia" w:ascii="黑体" w:hAnsi="黑体" w:eastAsia="黑体"/>
          <w:b w:val="0"/>
          <w:color w:val="auto"/>
          <w:highlight w:val="none"/>
        </w:rPr>
        <w:t xml:space="preserve">第一部分 </w:t>
      </w:r>
      <w:r>
        <w:rPr>
          <w:rFonts w:hint="eastAsia" w:ascii="黑体" w:hAnsi="黑体" w:eastAsia="黑体"/>
          <w:b w:val="0"/>
          <w:color w:val="auto"/>
          <w:highlight w:val="none"/>
          <w:lang w:eastAsia="zh-CN"/>
        </w:rPr>
        <w:t>单位</w:t>
      </w:r>
      <w:r>
        <w:rPr>
          <w:rStyle w:val="28"/>
          <w:rFonts w:hint="eastAsia" w:ascii="黑体" w:hAnsi="黑体" w:eastAsia="黑体"/>
          <w:b w:val="0"/>
          <w:bCs w:val="0"/>
          <w:color w:val="auto"/>
          <w:highlight w:val="none"/>
        </w:rPr>
        <w:t>概况</w:t>
      </w:r>
      <w:bookmarkEnd w:id="14"/>
      <w:bookmarkEnd w:id="15"/>
      <w:bookmarkEnd w:id="16"/>
    </w:p>
    <w:p w14:paraId="354CCF1F">
      <w:pPr>
        <w:pStyle w:val="4"/>
        <w:pageBreakBefore w:val="0"/>
        <w:widowControl w:val="0"/>
        <w:kinsoku/>
        <w:wordWrap/>
        <w:overflowPunct/>
        <w:topLinePunct w:val="0"/>
        <w:autoSpaceDE/>
        <w:autoSpaceDN/>
        <w:bidi w:val="0"/>
        <w:adjustRightInd/>
        <w:snapToGrid/>
        <w:spacing w:line="520" w:lineRule="exact"/>
        <w:ind w:firstLine="640" w:firstLineChars="200"/>
        <w:textAlignment w:val="auto"/>
        <w:rPr>
          <w:rStyle w:val="29"/>
          <w:rFonts w:hint="eastAsia" w:ascii="仿宋" w:hAnsi="仿宋" w:eastAsia="黑体"/>
          <w:b w:val="0"/>
          <w:bCs w:val="0"/>
          <w:color w:val="auto"/>
          <w:highlight w:val="none"/>
          <w:lang w:eastAsia="zh-CN"/>
        </w:rPr>
      </w:pPr>
      <w:bookmarkStart w:id="17" w:name="_Toc15377197"/>
      <w:bookmarkStart w:id="18" w:name="_Toc15396600"/>
      <w:bookmarkStart w:id="19" w:name="_Toc3145"/>
      <w:r>
        <w:rPr>
          <w:rFonts w:hint="eastAsia" w:ascii="黑体" w:hAnsi="黑体" w:eastAsia="黑体"/>
          <w:b w:val="0"/>
          <w:color w:val="auto"/>
          <w:highlight w:val="none"/>
        </w:rPr>
        <w:t>一、</w:t>
      </w:r>
      <w:bookmarkEnd w:id="17"/>
      <w:bookmarkEnd w:id="18"/>
      <w:r>
        <w:rPr>
          <w:rFonts w:hint="eastAsia" w:ascii="黑体" w:hAnsi="黑体" w:eastAsia="黑体"/>
          <w:b w:val="0"/>
          <w:color w:val="auto"/>
          <w:highlight w:val="none"/>
          <w:lang w:eastAsia="zh-CN"/>
        </w:rPr>
        <w:t>单位职责</w:t>
      </w:r>
      <w:bookmarkEnd w:id="19"/>
    </w:p>
    <w:p w14:paraId="2A6633D5">
      <w:pPr>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lang w:eastAsia="zh-CN"/>
        </w:rPr>
      </w:pPr>
      <w:bookmarkStart w:id="20" w:name="_Toc15396601"/>
      <w:bookmarkStart w:id="21" w:name="_Toc15377200"/>
      <w:r>
        <w:rPr>
          <w:rFonts w:hint="eastAsia" w:ascii="仿宋_GB2312" w:hAnsi="仿宋_GB2312" w:eastAsia="仿宋_GB2312" w:cs="仿宋_GB2312"/>
          <w:color w:val="auto"/>
          <w:sz w:val="32"/>
          <w:szCs w:val="32"/>
          <w:lang w:eastAsia="zh-CN"/>
        </w:rPr>
        <w:t xml:space="preserve">1.贯彻执行国家、省、市有关档案工作的法律、法规和方针政策。      </w:t>
      </w:r>
    </w:p>
    <w:p w14:paraId="60E2D85F">
      <w:pPr>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 xml:space="preserve">2.拟定全县档案发展规划、年度计划和规范性文件并组织实施。        </w:t>
      </w:r>
    </w:p>
    <w:p w14:paraId="505DC6CA">
      <w:pPr>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 xml:space="preserve">3.负责收集和接收保管全县范围内对国家和社会有保存价值的档案，承担全县自然、政治、社会、经济、文化等方面历史与现状资料的收集、整理、抢救、保护和编纂、出版工作。  </w:t>
      </w:r>
    </w:p>
    <w:p w14:paraId="357F5FD8">
      <w:pPr>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 xml:space="preserve">4.按照规定整理和保管档案、资料，承担县档案馆馆藏档案、资料的安全责任。        </w:t>
      </w:r>
    </w:p>
    <w:p w14:paraId="47ED0CBF">
      <w:pPr>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 xml:space="preserve">5.按规定组织开发利用档案；按规定发布档案信息，为社会利用档案提供服务；收集政府公开文件，依法为公民、法人或者其他组织提供政府公开信息服务；配合有关部门开展相关社会教育服务工作。        </w:t>
      </w:r>
    </w:p>
    <w:p w14:paraId="1A98766F">
      <w:pPr>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 xml:space="preserve">6.拟定全县档案信息化和数字档案馆建设规划，管理档案信息资源库，负责全县电子文件档案的接收和管理工作。   </w:t>
      </w:r>
    </w:p>
    <w:p w14:paraId="606657DA">
      <w:pPr>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 xml:space="preserve">7.承担职责范围内的安全生产和职业健康、生态环境保护等工作。      </w:t>
      </w:r>
    </w:p>
    <w:p w14:paraId="0A570518">
      <w:pPr>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lang w:eastAsia="zh-CN"/>
        </w:rPr>
      </w:pPr>
      <w:bookmarkStart w:id="22" w:name="_Toc16899"/>
      <w:r>
        <w:rPr>
          <w:rFonts w:hint="eastAsia" w:ascii="仿宋_GB2312" w:hAnsi="仿宋_GB2312" w:eastAsia="仿宋_GB2312" w:cs="仿宋_GB2312"/>
          <w:color w:val="auto"/>
          <w:sz w:val="32"/>
          <w:szCs w:val="32"/>
          <w:lang w:eastAsia="zh-CN"/>
        </w:rPr>
        <w:t>8.承办县委、县政府和上级业务部门交办的其他事项。</w:t>
      </w:r>
      <w:bookmarkEnd w:id="22"/>
    </w:p>
    <w:p w14:paraId="6D6F4556">
      <w:pPr>
        <w:pStyle w:val="4"/>
        <w:pageBreakBefore w:val="0"/>
        <w:widowControl w:val="0"/>
        <w:kinsoku/>
        <w:wordWrap/>
        <w:overflowPunct/>
        <w:topLinePunct w:val="0"/>
        <w:autoSpaceDE/>
        <w:autoSpaceDN/>
        <w:bidi w:val="0"/>
        <w:adjustRightInd/>
        <w:snapToGrid/>
        <w:spacing w:line="520" w:lineRule="exact"/>
        <w:ind w:firstLine="640" w:firstLineChars="200"/>
        <w:textAlignment w:val="auto"/>
        <w:rPr>
          <w:rStyle w:val="29"/>
          <w:b w:val="0"/>
          <w:bCs w:val="0"/>
          <w:color w:val="auto"/>
          <w:highlight w:val="none"/>
        </w:rPr>
      </w:pPr>
      <w:bookmarkStart w:id="23" w:name="_Toc15216"/>
      <w:r>
        <w:rPr>
          <w:rFonts w:hint="eastAsia" w:ascii="黑体" w:eastAsia="黑体"/>
          <w:b w:val="0"/>
          <w:color w:val="auto"/>
          <w:highlight w:val="none"/>
        </w:rPr>
        <w:t>二、</w:t>
      </w:r>
      <w:r>
        <w:rPr>
          <w:rFonts w:hint="eastAsia" w:ascii="黑体" w:hAnsi="黑体" w:eastAsia="黑体"/>
          <w:b w:val="0"/>
          <w:color w:val="auto"/>
          <w:highlight w:val="none"/>
        </w:rPr>
        <w:t>机</w:t>
      </w:r>
      <w:r>
        <w:rPr>
          <w:rStyle w:val="29"/>
          <w:rFonts w:hint="eastAsia" w:ascii="黑体" w:hAnsi="黑体" w:eastAsia="黑体"/>
          <w:b w:val="0"/>
          <w:bCs w:val="0"/>
          <w:color w:val="auto"/>
          <w:highlight w:val="none"/>
        </w:rPr>
        <w:t>构设置</w:t>
      </w:r>
      <w:bookmarkEnd w:id="20"/>
      <w:bookmarkEnd w:id="21"/>
      <w:bookmarkEnd w:id="23"/>
    </w:p>
    <w:p w14:paraId="14D42406">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olor w:val="auto"/>
          <w:sz w:val="32"/>
          <w:szCs w:val="32"/>
          <w:highlight w:val="none"/>
        </w:rPr>
      </w:pPr>
      <w:r>
        <w:rPr>
          <w:rFonts w:hint="eastAsia" w:ascii="仿宋" w:hAnsi="仿宋" w:eastAsia="仿宋"/>
          <w:color w:val="auto"/>
          <w:sz w:val="32"/>
          <w:szCs w:val="32"/>
          <w:highlight w:val="none"/>
          <w:lang w:eastAsia="zh-CN"/>
        </w:rPr>
        <w:t>县档案馆属县委直属参公事业单位，</w:t>
      </w:r>
      <w:r>
        <w:rPr>
          <w:rFonts w:hint="eastAsia" w:ascii="仿宋" w:hAnsi="仿宋" w:eastAsia="仿宋"/>
          <w:color w:val="auto"/>
          <w:sz w:val="32"/>
          <w:szCs w:val="32"/>
          <w:highlight w:val="none"/>
        </w:rPr>
        <w:t>下属二级</w:t>
      </w:r>
      <w:r>
        <w:rPr>
          <w:rFonts w:hint="eastAsia" w:ascii="仿宋" w:hAnsi="仿宋" w:eastAsia="仿宋"/>
          <w:color w:val="auto"/>
          <w:sz w:val="32"/>
          <w:szCs w:val="32"/>
          <w:highlight w:val="none"/>
          <w:lang w:eastAsia="zh-CN"/>
        </w:rPr>
        <w:t>预算</w:t>
      </w:r>
      <w:r>
        <w:rPr>
          <w:rFonts w:hint="eastAsia" w:ascii="仿宋" w:hAnsi="仿宋" w:eastAsia="仿宋"/>
          <w:color w:val="auto"/>
          <w:sz w:val="32"/>
          <w:szCs w:val="32"/>
          <w:highlight w:val="none"/>
        </w:rPr>
        <w:t>单位</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个，其中行政单位</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个，参照公务员法管理的事业单位</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个，其他事业单位</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个。</w:t>
      </w:r>
    </w:p>
    <w:p w14:paraId="7D7662B1">
      <w:pPr>
        <w:pStyle w:val="6"/>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color w:val="auto"/>
        </w:rPr>
      </w:pPr>
      <w:r>
        <w:rPr>
          <w:rFonts w:hint="eastAsia" w:hAnsi="仿宋_GB2312" w:cs="仿宋_GB2312"/>
          <w:color w:val="auto"/>
          <w:sz w:val="32"/>
          <w:szCs w:val="32"/>
          <w:lang w:eastAsia="zh-CN"/>
        </w:rPr>
        <w:t>县档案馆内设管理利用股、信息化和编研股三个。人员编制</w:t>
      </w:r>
      <w:r>
        <w:rPr>
          <w:rFonts w:hint="eastAsia" w:hAnsi="仿宋_GB2312" w:cs="仿宋_GB2312"/>
          <w:color w:val="auto"/>
          <w:sz w:val="32"/>
          <w:szCs w:val="32"/>
          <w:lang w:val="en-US" w:eastAsia="zh-CN"/>
        </w:rPr>
        <w:t>7</w:t>
      </w:r>
      <w:r>
        <w:rPr>
          <w:rFonts w:hint="eastAsia" w:hAnsi="仿宋_GB2312" w:cs="仿宋_GB2312"/>
          <w:color w:val="auto"/>
          <w:sz w:val="32"/>
          <w:szCs w:val="32"/>
          <w:lang w:eastAsia="zh-CN"/>
        </w:rPr>
        <w:t>名，实际在职</w:t>
      </w:r>
      <w:r>
        <w:rPr>
          <w:rFonts w:hint="eastAsia" w:hAnsi="仿宋_GB2312" w:cs="仿宋_GB2312"/>
          <w:color w:val="auto"/>
          <w:sz w:val="32"/>
          <w:szCs w:val="32"/>
          <w:lang w:val="en-US" w:eastAsia="zh-CN"/>
        </w:rPr>
        <w:t>8</w:t>
      </w:r>
      <w:r>
        <w:rPr>
          <w:rFonts w:hint="eastAsia" w:hAnsi="仿宋_GB2312" w:cs="仿宋_GB2312"/>
          <w:color w:val="auto"/>
          <w:sz w:val="32"/>
          <w:szCs w:val="32"/>
          <w:lang w:eastAsia="zh-CN"/>
        </w:rPr>
        <w:t>名，其中领导</w:t>
      </w:r>
      <w:r>
        <w:rPr>
          <w:rFonts w:hint="eastAsia" w:hAnsi="仿宋_GB2312" w:cs="仿宋_GB2312"/>
          <w:color w:val="auto"/>
          <w:sz w:val="32"/>
          <w:szCs w:val="32"/>
          <w:lang w:val="en-US" w:eastAsia="zh-CN"/>
        </w:rPr>
        <w:t>1</w:t>
      </w:r>
      <w:r>
        <w:rPr>
          <w:rFonts w:hint="eastAsia" w:hAnsi="仿宋_GB2312" w:cs="仿宋_GB2312"/>
          <w:color w:val="auto"/>
          <w:sz w:val="32"/>
          <w:szCs w:val="32"/>
          <w:lang w:eastAsia="zh-CN"/>
        </w:rPr>
        <w:t>名，中层干部3名，工作人员</w:t>
      </w:r>
      <w:r>
        <w:rPr>
          <w:rFonts w:hint="eastAsia" w:hAnsi="仿宋_GB2312" w:cs="仿宋_GB2312"/>
          <w:color w:val="auto"/>
          <w:sz w:val="32"/>
          <w:szCs w:val="32"/>
          <w:lang w:val="en-US" w:eastAsia="zh-CN"/>
        </w:rPr>
        <w:t>4</w:t>
      </w:r>
      <w:r>
        <w:rPr>
          <w:rFonts w:hint="eastAsia" w:hAnsi="仿宋_GB2312" w:cs="仿宋_GB2312"/>
          <w:color w:val="auto"/>
          <w:sz w:val="32"/>
          <w:szCs w:val="32"/>
          <w:lang w:eastAsia="zh-CN"/>
        </w:rPr>
        <w:t>名，临时人员1名。</w:t>
      </w:r>
    </w:p>
    <w:p w14:paraId="120ED4FA">
      <w:pPr>
        <w:widowControl/>
        <w:jc w:val="left"/>
        <w:rPr>
          <w:rFonts w:ascii="仿宋" w:hAnsi="仿宋" w:eastAsia="仿宋"/>
          <w:color w:val="auto"/>
          <w:kern w:val="0"/>
          <w:sz w:val="32"/>
          <w:szCs w:val="32"/>
          <w:highlight w:val="none"/>
        </w:rPr>
      </w:pPr>
      <w:r>
        <w:rPr>
          <w:rFonts w:ascii="仿宋" w:hAnsi="仿宋" w:eastAsia="仿宋"/>
          <w:color w:val="auto"/>
          <w:sz w:val="32"/>
          <w:szCs w:val="32"/>
          <w:highlight w:val="none"/>
        </w:rPr>
        <w:br w:type="page"/>
      </w:r>
    </w:p>
    <w:p w14:paraId="5312BE74">
      <w:pPr>
        <w:pStyle w:val="3"/>
        <w:ind w:right="440"/>
        <w:jc w:val="center"/>
        <w:rPr>
          <w:rStyle w:val="28"/>
          <w:rFonts w:ascii="黑体" w:hAnsi="黑体" w:eastAsia="黑体"/>
          <w:b w:val="0"/>
          <w:bCs/>
          <w:color w:val="auto"/>
          <w:highlight w:val="none"/>
        </w:rPr>
      </w:pPr>
      <w:bookmarkStart w:id="24" w:name="_Toc15396602"/>
      <w:bookmarkStart w:id="25" w:name="_Toc15377204"/>
      <w:bookmarkStart w:id="26" w:name="_Toc19786"/>
      <w:r>
        <w:rPr>
          <w:rFonts w:hint="eastAsia" w:ascii="黑体" w:hAnsi="黑体" w:eastAsia="黑体"/>
          <w:b w:val="0"/>
          <w:bCs/>
          <w:color w:val="auto"/>
          <w:highlight w:val="none"/>
        </w:rPr>
        <w:t xml:space="preserve">第二部分 </w:t>
      </w:r>
      <w:r>
        <w:rPr>
          <w:rFonts w:hint="eastAsia" w:ascii="黑体" w:hAnsi="黑体" w:eastAsia="黑体"/>
          <w:b w:val="0"/>
          <w:bCs/>
          <w:color w:val="auto"/>
          <w:highlight w:val="none"/>
          <w:lang w:val="en-US" w:eastAsia="zh-CN"/>
        </w:rPr>
        <w:t>2024年度单位</w:t>
      </w:r>
      <w:r>
        <w:rPr>
          <w:rStyle w:val="28"/>
          <w:rFonts w:hint="eastAsia" w:ascii="黑体" w:hAnsi="黑体" w:eastAsia="黑体"/>
          <w:b w:val="0"/>
          <w:bCs/>
          <w:color w:val="auto"/>
          <w:highlight w:val="none"/>
        </w:rPr>
        <w:t>决算情况说明</w:t>
      </w:r>
      <w:bookmarkEnd w:id="24"/>
      <w:bookmarkEnd w:id="25"/>
      <w:bookmarkEnd w:id="26"/>
    </w:p>
    <w:p w14:paraId="40E63D29">
      <w:pPr>
        <w:rPr>
          <w:color w:val="auto"/>
          <w:highlight w:val="none"/>
        </w:rPr>
      </w:pPr>
    </w:p>
    <w:p w14:paraId="0220F225">
      <w:pPr>
        <w:pStyle w:val="27"/>
        <w:numPr>
          <w:ilvl w:val="0"/>
          <w:numId w:val="1"/>
        </w:numPr>
        <w:spacing w:line="600" w:lineRule="exact"/>
        <w:ind w:firstLineChars="0"/>
        <w:outlineLvl w:val="1"/>
        <w:rPr>
          <w:rStyle w:val="29"/>
          <w:rFonts w:ascii="黑体" w:hAnsi="黑体" w:eastAsia="黑体"/>
          <w:b w:val="0"/>
          <w:color w:val="auto"/>
          <w:highlight w:val="none"/>
        </w:rPr>
      </w:pPr>
      <w:bookmarkStart w:id="27" w:name="_Toc15396603"/>
      <w:bookmarkStart w:id="28" w:name="_Toc15377205"/>
      <w:bookmarkStart w:id="29" w:name="_Toc29580"/>
      <w:r>
        <w:rPr>
          <w:rFonts w:hint="eastAsia" w:ascii="黑体" w:hAnsi="黑体" w:eastAsia="黑体"/>
          <w:color w:val="auto"/>
          <w:sz w:val="32"/>
          <w:szCs w:val="32"/>
          <w:highlight w:val="none"/>
        </w:rPr>
        <w:t>收</w:t>
      </w:r>
      <w:r>
        <w:rPr>
          <w:rStyle w:val="29"/>
          <w:rFonts w:hint="eastAsia" w:ascii="黑体" w:hAnsi="黑体" w:eastAsia="黑体"/>
          <w:b w:val="0"/>
          <w:color w:val="auto"/>
          <w:highlight w:val="none"/>
        </w:rPr>
        <w:t>入支出决算总体情况说明</w:t>
      </w:r>
      <w:bookmarkEnd w:id="27"/>
      <w:bookmarkEnd w:id="28"/>
      <w:bookmarkEnd w:id="29"/>
    </w:p>
    <w:p w14:paraId="5D32D321">
      <w:pPr>
        <w:spacing w:line="600" w:lineRule="exact"/>
        <w:ind w:firstLine="640" w:firstLineChars="200"/>
        <w:rPr>
          <w:rFonts w:hint="eastAsia" w:ascii="仿宋" w:hAnsi="仿宋" w:eastAsia="仿宋"/>
          <w:color w:val="auto"/>
          <w:sz w:val="32"/>
          <w:szCs w:val="32"/>
          <w:highlight w:val="none"/>
          <w:lang w:eastAsia="zh-CN"/>
        </w:rPr>
      </w:pPr>
      <w:r>
        <w:rPr>
          <w:rFonts w:hint="eastAsia" w:ascii="仿宋" w:hAnsi="仿宋" w:eastAsia="仿宋"/>
          <w:color w:val="auto"/>
          <w:sz w:val="32"/>
          <w:szCs w:val="32"/>
          <w:highlight w:val="none"/>
        </w:rPr>
        <w:t>20</w:t>
      </w:r>
      <w:r>
        <w:rPr>
          <w:rFonts w:hint="eastAsia" w:ascii="仿宋" w:hAnsi="仿宋" w:eastAsia="仿宋"/>
          <w:color w:val="auto"/>
          <w:sz w:val="32"/>
          <w:szCs w:val="32"/>
          <w:highlight w:val="none"/>
          <w:lang w:val="en-US" w:eastAsia="zh-CN"/>
        </w:rPr>
        <w:t>24</w:t>
      </w:r>
      <w:r>
        <w:rPr>
          <w:rFonts w:hint="eastAsia" w:ascii="仿宋" w:hAnsi="仿宋" w:eastAsia="仿宋"/>
          <w:color w:val="auto"/>
          <w:sz w:val="32"/>
          <w:szCs w:val="32"/>
          <w:highlight w:val="none"/>
        </w:rPr>
        <w:t>年度收、支总计</w:t>
      </w:r>
      <w:r>
        <w:rPr>
          <w:rFonts w:hint="eastAsia" w:ascii="仿宋" w:hAnsi="仿宋" w:eastAsia="仿宋"/>
          <w:color w:val="auto"/>
          <w:sz w:val="32"/>
          <w:szCs w:val="32"/>
          <w:highlight w:val="none"/>
          <w:lang w:val="en-US" w:eastAsia="zh-CN"/>
        </w:rPr>
        <w:t>164.85</w:t>
      </w:r>
      <w:r>
        <w:rPr>
          <w:rFonts w:hint="eastAsia" w:ascii="仿宋" w:hAnsi="仿宋" w:eastAsia="仿宋"/>
          <w:color w:val="auto"/>
          <w:sz w:val="32"/>
          <w:szCs w:val="32"/>
          <w:highlight w:val="none"/>
        </w:rPr>
        <w:t>万元。与20</w:t>
      </w:r>
      <w:r>
        <w:rPr>
          <w:rFonts w:hint="eastAsia" w:ascii="仿宋" w:hAnsi="仿宋" w:eastAsia="仿宋"/>
          <w:color w:val="auto"/>
          <w:sz w:val="32"/>
          <w:szCs w:val="32"/>
          <w:highlight w:val="none"/>
          <w:lang w:val="en-US" w:eastAsia="zh-CN"/>
        </w:rPr>
        <w:t>23</w:t>
      </w:r>
      <w:r>
        <w:rPr>
          <w:rFonts w:hint="eastAsia" w:ascii="仿宋" w:hAnsi="仿宋" w:eastAsia="仿宋"/>
          <w:color w:val="auto"/>
          <w:sz w:val="32"/>
          <w:szCs w:val="32"/>
          <w:highlight w:val="none"/>
        </w:rPr>
        <w:t>年相比，收、支总计各</w:t>
      </w:r>
      <w:r>
        <w:rPr>
          <w:rFonts w:hint="eastAsia" w:ascii="仿宋" w:hAnsi="仿宋" w:eastAsia="仿宋"/>
          <w:color w:val="auto"/>
          <w:sz w:val="32"/>
          <w:szCs w:val="32"/>
          <w:highlight w:val="none"/>
          <w:lang w:eastAsia="zh-CN"/>
        </w:rPr>
        <w:t>减少</w:t>
      </w:r>
      <w:r>
        <w:rPr>
          <w:rFonts w:hint="eastAsia" w:ascii="仿宋" w:hAnsi="仿宋" w:eastAsia="仿宋"/>
          <w:color w:val="auto"/>
          <w:sz w:val="32"/>
          <w:szCs w:val="32"/>
          <w:highlight w:val="none"/>
          <w:lang w:val="en-US" w:eastAsia="zh-CN"/>
        </w:rPr>
        <w:t>58.53</w:t>
      </w:r>
      <w:r>
        <w:rPr>
          <w:rFonts w:hint="eastAsia" w:ascii="仿宋" w:hAnsi="仿宋" w:eastAsia="仿宋"/>
          <w:color w:val="auto"/>
          <w:sz w:val="32"/>
          <w:szCs w:val="32"/>
          <w:highlight w:val="none"/>
        </w:rPr>
        <w:t>万元，</w:t>
      </w:r>
      <w:r>
        <w:rPr>
          <w:rFonts w:hint="eastAsia" w:ascii="仿宋" w:hAnsi="仿宋" w:eastAsia="仿宋"/>
          <w:color w:val="auto"/>
          <w:sz w:val="32"/>
          <w:szCs w:val="32"/>
          <w:highlight w:val="none"/>
          <w:lang w:eastAsia="zh-CN"/>
        </w:rPr>
        <w:t>下降</w:t>
      </w:r>
      <w:r>
        <w:rPr>
          <w:rFonts w:hint="eastAsia" w:ascii="仿宋" w:hAnsi="仿宋" w:eastAsia="仿宋"/>
          <w:color w:val="auto"/>
          <w:sz w:val="32"/>
          <w:szCs w:val="32"/>
          <w:highlight w:val="none"/>
          <w:lang w:val="en-US" w:eastAsia="zh-CN"/>
        </w:rPr>
        <w:t>26.20</w:t>
      </w:r>
      <w:r>
        <w:rPr>
          <w:rFonts w:ascii="仿宋" w:hAnsi="仿宋" w:eastAsia="仿宋"/>
          <w:color w:val="auto"/>
          <w:sz w:val="32"/>
          <w:szCs w:val="32"/>
          <w:highlight w:val="none"/>
        </w:rPr>
        <w:t>%</w:t>
      </w:r>
      <w:r>
        <w:rPr>
          <w:rFonts w:hint="eastAsia" w:ascii="仿宋" w:hAnsi="仿宋" w:eastAsia="仿宋"/>
          <w:color w:val="auto"/>
          <w:sz w:val="32"/>
          <w:szCs w:val="32"/>
          <w:highlight w:val="none"/>
        </w:rPr>
        <w:t>。主要变动原因是</w:t>
      </w:r>
      <w:r>
        <w:rPr>
          <w:rFonts w:hint="eastAsia" w:ascii="仿宋" w:hAnsi="仿宋" w:eastAsia="仿宋"/>
          <w:color w:val="auto"/>
          <w:sz w:val="32"/>
          <w:szCs w:val="32"/>
          <w:highlight w:val="none"/>
          <w:lang w:val="en-US" w:eastAsia="zh-CN"/>
        </w:rPr>
        <w:t>2023年7月死亡1名在职人员增加了人员经费支出</w:t>
      </w:r>
      <w:r>
        <w:rPr>
          <w:rFonts w:hint="eastAsia" w:ascii="仿宋" w:hAnsi="仿宋" w:eastAsia="仿宋"/>
          <w:color w:val="auto"/>
          <w:sz w:val="32"/>
          <w:szCs w:val="32"/>
          <w:highlight w:val="none"/>
          <w:lang w:eastAsia="zh-CN"/>
        </w:rPr>
        <w:t>。</w:t>
      </w:r>
    </w:p>
    <w:p w14:paraId="4D2906AA">
      <w:pPr>
        <w:spacing w:line="600" w:lineRule="exact"/>
        <w:ind w:firstLine="420" w:firstLineChars="200"/>
        <w:rPr>
          <w:rFonts w:hint="eastAsia" w:ascii="仿宋" w:hAnsi="仿宋" w:eastAsia="仿宋"/>
          <w:color w:val="auto"/>
          <w:sz w:val="32"/>
          <w:szCs w:val="32"/>
          <w:highlight w:val="none"/>
        </w:rPr>
      </w:pPr>
      <w:r>
        <w:rPr>
          <w:color w:val="auto"/>
        </w:rPr>
        <w:drawing>
          <wp:anchor distT="0" distB="0" distL="114300" distR="114300" simplePos="0" relativeHeight="251662336" behindDoc="1" locked="0" layoutInCell="1" allowOverlap="1">
            <wp:simplePos x="0" y="0"/>
            <wp:positionH relativeFrom="column">
              <wp:posOffset>70485</wp:posOffset>
            </wp:positionH>
            <wp:positionV relativeFrom="paragraph">
              <wp:posOffset>54610</wp:posOffset>
            </wp:positionV>
            <wp:extent cx="4197985" cy="2259330"/>
            <wp:effectExtent l="4445" t="5080" r="7620" b="21590"/>
            <wp:wrapThrough wrapText="bothSides">
              <wp:wrapPolygon>
                <wp:start x="-23" y="-49"/>
                <wp:lineTo x="-23" y="21442"/>
                <wp:lineTo x="21541" y="21442"/>
                <wp:lineTo x="21541" y="-49"/>
                <wp:lineTo x="-23" y="-49"/>
              </wp:wrapPolygon>
            </wp:wrapThrough>
            <wp:docPr id="6"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anchor>
        </w:drawing>
      </w:r>
    </w:p>
    <w:p w14:paraId="08C997AA">
      <w:pPr>
        <w:spacing w:line="600" w:lineRule="exact"/>
        <w:ind w:firstLine="640" w:firstLineChars="200"/>
        <w:rPr>
          <w:rFonts w:hint="eastAsia" w:ascii="仿宋" w:hAnsi="仿宋" w:eastAsia="仿宋"/>
          <w:color w:val="auto"/>
          <w:sz w:val="32"/>
          <w:szCs w:val="32"/>
          <w:highlight w:val="none"/>
        </w:rPr>
      </w:pPr>
    </w:p>
    <w:p w14:paraId="4BB9D070">
      <w:pPr>
        <w:spacing w:line="600" w:lineRule="exact"/>
        <w:ind w:firstLine="640" w:firstLineChars="200"/>
        <w:rPr>
          <w:rFonts w:hint="eastAsia" w:ascii="仿宋" w:hAnsi="仿宋" w:eastAsia="仿宋"/>
          <w:color w:val="auto"/>
          <w:sz w:val="32"/>
          <w:szCs w:val="32"/>
          <w:highlight w:val="none"/>
        </w:rPr>
      </w:pPr>
    </w:p>
    <w:p w14:paraId="2F7EF6C3">
      <w:pPr>
        <w:pStyle w:val="27"/>
        <w:numPr>
          <w:ilvl w:val="0"/>
          <w:numId w:val="1"/>
        </w:numPr>
        <w:spacing w:line="600" w:lineRule="exact"/>
        <w:ind w:firstLineChars="0"/>
        <w:outlineLvl w:val="1"/>
        <w:rPr>
          <w:rStyle w:val="29"/>
          <w:rFonts w:ascii="黑体" w:hAnsi="黑体" w:eastAsia="黑体"/>
          <w:b w:val="0"/>
          <w:color w:val="auto"/>
          <w:highlight w:val="none"/>
        </w:rPr>
      </w:pPr>
      <w:bookmarkStart w:id="30" w:name="_Toc15396604"/>
      <w:bookmarkStart w:id="31" w:name="_Toc15377206"/>
      <w:bookmarkStart w:id="32" w:name="_Toc10948"/>
      <w:r>
        <w:rPr>
          <w:rFonts w:hint="eastAsia" w:ascii="黑体" w:hAnsi="黑体" w:eastAsia="黑体"/>
          <w:color w:val="auto"/>
          <w:sz w:val="32"/>
          <w:szCs w:val="32"/>
          <w:highlight w:val="none"/>
        </w:rPr>
        <w:t>收</w:t>
      </w:r>
      <w:r>
        <w:rPr>
          <w:rStyle w:val="29"/>
          <w:rFonts w:hint="eastAsia" w:ascii="黑体" w:hAnsi="黑体" w:eastAsia="黑体"/>
          <w:b w:val="0"/>
          <w:color w:val="auto"/>
          <w:highlight w:val="none"/>
        </w:rPr>
        <w:t>入决算情况说明</w:t>
      </w:r>
      <w:bookmarkEnd w:id="30"/>
      <w:bookmarkEnd w:id="31"/>
      <w:bookmarkEnd w:id="32"/>
    </w:p>
    <w:p w14:paraId="153A800E">
      <w:pPr>
        <w:spacing w:line="600" w:lineRule="exact"/>
        <w:ind w:firstLine="640" w:firstLineChars="200"/>
        <w:outlineLvl w:val="1"/>
        <w:rPr>
          <w:rFonts w:ascii="仿宋" w:hAnsi="仿宋" w:eastAsia="仿宋"/>
          <w:color w:val="auto"/>
          <w:sz w:val="32"/>
          <w:szCs w:val="32"/>
          <w:highlight w:val="none"/>
        </w:rPr>
      </w:pPr>
      <w:bookmarkStart w:id="33" w:name="_Toc3795"/>
      <w:r>
        <w:rPr>
          <w:rFonts w:ascii="仿宋" w:hAnsi="仿宋" w:eastAsia="仿宋"/>
          <w:color w:val="auto"/>
          <w:sz w:val="32"/>
          <w:szCs w:val="32"/>
          <w:highlight w:val="none"/>
        </w:rPr>
        <w:t>20</w:t>
      </w:r>
      <w:r>
        <w:rPr>
          <w:rFonts w:hint="eastAsia" w:ascii="仿宋" w:hAnsi="仿宋" w:eastAsia="仿宋"/>
          <w:color w:val="auto"/>
          <w:sz w:val="32"/>
          <w:szCs w:val="32"/>
          <w:highlight w:val="none"/>
          <w:lang w:val="en-US" w:eastAsia="zh-CN"/>
        </w:rPr>
        <w:t>24</w:t>
      </w:r>
      <w:r>
        <w:rPr>
          <w:rFonts w:hint="eastAsia" w:ascii="仿宋" w:hAnsi="仿宋" w:eastAsia="仿宋"/>
          <w:color w:val="auto"/>
          <w:sz w:val="32"/>
          <w:szCs w:val="32"/>
          <w:highlight w:val="none"/>
        </w:rPr>
        <w:t>年本年收入合计</w:t>
      </w:r>
      <w:r>
        <w:rPr>
          <w:rFonts w:hint="eastAsia" w:ascii="仿宋" w:hAnsi="仿宋" w:eastAsia="仿宋"/>
          <w:color w:val="auto"/>
          <w:sz w:val="32"/>
          <w:szCs w:val="32"/>
          <w:highlight w:val="none"/>
          <w:lang w:val="en-US" w:eastAsia="zh-CN"/>
        </w:rPr>
        <w:t>164.85</w:t>
      </w:r>
      <w:r>
        <w:rPr>
          <w:rFonts w:hint="eastAsia" w:ascii="仿宋" w:hAnsi="仿宋" w:eastAsia="仿宋"/>
          <w:color w:val="auto"/>
          <w:sz w:val="32"/>
          <w:szCs w:val="32"/>
          <w:highlight w:val="none"/>
        </w:rPr>
        <w:t>万元，其中：一般公共预算财政拨款收入</w:t>
      </w:r>
      <w:r>
        <w:rPr>
          <w:rFonts w:hint="eastAsia" w:ascii="仿宋" w:hAnsi="仿宋" w:eastAsia="仿宋"/>
          <w:color w:val="auto"/>
          <w:sz w:val="32"/>
          <w:szCs w:val="32"/>
          <w:highlight w:val="none"/>
          <w:lang w:val="en-US" w:eastAsia="zh-CN"/>
        </w:rPr>
        <w:t>142.85</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86.66</w:t>
      </w:r>
      <w:r>
        <w:rPr>
          <w:rFonts w:ascii="仿宋" w:hAnsi="仿宋" w:eastAsia="仿宋"/>
          <w:color w:val="auto"/>
          <w:sz w:val="32"/>
          <w:szCs w:val="32"/>
          <w:highlight w:val="none"/>
        </w:rPr>
        <w:t>%</w:t>
      </w:r>
      <w:r>
        <w:rPr>
          <w:rFonts w:hint="eastAsia" w:ascii="仿宋" w:hAnsi="仿宋" w:eastAsia="仿宋"/>
          <w:color w:val="auto"/>
          <w:sz w:val="32"/>
          <w:szCs w:val="32"/>
          <w:highlight w:val="none"/>
        </w:rPr>
        <w:t>；政府性基金预算财政拨款收入</w:t>
      </w:r>
      <w:r>
        <w:rPr>
          <w:rFonts w:hint="eastAsia" w:ascii="仿宋" w:hAnsi="仿宋" w:eastAsia="仿宋"/>
          <w:color w:val="auto"/>
          <w:sz w:val="32"/>
          <w:szCs w:val="32"/>
          <w:highlight w:val="none"/>
          <w:lang w:val="en-US" w:eastAsia="zh-CN"/>
        </w:rPr>
        <w:t>20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13.34</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r>
        <w:rPr>
          <w:rFonts w:hint="eastAsia" w:ascii="仿宋" w:hAnsi="仿宋" w:eastAsia="仿宋"/>
          <w:color w:val="auto"/>
          <w:sz w:val="32"/>
          <w:szCs w:val="32"/>
          <w:highlight w:val="none"/>
          <w:lang w:eastAsia="zh-CN"/>
        </w:rPr>
        <w:t>国有资本经营预算财政拨款收入</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；上级补助收入</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；事业收入</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；经营收入</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；附属单位上缴收入</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；其他收入</w:t>
      </w:r>
      <w:r>
        <w:rPr>
          <w:rFonts w:hint="eastAsia" w:ascii="仿宋" w:hAnsi="仿宋" w:eastAsia="仿宋"/>
          <w:color w:val="auto"/>
          <w:sz w:val="32"/>
          <w:szCs w:val="32"/>
          <w:highlight w:val="none"/>
          <w:lang w:eastAsia="zh-CN"/>
        </w:rPr>
        <w:t>（</w:t>
      </w:r>
      <w:r>
        <w:rPr>
          <w:rFonts w:hint="eastAsia" w:ascii="仿宋" w:hAnsi="仿宋" w:eastAsia="仿宋"/>
          <w:color w:val="auto"/>
          <w:sz w:val="32"/>
          <w:szCs w:val="32"/>
          <w:highlight w:val="none"/>
          <w:lang w:val="en-US" w:eastAsia="zh-CN"/>
        </w:rPr>
        <w:t>年初结转和结余</w:t>
      </w:r>
      <w:r>
        <w:rPr>
          <w:rFonts w:hint="eastAsia" w:ascii="仿宋" w:hAnsi="仿宋" w:eastAsia="仿宋"/>
          <w:color w:val="auto"/>
          <w:sz w:val="32"/>
          <w:szCs w:val="32"/>
          <w:highlight w:val="none"/>
          <w:lang w:eastAsia="zh-CN"/>
        </w:rPr>
        <w:t>）</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bookmarkEnd w:id="33"/>
    </w:p>
    <w:p w14:paraId="5C5C98FD">
      <w:pPr>
        <w:spacing w:line="600" w:lineRule="exact"/>
        <w:ind w:firstLine="420" w:firstLineChars="200"/>
        <w:rPr>
          <w:rFonts w:ascii="仿宋" w:hAnsi="仿宋" w:eastAsia="仿宋"/>
          <w:color w:val="auto"/>
          <w:sz w:val="32"/>
          <w:szCs w:val="32"/>
          <w:highlight w:val="none"/>
        </w:rPr>
      </w:pPr>
      <w:r>
        <w:rPr>
          <w:color w:val="auto"/>
        </w:rPr>
        <w:drawing>
          <wp:anchor distT="0" distB="0" distL="114300" distR="114300" simplePos="0" relativeHeight="251659264" behindDoc="1" locked="0" layoutInCell="1" allowOverlap="1">
            <wp:simplePos x="0" y="0"/>
            <wp:positionH relativeFrom="column">
              <wp:posOffset>58420</wp:posOffset>
            </wp:positionH>
            <wp:positionV relativeFrom="paragraph">
              <wp:posOffset>127635</wp:posOffset>
            </wp:positionV>
            <wp:extent cx="4197985" cy="2259330"/>
            <wp:effectExtent l="4445" t="5080" r="7620" b="21590"/>
            <wp:wrapThrough wrapText="bothSides">
              <wp:wrapPolygon>
                <wp:start x="-23" y="-49"/>
                <wp:lineTo x="-23" y="21442"/>
                <wp:lineTo x="21541" y="21442"/>
                <wp:lineTo x="21541" y="-49"/>
                <wp:lineTo x="-23" y="-49"/>
              </wp:wrapPolygon>
            </wp:wrapThrough>
            <wp:docPr id="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p>
    <w:p w14:paraId="7C09C30F">
      <w:pPr>
        <w:spacing w:line="600" w:lineRule="exact"/>
        <w:ind w:firstLine="640" w:firstLineChars="200"/>
        <w:rPr>
          <w:rFonts w:ascii="仿宋_GB2312" w:eastAsia="仿宋_GB2312"/>
          <w:color w:val="auto"/>
          <w:sz w:val="32"/>
          <w:szCs w:val="32"/>
          <w:highlight w:val="none"/>
        </w:rPr>
      </w:pPr>
    </w:p>
    <w:p w14:paraId="3AC38638">
      <w:pPr>
        <w:pStyle w:val="2"/>
        <w:rPr>
          <w:rFonts w:ascii="仿宋_GB2312" w:eastAsia="仿宋_GB2312"/>
          <w:color w:val="auto"/>
          <w:sz w:val="32"/>
          <w:szCs w:val="32"/>
          <w:highlight w:val="none"/>
        </w:rPr>
      </w:pPr>
    </w:p>
    <w:p w14:paraId="1DE99C61">
      <w:pPr>
        <w:pStyle w:val="2"/>
        <w:rPr>
          <w:rFonts w:ascii="仿宋_GB2312" w:eastAsia="仿宋_GB2312"/>
          <w:color w:val="auto"/>
          <w:sz w:val="32"/>
          <w:szCs w:val="32"/>
          <w:highlight w:val="none"/>
        </w:rPr>
      </w:pPr>
    </w:p>
    <w:p w14:paraId="1A21532A">
      <w:pPr>
        <w:pStyle w:val="27"/>
        <w:numPr>
          <w:ilvl w:val="0"/>
          <w:numId w:val="1"/>
        </w:numPr>
        <w:spacing w:line="600" w:lineRule="exact"/>
        <w:ind w:firstLineChars="0"/>
        <w:outlineLvl w:val="1"/>
        <w:rPr>
          <w:rStyle w:val="29"/>
          <w:rFonts w:ascii="黑体" w:hAnsi="黑体" w:eastAsia="黑体"/>
          <w:b w:val="0"/>
          <w:color w:val="auto"/>
          <w:highlight w:val="none"/>
        </w:rPr>
      </w:pPr>
      <w:bookmarkStart w:id="34" w:name="_Toc15396605"/>
      <w:bookmarkStart w:id="35" w:name="_Toc15377207"/>
      <w:bookmarkStart w:id="36" w:name="_Toc28278"/>
      <w:r>
        <w:rPr>
          <w:rFonts w:hint="eastAsia" w:ascii="黑体" w:hAnsi="黑体" w:eastAsia="黑体"/>
          <w:color w:val="auto"/>
          <w:sz w:val="32"/>
          <w:szCs w:val="32"/>
          <w:highlight w:val="none"/>
        </w:rPr>
        <w:t>支</w:t>
      </w:r>
      <w:r>
        <w:rPr>
          <w:rStyle w:val="29"/>
          <w:rFonts w:hint="eastAsia" w:ascii="黑体" w:hAnsi="黑体" w:eastAsia="黑体"/>
          <w:b w:val="0"/>
          <w:color w:val="auto"/>
          <w:highlight w:val="none"/>
        </w:rPr>
        <w:t>出决算情况说明</w:t>
      </w:r>
      <w:bookmarkEnd w:id="34"/>
      <w:bookmarkEnd w:id="35"/>
      <w:bookmarkEnd w:id="36"/>
    </w:p>
    <w:p w14:paraId="1F942D1D">
      <w:pPr>
        <w:spacing w:line="600" w:lineRule="exact"/>
        <w:ind w:firstLine="640" w:firstLineChars="200"/>
        <w:outlineLvl w:val="1"/>
        <w:rPr>
          <w:rFonts w:ascii="仿宋" w:hAnsi="仿宋" w:eastAsia="仿宋"/>
          <w:color w:val="auto"/>
          <w:sz w:val="32"/>
          <w:szCs w:val="32"/>
          <w:highlight w:val="none"/>
        </w:rPr>
      </w:pPr>
      <w:bookmarkStart w:id="37" w:name="_Toc29005"/>
      <w:r>
        <w:rPr>
          <w:rFonts w:ascii="仿宋" w:hAnsi="仿宋" w:eastAsia="仿宋"/>
          <w:color w:val="auto"/>
          <w:sz w:val="32"/>
          <w:szCs w:val="32"/>
          <w:highlight w:val="none"/>
        </w:rPr>
        <w:t>20</w:t>
      </w:r>
      <w:r>
        <w:rPr>
          <w:rFonts w:hint="eastAsia" w:ascii="仿宋" w:hAnsi="仿宋" w:eastAsia="仿宋"/>
          <w:color w:val="auto"/>
          <w:sz w:val="32"/>
          <w:szCs w:val="32"/>
          <w:highlight w:val="none"/>
          <w:lang w:val="en-US" w:eastAsia="zh-CN"/>
        </w:rPr>
        <w:t>24</w:t>
      </w:r>
      <w:r>
        <w:rPr>
          <w:rFonts w:hint="eastAsia" w:ascii="仿宋" w:hAnsi="仿宋" w:eastAsia="仿宋"/>
          <w:color w:val="auto"/>
          <w:sz w:val="32"/>
          <w:szCs w:val="32"/>
          <w:highlight w:val="none"/>
        </w:rPr>
        <w:t>年本年支出合计</w:t>
      </w:r>
      <w:r>
        <w:rPr>
          <w:rFonts w:hint="eastAsia" w:ascii="仿宋" w:hAnsi="仿宋" w:eastAsia="仿宋"/>
          <w:color w:val="auto"/>
          <w:sz w:val="32"/>
          <w:szCs w:val="32"/>
          <w:highlight w:val="none"/>
          <w:lang w:val="en-US" w:eastAsia="zh-CN"/>
        </w:rPr>
        <w:t>164.85</w:t>
      </w:r>
      <w:r>
        <w:rPr>
          <w:rFonts w:hint="eastAsia" w:ascii="仿宋" w:hAnsi="仿宋" w:eastAsia="仿宋"/>
          <w:color w:val="auto"/>
          <w:sz w:val="32"/>
          <w:szCs w:val="32"/>
          <w:highlight w:val="none"/>
        </w:rPr>
        <w:t>万元，其中：基本支出</w:t>
      </w:r>
      <w:r>
        <w:rPr>
          <w:rFonts w:hint="eastAsia" w:ascii="仿宋" w:hAnsi="仿宋" w:eastAsia="仿宋"/>
          <w:color w:val="auto"/>
          <w:sz w:val="32"/>
          <w:szCs w:val="32"/>
          <w:highlight w:val="none"/>
          <w:lang w:val="en-US" w:eastAsia="zh-CN"/>
        </w:rPr>
        <w:t>141.2</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85.65</w:t>
      </w:r>
      <w:r>
        <w:rPr>
          <w:rFonts w:ascii="仿宋" w:hAnsi="仿宋" w:eastAsia="仿宋"/>
          <w:color w:val="auto"/>
          <w:sz w:val="32"/>
          <w:szCs w:val="32"/>
          <w:highlight w:val="none"/>
        </w:rPr>
        <w:t>%</w:t>
      </w:r>
      <w:r>
        <w:rPr>
          <w:rFonts w:hint="eastAsia" w:ascii="仿宋" w:hAnsi="仿宋" w:eastAsia="仿宋"/>
          <w:color w:val="auto"/>
          <w:sz w:val="32"/>
          <w:szCs w:val="32"/>
          <w:highlight w:val="none"/>
        </w:rPr>
        <w:t>；项目支出</w:t>
      </w:r>
      <w:r>
        <w:rPr>
          <w:rFonts w:hint="eastAsia" w:ascii="仿宋" w:hAnsi="仿宋" w:eastAsia="仿宋"/>
          <w:color w:val="auto"/>
          <w:sz w:val="32"/>
          <w:szCs w:val="32"/>
          <w:highlight w:val="none"/>
          <w:lang w:val="en-US" w:eastAsia="zh-CN"/>
        </w:rPr>
        <w:t>23.65</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14.35</w:t>
      </w:r>
      <w:r>
        <w:rPr>
          <w:rFonts w:ascii="仿宋" w:hAnsi="仿宋" w:eastAsia="仿宋"/>
          <w:color w:val="auto"/>
          <w:sz w:val="32"/>
          <w:szCs w:val="32"/>
          <w:highlight w:val="none"/>
        </w:rPr>
        <w:t>%</w:t>
      </w:r>
      <w:r>
        <w:rPr>
          <w:rFonts w:hint="eastAsia" w:ascii="仿宋" w:hAnsi="仿宋" w:eastAsia="仿宋"/>
          <w:color w:val="auto"/>
          <w:sz w:val="32"/>
          <w:szCs w:val="32"/>
          <w:highlight w:val="none"/>
        </w:rPr>
        <w:t>；上缴上级支出</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；经营支出</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；对附属单位补助支出</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bookmarkEnd w:id="37"/>
    </w:p>
    <w:p w14:paraId="7005C321">
      <w:pPr>
        <w:spacing w:line="600" w:lineRule="exact"/>
        <w:ind w:firstLine="643" w:firstLineChars="200"/>
        <w:outlineLvl w:val="1"/>
        <w:rPr>
          <w:rFonts w:hint="eastAsia" w:ascii="仿宋" w:hAnsi="仿宋" w:eastAsia="仿宋"/>
          <w:b/>
          <w:color w:val="auto"/>
          <w:sz w:val="32"/>
          <w:szCs w:val="32"/>
          <w:highlight w:val="none"/>
        </w:rPr>
      </w:pPr>
    </w:p>
    <w:p w14:paraId="4FE0CD9F">
      <w:pPr>
        <w:pStyle w:val="2"/>
        <w:rPr>
          <w:rFonts w:hint="eastAsia" w:ascii="仿宋" w:hAnsi="仿宋" w:eastAsia="仿宋"/>
          <w:b/>
          <w:color w:val="auto"/>
          <w:sz w:val="32"/>
          <w:szCs w:val="32"/>
          <w:highlight w:val="none"/>
        </w:rPr>
      </w:pPr>
      <w:r>
        <w:rPr>
          <w:color w:val="auto"/>
        </w:rPr>
        <w:drawing>
          <wp:inline distT="0" distB="0" distL="114300" distR="114300">
            <wp:extent cx="4572000" cy="2743200"/>
            <wp:effectExtent l="4445" t="4445" r="14605" b="14605"/>
            <wp:docPr id="3"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009547CF">
      <w:pPr>
        <w:spacing w:line="600" w:lineRule="exact"/>
        <w:rPr>
          <w:rFonts w:ascii="仿宋_GB2312" w:eastAsia="仿宋_GB2312"/>
          <w:color w:val="auto"/>
          <w:sz w:val="32"/>
          <w:szCs w:val="32"/>
          <w:highlight w:val="none"/>
        </w:rPr>
      </w:pPr>
    </w:p>
    <w:p w14:paraId="6F52712E">
      <w:pPr>
        <w:spacing w:line="600" w:lineRule="exact"/>
        <w:ind w:firstLine="640" w:firstLineChars="200"/>
        <w:outlineLvl w:val="1"/>
        <w:rPr>
          <w:rStyle w:val="29"/>
          <w:rFonts w:ascii="黑体" w:hAnsi="黑体" w:eastAsia="黑体"/>
          <w:b w:val="0"/>
          <w:color w:val="auto"/>
          <w:highlight w:val="none"/>
        </w:rPr>
      </w:pPr>
      <w:bookmarkStart w:id="38" w:name="_Toc15396606"/>
      <w:bookmarkStart w:id="39" w:name="_Toc15377208"/>
      <w:bookmarkStart w:id="40" w:name="_Toc29684"/>
      <w:r>
        <w:rPr>
          <w:rFonts w:hint="eastAsia" w:ascii="黑体" w:hAnsi="黑体" w:eastAsia="黑体"/>
          <w:color w:val="auto"/>
          <w:sz w:val="32"/>
          <w:szCs w:val="32"/>
          <w:highlight w:val="none"/>
        </w:rPr>
        <w:t>四、财</w:t>
      </w:r>
      <w:r>
        <w:rPr>
          <w:rStyle w:val="29"/>
          <w:rFonts w:hint="eastAsia" w:ascii="黑体" w:hAnsi="黑体" w:eastAsia="黑体"/>
          <w:b w:val="0"/>
          <w:color w:val="auto"/>
          <w:highlight w:val="none"/>
        </w:rPr>
        <w:t>政拨款收入支出决算总体情况说明</w:t>
      </w:r>
      <w:bookmarkEnd w:id="38"/>
      <w:bookmarkEnd w:id="39"/>
      <w:bookmarkEnd w:id="40"/>
    </w:p>
    <w:p w14:paraId="3D870A4F">
      <w:pPr>
        <w:spacing w:line="600" w:lineRule="exact"/>
        <w:ind w:firstLine="640"/>
        <w:rPr>
          <w:rFonts w:hint="eastAsia" w:ascii="仿宋" w:hAnsi="仿宋" w:eastAsia="仿宋"/>
          <w:color w:val="auto"/>
          <w:sz w:val="32"/>
          <w:szCs w:val="32"/>
          <w:highlight w:val="none"/>
          <w:lang w:eastAsia="zh-CN"/>
        </w:rPr>
      </w:pPr>
      <w:r>
        <w:rPr>
          <w:rFonts w:ascii="仿宋" w:hAnsi="仿宋" w:eastAsia="仿宋"/>
          <w:color w:val="auto"/>
          <w:sz w:val="32"/>
          <w:szCs w:val="32"/>
          <w:highlight w:val="none"/>
        </w:rPr>
        <w:t>20</w:t>
      </w:r>
      <w:r>
        <w:rPr>
          <w:rFonts w:hint="eastAsia" w:ascii="仿宋" w:hAnsi="仿宋" w:eastAsia="仿宋"/>
          <w:color w:val="auto"/>
          <w:sz w:val="32"/>
          <w:szCs w:val="32"/>
          <w:highlight w:val="none"/>
          <w:lang w:val="en-US" w:eastAsia="zh-CN"/>
        </w:rPr>
        <w:t>24</w:t>
      </w:r>
      <w:r>
        <w:rPr>
          <w:rFonts w:hint="eastAsia" w:ascii="仿宋" w:hAnsi="仿宋" w:eastAsia="仿宋"/>
          <w:color w:val="auto"/>
          <w:sz w:val="32"/>
          <w:szCs w:val="32"/>
          <w:highlight w:val="none"/>
        </w:rPr>
        <w:t>年财政拨款收、支总计</w:t>
      </w:r>
      <w:r>
        <w:rPr>
          <w:rFonts w:hint="eastAsia" w:ascii="仿宋" w:hAnsi="仿宋" w:eastAsia="仿宋"/>
          <w:color w:val="auto"/>
          <w:sz w:val="32"/>
          <w:szCs w:val="32"/>
          <w:highlight w:val="none"/>
          <w:lang w:val="en-US" w:eastAsia="zh-CN"/>
        </w:rPr>
        <w:t>164.85</w:t>
      </w:r>
      <w:r>
        <w:rPr>
          <w:rFonts w:hint="eastAsia" w:ascii="仿宋" w:hAnsi="仿宋" w:eastAsia="仿宋"/>
          <w:color w:val="auto"/>
          <w:sz w:val="32"/>
          <w:szCs w:val="32"/>
          <w:highlight w:val="none"/>
        </w:rPr>
        <w:t>万元。与</w:t>
      </w:r>
      <w:r>
        <w:rPr>
          <w:rFonts w:ascii="仿宋" w:hAnsi="仿宋" w:eastAsia="仿宋"/>
          <w:color w:val="auto"/>
          <w:sz w:val="32"/>
          <w:szCs w:val="32"/>
          <w:highlight w:val="none"/>
        </w:rPr>
        <w:t>20</w:t>
      </w:r>
      <w:r>
        <w:rPr>
          <w:rFonts w:hint="eastAsia" w:ascii="仿宋" w:hAnsi="仿宋" w:eastAsia="仿宋"/>
          <w:color w:val="auto"/>
          <w:sz w:val="32"/>
          <w:szCs w:val="32"/>
          <w:highlight w:val="none"/>
          <w:lang w:val="en-US" w:eastAsia="zh-CN"/>
        </w:rPr>
        <w:t>23</w:t>
      </w:r>
      <w:r>
        <w:rPr>
          <w:rFonts w:hint="eastAsia" w:ascii="仿宋" w:hAnsi="仿宋" w:eastAsia="仿宋"/>
          <w:color w:val="auto"/>
          <w:sz w:val="32"/>
          <w:szCs w:val="32"/>
          <w:highlight w:val="none"/>
        </w:rPr>
        <w:t>年相比，财政拨款收、支总计各</w:t>
      </w:r>
      <w:r>
        <w:rPr>
          <w:rFonts w:hint="eastAsia" w:ascii="仿宋" w:hAnsi="仿宋" w:eastAsia="仿宋"/>
          <w:color w:val="auto"/>
          <w:sz w:val="32"/>
          <w:szCs w:val="32"/>
          <w:highlight w:val="none"/>
          <w:lang w:eastAsia="zh-CN"/>
        </w:rPr>
        <w:t>减少</w:t>
      </w:r>
      <w:r>
        <w:rPr>
          <w:rFonts w:hint="eastAsia" w:ascii="仿宋" w:hAnsi="仿宋" w:eastAsia="仿宋"/>
          <w:color w:val="auto"/>
          <w:sz w:val="32"/>
          <w:szCs w:val="32"/>
          <w:highlight w:val="none"/>
          <w:lang w:val="en-US" w:eastAsia="zh-CN"/>
        </w:rPr>
        <w:t>58.53</w:t>
      </w:r>
      <w:r>
        <w:rPr>
          <w:rFonts w:hint="eastAsia" w:ascii="仿宋" w:hAnsi="仿宋" w:eastAsia="仿宋"/>
          <w:color w:val="auto"/>
          <w:sz w:val="32"/>
          <w:szCs w:val="32"/>
          <w:highlight w:val="none"/>
        </w:rPr>
        <w:t>万元，</w:t>
      </w:r>
      <w:r>
        <w:rPr>
          <w:rFonts w:hint="eastAsia" w:ascii="仿宋" w:hAnsi="仿宋" w:eastAsia="仿宋"/>
          <w:color w:val="auto"/>
          <w:sz w:val="32"/>
          <w:szCs w:val="32"/>
          <w:highlight w:val="none"/>
          <w:lang w:eastAsia="zh-CN"/>
        </w:rPr>
        <w:t>下降</w:t>
      </w:r>
      <w:r>
        <w:rPr>
          <w:rFonts w:hint="eastAsia" w:ascii="仿宋" w:hAnsi="仿宋" w:eastAsia="仿宋"/>
          <w:color w:val="auto"/>
          <w:sz w:val="32"/>
          <w:szCs w:val="32"/>
          <w:highlight w:val="none"/>
          <w:lang w:val="en-US" w:eastAsia="zh-CN"/>
        </w:rPr>
        <w:t>26.20</w:t>
      </w:r>
      <w:r>
        <w:rPr>
          <w:rFonts w:ascii="仿宋" w:hAnsi="仿宋" w:eastAsia="仿宋"/>
          <w:color w:val="auto"/>
          <w:sz w:val="32"/>
          <w:szCs w:val="32"/>
          <w:highlight w:val="none"/>
        </w:rPr>
        <w:t>%</w:t>
      </w:r>
      <w:r>
        <w:rPr>
          <w:rFonts w:hint="eastAsia" w:ascii="仿宋" w:hAnsi="仿宋" w:eastAsia="仿宋"/>
          <w:color w:val="auto"/>
          <w:sz w:val="32"/>
          <w:szCs w:val="32"/>
          <w:highlight w:val="none"/>
        </w:rPr>
        <w:t>。主要变动原因是</w:t>
      </w:r>
      <w:r>
        <w:rPr>
          <w:rFonts w:hint="eastAsia" w:ascii="仿宋" w:hAnsi="仿宋" w:eastAsia="仿宋"/>
          <w:color w:val="auto"/>
          <w:sz w:val="32"/>
          <w:szCs w:val="32"/>
          <w:highlight w:val="none"/>
          <w:lang w:val="en-US" w:eastAsia="zh-CN"/>
        </w:rPr>
        <w:t>2023年死亡1名在职人员增加了人员经费支出</w:t>
      </w:r>
      <w:r>
        <w:rPr>
          <w:rFonts w:hint="eastAsia" w:ascii="仿宋" w:hAnsi="仿宋" w:eastAsia="仿宋"/>
          <w:color w:val="auto"/>
          <w:sz w:val="32"/>
          <w:szCs w:val="32"/>
          <w:highlight w:val="none"/>
          <w:lang w:eastAsia="zh-CN"/>
        </w:rPr>
        <w:t>。</w:t>
      </w:r>
    </w:p>
    <w:p w14:paraId="701D10A9">
      <w:pPr>
        <w:spacing w:line="600" w:lineRule="exact"/>
        <w:ind w:firstLine="640"/>
        <w:rPr>
          <w:rFonts w:hint="eastAsia" w:ascii="仿宋" w:hAnsi="仿宋" w:eastAsia="仿宋"/>
          <w:b/>
          <w:color w:val="auto"/>
          <w:sz w:val="32"/>
          <w:szCs w:val="32"/>
          <w:highlight w:val="none"/>
        </w:rPr>
      </w:pPr>
      <w:r>
        <w:rPr>
          <w:color w:val="auto"/>
        </w:rPr>
        <w:drawing>
          <wp:anchor distT="0" distB="0" distL="114300" distR="114300" simplePos="0" relativeHeight="251660288" behindDoc="1" locked="0" layoutInCell="1" allowOverlap="1">
            <wp:simplePos x="0" y="0"/>
            <wp:positionH relativeFrom="column">
              <wp:posOffset>721995</wp:posOffset>
            </wp:positionH>
            <wp:positionV relativeFrom="paragraph">
              <wp:posOffset>19685</wp:posOffset>
            </wp:positionV>
            <wp:extent cx="3495040" cy="1901190"/>
            <wp:effectExtent l="4445" t="4445" r="5715" b="18415"/>
            <wp:wrapThrough wrapText="bothSides">
              <wp:wrapPolygon>
                <wp:start x="-27" y="-51"/>
                <wp:lineTo x="-27" y="21376"/>
                <wp:lineTo x="21518" y="21376"/>
                <wp:lineTo x="21518" y="-51"/>
                <wp:lineTo x="-27" y="-51"/>
              </wp:wrapPolygon>
            </wp:wrapThrough>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14:paraId="727CA441">
      <w:pPr>
        <w:spacing w:line="600" w:lineRule="exact"/>
        <w:ind w:firstLine="640"/>
        <w:rPr>
          <w:rFonts w:hint="eastAsia" w:ascii="仿宋" w:hAnsi="仿宋" w:eastAsia="仿宋"/>
          <w:b/>
          <w:color w:val="auto"/>
          <w:sz w:val="32"/>
          <w:szCs w:val="32"/>
          <w:highlight w:val="none"/>
        </w:rPr>
      </w:pPr>
    </w:p>
    <w:p w14:paraId="60791437">
      <w:pPr>
        <w:spacing w:line="600" w:lineRule="exact"/>
        <w:ind w:firstLine="640"/>
        <w:rPr>
          <w:rFonts w:hint="eastAsia" w:ascii="仿宋" w:hAnsi="仿宋" w:eastAsia="仿宋"/>
          <w:b/>
          <w:color w:val="auto"/>
          <w:sz w:val="32"/>
          <w:szCs w:val="32"/>
          <w:highlight w:val="none"/>
        </w:rPr>
      </w:pPr>
    </w:p>
    <w:p w14:paraId="016E6C50">
      <w:pPr>
        <w:spacing w:line="600" w:lineRule="exact"/>
        <w:outlineLvl w:val="1"/>
        <w:rPr>
          <w:rFonts w:hint="eastAsia" w:ascii="黑体" w:hAnsi="黑体" w:eastAsia="黑体"/>
          <w:color w:val="auto"/>
          <w:sz w:val="32"/>
          <w:szCs w:val="32"/>
          <w:highlight w:val="none"/>
        </w:rPr>
      </w:pPr>
      <w:bookmarkStart w:id="41" w:name="_Toc15377209"/>
      <w:bookmarkStart w:id="42" w:name="_Toc15396607"/>
    </w:p>
    <w:p w14:paraId="53DE6DE8">
      <w:pPr>
        <w:spacing w:line="600" w:lineRule="exact"/>
        <w:ind w:firstLine="640" w:firstLineChars="200"/>
        <w:outlineLvl w:val="1"/>
        <w:rPr>
          <w:rStyle w:val="29"/>
          <w:rFonts w:ascii="黑体" w:hAnsi="黑体" w:eastAsia="黑体"/>
          <w:b w:val="0"/>
          <w:color w:val="auto"/>
          <w:highlight w:val="none"/>
        </w:rPr>
      </w:pPr>
      <w:bookmarkStart w:id="43" w:name="_Toc14636"/>
      <w:r>
        <w:rPr>
          <w:rFonts w:hint="eastAsia" w:ascii="黑体" w:hAnsi="黑体" w:eastAsia="黑体"/>
          <w:color w:val="auto"/>
          <w:sz w:val="32"/>
          <w:szCs w:val="32"/>
          <w:highlight w:val="none"/>
        </w:rPr>
        <w:t>五、</w:t>
      </w:r>
      <w:r>
        <w:rPr>
          <w:rFonts w:hint="eastAsia" w:ascii="黑体" w:hAnsi="黑体" w:eastAsia="黑体"/>
          <w:b/>
          <w:color w:val="auto"/>
          <w:sz w:val="32"/>
          <w:szCs w:val="32"/>
          <w:highlight w:val="none"/>
        </w:rPr>
        <w:t>一</w:t>
      </w:r>
      <w:r>
        <w:rPr>
          <w:rStyle w:val="29"/>
          <w:rFonts w:hint="eastAsia" w:ascii="黑体" w:hAnsi="黑体" w:eastAsia="黑体"/>
          <w:b w:val="0"/>
          <w:color w:val="auto"/>
          <w:highlight w:val="none"/>
        </w:rPr>
        <w:t>般公共预算财政拨款支出决算情况说明</w:t>
      </w:r>
      <w:bookmarkEnd w:id="41"/>
      <w:bookmarkEnd w:id="42"/>
      <w:bookmarkEnd w:id="43"/>
    </w:p>
    <w:p w14:paraId="4AA1A79B">
      <w:pPr>
        <w:spacing w:line="600" w:lineRule="exact"/>
        <w:ind w:firstLine="643" w:firstLineChars="200"/>
        <w:outlineLvl w:val="2"/>
        <w:rPr>
          <w:rFonts w:ascii="仿宋" w:hAnsi="仿宋" w:eastAsia="仿宋"/>
          <w:b/>
          <w:color w:val="auto"/>
          <w:sz w:val="32"/>
          <w:szCs w:val="32"/>
          <w:highlight w:val="none"/>
        </w:rPr>
      </w:pPr>
      <w:bookmarkStart w:id="44" w:name="_Toc15377210"/>
      <w:r>
        <w:rPr>
          <w:rFonts w:hint="eastAsia" w:ascii="仿宋" w:hAnsi="仿宋" w:eastAsia="仿宋"/>
          <w:b/>
          <w:color w:val="auto"/>
          <w:sz w:val="32"/>
          <w:szCs w:val="32"/>
          <w:highlight w:val="none"/>
        </w:rPr>
        <w:t>（一）一般公共预算财政拨款支出决算总体情况</w:t>
      </w:r>
      <w:bookmarkEnd w:id="44"/>
    </w:p>
    <w:p w14:paraId="232981D7">
      <w:pPr>
        <w:spacing w:line="600" w:lineRule="exact"/>
        <w:ind w:firstLine="640" w:firstLineChars="200"/>
        <w:rPr>
          <w:rFonts w:hint="eastAsia" w:ascii="仿宋" w:hAnsi="仿宋" w:eastAsia="仿宋"/>
          <w:color w:val="auto"/>
          <w:sz w:val="32"/>
          <w:szCs w:val="32"/>
          <w:highlight w:val="none"/>
          <w:lang w:eastAsia="zh-CN"/>
        </w:rPr>
      </w:pPr>
      <w:r>
        <w:rPr>
          <w:rFonts w:ascii="仿宋" w:hAnsi="仿宋" w:eastAsia="仿宋"/>
          <w:color w:val="auto"/>
          <w:sz w:val="32"/>
          <w:szCs w:val="32"/>
          <w:highlight w:val="none"/>
        </w:rPr>
        <w:t>20</w:t>
      </w:r>
      <w:r>
        <w:rPr>
          <w:rFonts w:hint="eastAsia" w:ascii="仿宋" w:hAnsi="仿宋" w:eastAsia="仿宋"/>
          <w:color w:val="auto"/>
          <w:sz w:val="32"/>
          <w:szCs w:val="32"/>
          <w:highlight w:val="none"/>
          <w:lang w:val="en-US" w:eastAsia="zh-CN"/>
        </w:rPr>
        <w:t>24</w:t>
      </w:r>
      <w:r>
        <w:rPr>
          <w:rFonts w:hint="eastAsia" w:ascii="仿宋" w:hAnsi="仿宋" w:eastAsia="仿宋"/>
          <w:color w:val="auto"/>
          <w:sz w:val="32"/>
          <w:szCs w:val="32"/>
          <w:highlight w:val="none"/>
        </w:rPr>
        <w:t>年一般公共预算财政拨款支出</w:t>
      </w:r>
      <w:r>
        <w:rPr>
          <w:rFonts w:hint="eastAsia" w:ascii="仿宋" w:hAnsi="仿宋" w:eastAsia="仿宋"/>
          <w:color w:val="auto"/>
          <w:sz w:val="32"/>
          <w:szCs w:val="32"/>
          <w:highlight w:val="none"/>
          <w:lang w:val="en-US" w:eastAsia="zh-CN"/>
        </w:rPr>
        <w:t>142.85</w:t>
      </w:r>
      <w:r>
        <w:rPr>
          <w:rFonts w:hint="eastAsia" w:ascii="仿宋" w:hAnsi="仿宋" w:eastAsia="仿宋"/>
          <w:color w:val="auto"/>
          <w:sz w:val="32"/>
          <w:szCs w:val="32"/>
          <w:highlight w:val="none"/>
        </w:rPr>
        <w:t>万元，占本年支出合计的</w:t>
      </w:r>
      <w:r>
        <w:rPr>
          <w:rFonts w:hint="eastAsia" w:ascii="仿宋" w:hAnsi="仿宋" w:eastAsia="仿宋"/>
          <w:color w:val="auto"/>
          <w:sz w:val="32"/>
          <w:szCs w:val="32"/>
          <w:highlight w:val="none"/>
          <w:lang w:val="en-US" w:eastAsia="zh-CN"/>
        </w:rPr>
        <w:t>86.66</w:t>
      </w:r>
      <w:r>
        <w:rPr>
          <w:rFonts w:ascii="仿宋" w:hAnsi="仿宋" w:eastAsia="仿宋"/>
          <w:color w:val="auto"/>
          <w:sz w:val="32"/>
          <w:szCs w:val="32"/>
          <w:highlight w:val="none"/>
        </w:rPr>
        <w:t>%</w:t>
      </w:r>
      <w:r>
        <w:rPr>
          <w:rFonts w:hint="eastAsia" w:ascii="仿宋" w:hAnsi="仿宋" w:eastAsia="仿宋"/>
          <w:color w:val="auto"/>
          <w:sz w:val="32"/>
          <w:szCs w:val="32"/>
          <w:highlight w:val="none"/>
        </w:rPr>
        <w:t>。与</w:t>
      </w:r>
      <w:r>
        <w:rPr>
          <w:rFonts w:ascii="仿宋" w:hAnsi="仿宋" w:eastAsia="仿宋"/>
          <w:color w:val="auto"/>
          <w:sz w:val="32"/>
          <w:szCs w:val="32"/>
          <w:highlight w:val="none"/>
        </w:rPr>
        <w:t>20</w:t>
      </w:r>
      <w:r>
        <w:rPr>
          <w:rFonts w:hint="eastAsia" w:ascii="仿宋" w:hAnsi="仿宋" w:eastAsia="仿宋"/>
          <w:color w:val="auto"/>
          <w:sz w:val="32"/>
          <w:szCs w:val="32"/>
          <w:highlight w:val="none"/>
          <w:lang w:val="en-US" w:eastAsia="zh-CN"/>
        </w:rPr>
        <w:t>23</w:t>
      </w:r>
      <w:r>
        <w:rPr>
          <w:rFonts w:hint="eastAsia" w:ascii="仿宋" w:hAnsi="仿宋" w:eastAsia="仿宋"/>
          <w:color w:val="auto"/>
          <w:sz w:val="32"/>
          <w:szCs w:val="32"/>
          <w:highlight w:val="none"/>
        </w:rPr>
        <w:t>年相比，一般公共预算财政拨款</w:t>
      </w:r>
      <w:r>
        <w:rPr>
          <w:rFonts w:hint="eastAsia" w:ascii="仿宋" w:hAnsi="仿宋" w:eastAsia="仿宋"/>
          <w:color w:val="auto"/>
          <w:sz w:val="32"/>
          <w:szCs w:val="32"/>
          <w:highlight w:val="none"/>
          <w:lang w:eastAsia="zh-CN"/>
        </w:rPr>
        <w:t>支出减少</w:t>
      </w:r>
      <w:r>
        <w:rPr>
          <w:rFonts w:hint="eastAsia" w:ascii="仿宋" w:hAnsi="仿宋" w:eastAsia="仿宋"/>
          <w:color w:val="auto"/>
          <w:sz w:val="32"/>
          <w:szCs w:val="32"/>
          <w:highlight w:val="none"/>
          <w:lang w:val="en-US" w:eastAsia="zh-CN"/>
        </w:rPr>
        <w:t>60.59</w:t>
      </w:r>
      <w:r>
        <w:rPr>
          <w:rFonts w:hint="eastAsia" w:ascii="仿宋" w:hAnsi="仿宋" w:eastAsia="仿宋"/>
          <w:color w:val="auto"/>
          <w:sz w:val="32"/>
          <w:szCs w:val="32"/>
          <w:highlight w:val="none"/>
        </w:rPr>
        <w:t>万元，</w:t>
      </w:r>
      <w:r>
        <w:rPr>
          <w:rFonts w:hint="eastAsia" w:ascii="仿宋" w:hAnsi="仿宋" w:eastAsia="仿宋"/>
          <w:color w:val="auto"/>
          <w:sz w:val="32"/>
          <w:szCs w:val="32"/>
          <w:highlight w:val="none"/>
          <w:lang w:eastAsia="zh-CN"/>
        </w:rPr>
        <w:t>下降</w:t>
      </w:r>
      <w:r>
        <w:rPr>
          <w:rFonts w:hint="eastAsia" w:ascii="仿宋" w:hAnsi="仿宋" w:eastAsia="仿宋"/>
          <w:color w:val="auto"/>
          <w:sz w:val="32"/>
          <w:szCs w:val="32"/>
          <w:highlight w:val="none"/>
          <w:lang w:val="en-US" w:eastAsia="zh-CN"/>
        </w:rPr>
        <w:t>29.78</w:t>
      </w:r>
      <w:r>
        <w:rPr>
          <w:rFonts w:ascii="仿宋" w:hAnsi="仿宋" w:eastAsia="仿宋"/>
          <w:color w:val="auto"/>
          <w:sz w:val="32"/>
          <w:szCs w:val="32"/>
          <w:highlight w:val="none"/>
        </w:rPr>
        <w:t>%</w:t>
      </w:r>
      <w:r>
        <w:rPr>
          <w:rFonts w:hint="eastAsia" w:ascii="仿宋" w:hAnsi="仿宋" w:eastAsia="仿宋"/>
          <w:color w:val="auto"/>
          <w:sz w:val="32"/>
          <w:szCs w:val="32"/>
          <w:highlight w:val="none"/>
        </w:rPr>
        <w:t>。主要变动原因是</w:t>
      </w:r>
      <w:r>
        <w:rPr>
          <w:rFonts w:hint="eastAsia" w:ascii="仿宋" w:hAnsi="仿宋" w:eastAsia="仿宋"/>
          <w:color w:val="auto"/>
          <w:sz w:val="32"/>
          <w:szCs w:val="32"/>
          <w:highlight w:val="none"/>
          <w:lang w:val="en-US" w:eastAsia="zh-CN"/>
        </w:rPr>
        <w:t>2023年死亡1名在职人员增加了人员经费支出</w:t>
      </w:r>
      <w:r>
        <w:rPr>
          <w:rFonts w:hint="eastAsia" w:ascii="仿宋" w:hAnsi="仿宋" w:eastAsia="仿宋"/>
          <w:color w:val="auto"/>
          <w:sz w:val="32"/>
          <w:szCs w:val="32"/>
          <w:highlight w:val="none"/>
          <w:lang w:eastAsia="zh-CN"/>
        </w:rPr>
        <w:t>。</w:t>
      </w:r>
    </w:p>
    <w:p w14:paraId="329494AE">
      <w:pPr>
        <w:pStyle w:val="2"/>
        <w:rPr>
          <w:rFonts w:hint="eastAsia" w:ascii="仿宋" w:hAnsi="仿宋" w:eastAsia="仿宋"/>
          <w:color w:val="auto"/>
          <w:sz w:val="32"/>
          <w:szCs w:val="32"/>
          <w:highlight w:val="none"/>
          <w:lang w:eastAsia="zh-CN"/>
        </w:rPr>
      </w:pPr>
      <w:r>
        <w:rPr>
          <w:color w:val="auto"/>
        </w:rPr>
        <w:drawing>
          <wp:inline distT="0" distB="0" distL="114300" distR="114300">
            <wp:extent cx="4572000" cy="2743200"/>
            <wp:effectExtent l="4445" t="4445" r="14605" b="14605"/>
            <wp:docPr id="4"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2421ABCF">
      <w:pPr>
        <w:pStyle w:val="2"/>
        <w:rPr>
          <w:rFonts w:hint="eastAsia" w:ascii="仿宋" w:hAnsi="仿宋" w:eastAsia="仿宋"/>
          <w:color w:val="auto"/>
          <w:sz w:val="32"/>
          <w:szCs w:val="32"/>
          <w:highlight w:val="none"/>
          <w:lang w:eastAsia="zh-CN"/>
        </w:rPr>
      </w:pPr>
    </w:p>
    <w:p w14:paraId="486C5995">
      <w:pPr>
        <w:pStyle w:val="2"/>
        <w:rPr>
          <w:rFonts w:hint="eastAsia" w:ascii="仿宋" w:hAnsi="仿宋" w:eastAsia="仿宋"/>
          <w:color w:val="auto"/>
          <w:sz w:val="32"/>
          <w:szCs w:val="32"/>
          <w:highlight w:val="none"/>
          <w:lang w:eastAsia="zh-CN"/>
        </w:rPr>
      </w:pPr>
    </w:p>
    <w:p w14:paraId="2A52F4A3">
      <w:pPr>
        <w:pStyle w:val="2"/>
        <w:rPr>
          <w:rFonts w:hint="eastAsia" w:ascii="仿宋" w:hAnsi="仿宋" w:eastAsia="仿宋"/>
          <w:color w:val="auto"/>
          <w:sz w:val="32"/>
          <w:szCs w:val="32"/>
          <w:highlight w:val="none"/>
          <w:lang w:eastAsia="zh-CN"/>
        </w:rPr>
      </w:pPr>
    </w:p>
    <w:p w14:paraId="14AA750B">
      <w:pPr>
        <w:spacing w:line="600" w:lineRule="exact"/>
        <w:ind w:firstLine="643" w:firstLineChars="200"/>
        <w:outlineLvl w:val="2"/>
        <w:rPr>
          <w:rFonts w:ascii="仿宋" w:hAnsi="仿宋" w:eastAsia="仿宋"/>
          <w:b/>
          <w:color w:val="auto"/>
          <w:sz w:val="32"/>
          <w:szCs w:val="32"/>
          <w:highlight w:val="none"/>
        </w:rPr>
      </w:pPr>
      <w:bookmarkStart w:id="45" w:name="_Toc15377211"/>
      <w:r>
        <w:rPr>
          <w:rFonts w:hint="eastAsia" w:ascii="仿宋" w:hAnsi="仿宋" w:eastAsia="仿宋"/>
          <w:b/>
          <w:color w:val="auto"/>
          <w:sz w:val="32"/>
          <w:szCs w:val="32"/>
          <w:highlight w:val="none"/>
        </w:rPr>
        <w:t>（二）一般公共预算财政拨款支出决算结构情况</w:t>
      </w:r>
      <w:bookmarkEnd w:id="45"/>
    </w:p>
    <w:p w14:paraId="69CCCC09">
      <w:pPr>
        <w:spacing w:line="600" w:lineRule="exact"/>
        <w:ind w:firstLine="640"/>
        <w:rPr>
          <w:rFonts w:hint="eastAsia" w:ascii="仿宋" w:hAnsi="仿宋" w:eastAsia="仿宋"/>
          <w:b/>
          <w:color w:val="auto"/>
          <w:sz w:val="32"/>
          <w:szCs w:val="32"/>
          <w:highlight w:val="none"/>
        </w:rPr>
      </w:pPr>
      <w:r>
        <w:rPr>
          <w:rFonts w:ascii="仿宋" w:hAnsi="仿宋" w:eastAsia="仿宋"/>
          <w:color w:val="auto"/>
          <w:sz w:val="32"/>
          <w:szCs w:val="32"/>
          <w:highlight w:val="none"/>
        </w:rPr>
        <w:t>20</w:t>
      </w:r>
      <w:r>
        <w:rPr>
          <w:rFonts w:hint="eastAsia" w:ascii="仿宋" w:hAnsi="仿宋" w:eastAsia="仿宋"/>
          <w:color w:val="auto"/>
          <w:sz w:val="32"/>
          <w:szCs w:val="32"/>
          <w:highlight w:val="none"/>
          <w:lang w:val="en-US" w:eastAsia="zh-CN"/>
        </w:rPr>
        <w:t>24</w:t>
      </w:r>
      <w:r>
        <w:rPr>
          <w:rFonts w:hint="eastAsia" w:ascii="仿宋" w:hAnsi="仿宋" w:eastAsia="仿宋"/>
          <w:color w:val="auto"/>
          <w:sz w:val="32"/>
          <w:szCs w:val="32"/>
          <w:highlight w:val="none"/>
        </w:rPr>
        <w:t>年一般公共预算财政拨款支出</w:t>
      </w:r>
      <w:r>
        <w:rPr>
          <w:rFonts w:hint="eastAsia" w:ascii="仿宋" w:hAnsi="仿宋" w:eastAsia="仿宋"/>
          <w:color w:val="auto"/>
          <w:sz w:val="32"/>
          <w:szCs w:val="32"/>
          <w:highlight w:val="none"/>
          <w:lang w:val="en-US" w:eastAsia="zh-CN"/>
        </w:rPr>
        <w:t>142.85</w:t>
      </w:r>
      <w:r>
        <w:rPr>
          <w:rFonts w:hint="eastAsia" w:ascii="仿宋" w:hAnsi="仿宋" w:eastAsia="仿宋"/>
          <w:color w:val="auto"/>
          <w:sz w:val="32"/>
          <w:szCs w:val="32"/>
          <w:highlight w:val="none"/>
        </w:rPr>
        <w:t>万元，主要用于以下方面</w:t>
      </w:r>
      <w:r>
        <w:rPr>
          <w:rFonts w:ascii="仿宋" w:hAnsi="仿宋" w:eastAsia="仿宋"/>
          <w:color w:val="auto"/>
          <w:sz w:val="32"/>
          <w:szCs w:val="32"/>
          <w:highlight w:val="none"/>
        </w:rPr>
        <w:t>:</w:t>
      </w:r>
      <w:r>
        <w:rPr>
          <w:rFonts w:hint="eastAsia" w:ascii="仿宋" w:hAnsi="仿宋" w:eastAsia="仿宋"/>
          <w:b/>
          <w:color w:val="auto"/>
          <w:sz w:val="32"/>
          <w:szCs w:val="32"/>
          <w:highlight w:val="none"/>
        </w:rPr>
        <w:t>一般公共服务</w:t>
      </w:r>
      <w:r>
        <w:rPr>
          <w:rFonts w:hint="eastAsia" w:ascii="仿宋" w:hAnsi="仿宋" w:eastAsia="仿宋"/>
          <w:b/>
          <w:bCs/>
          <w:color w:val="auto"/>
          <w:sz w:val="32"/>
          <w:szCs w:val="32"/>
          <w:highlight w:val="none"/>
        </w:rPr>
        <w:t>支出</w:t>
      </w:r>
      <w:r>
        <w:rPr>
          <w:rFonts w:hint="eastAsia" w:ascii="仿宋" w:hAnsi="仿宋" w:eastAsia="仿宋"/>
          <w:b/>
          <w:bCs/>
          <w:color w:val="auto"/>
          <w:sz w:val="32"/>
          <w:szCs w:val="32"/>
          <w:highlight w:val="none"/>
          <w:lang w:val="en-US" w:eastAsia="zh-CN"/>
        </w:rPr>
        <w:t>102.94</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72.06</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r>
        <w:rPr>
          <w:rFonts w:hint="eastAsia" w:ascii="仿宋" w:hAnsi="仿宋" w:eastAsia="仿宋"/>
          <w:b/>
          <w:color w:val="auto"/>
          <w:sz w:val="32"/>
          <w:szCs w:val="32"/>
          <w:highlight w:val="none"/>
        </w:rPr>
        <w:t>教育支出</w:t>
      </w:r>
      <w:r>
        <w:rPr>
          <w:rFonts w:hint="eastAsia" w:ascii="仿宋" w:hAnsi="仿宋" w:eastAsia="仿宋"/>
          <w:b/>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r>
        <w:rPr>
          <w:rFonts w:hint="eastAsia" w:ascii="仿宋" w:hAnsi="仿宋" w:eastAsia="仿宋"/>
          <w:b/>
          <w:color w:val="auto"/>
          <w:sz w:val="32"/>
          <w:szCs w:val="32"/>
          <w:highlight w:val="none"/>
        </w:rPr>
        <w:t>科学技术</w:t>
      </w:r>
      <w:r>
        <w:rPr>
          <w:rFonts w:hint="eastAsia" w:ascii="仿宋" w:hAnsi="仿宋" w:eastAsia="仿宋"/>
          <w:b/>
          <w:bCs/>
          <w:color w:val="auto"/>
          <w:sz w:val="32"/>
          <w:szCs w:val="32"/>
          <w:highlight w:val="none"/>
        </w:rPr>
        <w:t>支出</w:t>
      </w:r>
      <w:r>
        <w:rPr>
          <w:rFonts w:hint="eastAsia" w:ascii="仿宋" w:hAnsi="仿宋" w:eastAsia="仿宋"/>
          <w:b/>
          <w:bCs/>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r>
        <w:rPr>
          <w:rFonts w:hint="eastAsia" w:ascii="仿宋" w:hAnsi="仿宋" w:eastAsia="仿宋"/>
          <w:b/>
          <w:bCs/>
          <w:color w:val="auto"/>
          <w:sz w:val="32"/>
          <w:szCs w:val="32"/>
          <w:highlight w:val="none"/>
        </w:rPr>
        <w:t>文化旅游体育与传媒支出</w:t>
      </w:r>
      <w:r>
        <w:rPr>
          <w:rFonts w:hint="eastAsia" w:ascii="仿宋" w:hAnsi="仿宋" w:eastAsia="仿宋"/>
          <w:b/>
          <w:bCs/>
          <w:color w:val="auto"/>
          <w:sz w:val="32"/>
          <w:szCs w:val="32"/>
          <w:highlight w:val="none"/>
          <w:lang w:val="en-US" w:eastAsia="zh-CN"/>
        </w:rPr>
        <w:t>0</w:t>
      </w:r>
      <w:r>
        <w:rPr>
          <w:rFonts w:hint="eastAsia" w:ascii="仿宋" w:hAnsi="仿宋" w:eastAsia="仿宋"/>
          <w:b/>
          <w:bCs/>
          <w:color w:val="auto"/>
          <w:sz w:val="32"/>
          <w:szCs w:val="32"/>
          <w:highlight w:val="none"/>
        </w:rPr>
        <w:t>万元，占</w:t>
      </w:r>
      <w:r>
        <w:rPr>
          <w:rFonts w:hint="eastAsia" w:ascii="仿宋" w:hAnsi="仿宋" w:eastAsia="仿宋"/>
          <w:b/>
          <w:bCs/>
          <w:color w:val="auto"/>
          <w:sz w:val="32"/>
          <w:szCs w:val="32"/>
          <w:highlight w:val="none"/>
          <w:lang w:val="en-US" w:eastAsia="zh-CN"/>
        </w:rPr>
        <w:t>0</w:t>
      </w:r>
      <w:r>
        <w:rPr>
          <w:rFonts w:ascii="仿宋" w:hAnsi="仿宋" w:eastAsia="仿宋"/>
          <w:b/>
          <w:bCs/>
          <w:color w:val="auto"/>
          <w:sz w:val="32"/>
          <w:szCs w:val="32"/>
          <w:highlight w:val="none"/>
        </w:rPr>
        <w:t>%</w:t>
      </w:r>
      <w:r>
        <w:rPr>
          <w:rFonts w:hint="eastAsia" w:ascii="仿宋" w:hAnsi="仿宋" w:eastAsia="仿宋"/>
          <w:color w:val="auto"/>
          <w:sz w:val="32"/>
          <w:szCs w:val="32"/>
          <w:highlight w:val="none"/>
        </w:rPr>
        <w:t>；</w:t>
      </w:r>
      <w:r>
        <w:rPr>
          <w:rFonts w:hint="eastAsia" w:ascii="仿宋" w:hAnsi="仿宋" w:eastAsia="仿宋"/>
          <w:b/>
          <w:color w:val="auto"/>
          <w:sz w:val="32"/>
          <w:szCs w:val="32"/>
          <w:highlight w:val="none"/>
        </w:rPr>
        <w:t>社会保障和就业</w:t>
      </w:r>
      <w:r>
        <w:rPr>
          <w:rFonts w:hint="eastAsia" w:ascii="仿宋" w:hAnsi="仿宋" w:eastAsia="仿宋"/>
          <w:b/>
          <w:bCs/>
          <w:color w:val="auto"/>
          <w:sz w:val="32"/>
          <w:szCs w:val="32"/>
          <w:highlight w:val="none"/>
        </w:rPr>
        <w:t>支出</w:t>
      </w:r>
      <w:r>
        <w:rPr>
          <w:rFonts w:hint="eastAsia" w:ascii="仿宋" w:hAnsi="仿宋" w:eastAsia="仿宋"/>
          <w:b/>
          <w:bCs/>
          <w:color w:val="auto"/>
          <w:sz w:val="32"/>
          <w:szCs w:val="32"/>
          <w:highlight w:val="none"/>
          <w:lang w:val="en-US" w:eastAsia="zh-CN"/>
        </w:rPr>
        <w:t>22.42</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15.69</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r>
        <w:rPr>
          <w:rFonts w:hint="eastAsia" w:ascii="仿宋" w:hAnsi="仿宋" w:eastAsia="仿宋"/>
          <w:b/>
          <w:bCs/>
          <w:color w:val="auto"/>
          <w:sz w:val="32"/>
          <w:szCs w:val="32"/>
          <w:highlight w:val="none"/>
        </w:rPr>
        <w:t>卫生健康支出</w:t>
      </w:r>
      <w:r>
        <w:rPr>
          <w:rFonts w:hint="eastAsia" w:ascii="仿宋" w:hAnsi="仿宋" w:eastAsia="仿宋"/>
          <w:b/>
          <w:bCs/>
          <w:color w:val="auto"/>
          <w:sz w:val="32"/>
          <w:szCs w:val="32"/>
          <w:highlight w:val="none"/>
          <w:lang w:val="en-US" w:eastAsia="zh-CN"/>
        </w:rPr>
        <w:t>4.82</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3.37</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r>
        <w:rPr>
          <w:rFonts w:hint="eastAsia" w:ascii="仿宋" w:hAnsi="仿宋" w:eastAsia="仿宋"/>
          <w:b/>
          <w:bCs/>
          <w:color w:val="auto"/>
          <w:sz w:val="32"/>
          <w:szCs w:val="32"/>
          <w:highlight w:val="none"/>
        </w:rPr>
        <w:t>住房保障支出</w:t>
      </w:r>
      <w:r>
        <w:rPr>
          <w:rFonts w:hint="eastAsia" w:ascii="仿宋" w:hAnsi="仿宋" w:eastAsia="仿宋"/>
          <w:b/>
          <w:bCs/>
          <w:color w:val="auto"/>
          <w:sz w:val="32"/>
          <w:szCs w:val="32"/>
          <w:highlight w:val="none"/>
          <w:lang w:val="en-US" w:eastAsia="zh-CN"/>
        </w:rPr>
        <w:t>11.02</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7.71</w:t>
      </w:r>
      <w:r>
        <w:rPr>
          <w:rFonts w:ascii="仿宋" w:hAnsi="仿宋" w:eastAsia="仿宋"/>
          <w:color w:val="auto"/>
          <w:sz w:val="32"/>
          <w:szCs w:val="32"/>
          <w:highlight w:val="none"/>
        </w:rPr>
        <w:t>%</w:t>
      </w:r>
      <w:r>
        <w:rPr>
          <w:rFonts w:hint="eastAsia" w:ascii="仿宋" w:hAnsi="仿宋" w:eastAsia="仿宋"/>
          <w:color w:val="auto"/>
          <w:sz w:val="32"/>
          <w:szCs w:val="32"/>
          <w:highlight w:val="none"/>
          <w:lang w:val="en-US" w:eastAsia="zh-CN"/>
        </w:rPr>
        <w:t>；</w:t>
      </w:r>
      <w:r>
        <w:rPr>
          <w:rFonts w:hint="eastAsia" w:ascii="仿宋" w:hAnsi="仿宋" w:eastAsia="仿宋"/>
          <w:b/>
          <w:bCs/>
          <w:color w:val="auto"/>
          <w:sz w:val="32"/>
          <w:szCs w:val="32"/>
          <w:highlight w:val="none"/>
          <w:lang w:val="en-US" w:eastAsia="zh-CN"/>
        </w:rPr>
        <w:t>农林水支出1.65</w:t>
      </w:r>
      <w:r>
        <w:rPr>
          <w:rFonts w:hint="eastAsia" w:ascii="仿宋" w:hAnsi="仿宋" w:eastAsia="仿宋"/>
          <w:color w:val="auto"/>
          <w:sz w:val="32"/>
          <w:szCs w:val="32"/>
          <w:highlight w:val="none"/>
          <w:lang w:val="en-US" w:eastAsia="zh-CN"/>
        </w:rPr>
        <w:t>万元，占1.17%</w:t>
      </w:r>
      <w:r>
        <w:rPr>
          <w:rFonts w:hint="eastAsia" w:ascii="仿宋" w:hAnsi="仿宋" w:eastAsia="仿宋"/>
          <w:color w:val="auto"/>
          <w:sz w:val="32"/>
          <w:szCs w:val="32"/>
          <w:highlight w:val="none"/>
        </w:rPr>
        <w:t>。</w:t>
      </w:r>
    </w:p>
    <w:p w14:paraId="3BA57090">
      <w:pPr>
        <w:spacing w:line="600" w:lineRule="exact"/>
        <w:ind w:left="638" w:leftChars="304" w:firstLine="0" w:firstLineChars="0"/>
        <w:outlineLvl w:val="2"/>
        <w:rPr>
          <w:rFonts w:hint="eastAsia" w:ascii="仿宋" w:hAnsi="仿宋" w:eastAsia="仿宋"/>
          <w:b/>
          <w:color w:val="auto"/>
          <w:sz w:val="32"/>
          <w:szCs w:val="32"/>
          <w:highlight w:val="none"/>
        </w:rPr>
      </w:pPr>
      <w:bookmarkStart w:id="46" w:name="_Toc15377212"/>
      <w:r>
        <w:rPr>
          <w:color w:val="auto"/>
        </w:rPr>
        <w:drawing>
          <wp:anchor distT="0" distB="0" distL="114300" distR="114300" simplePos="0" relativeHeight="251661312" behindDoc="1" locked="0" layoutInCell="1" allowOverlap="1">
            <wp:simplePos x="0" y="0"/>
            <wp:positionH relativeFrom="column">
              <wp:posOffset>248285</wp:posOffset>
            </wp:positionH>
            <wp:positionV relativeFrom="paragraph">
              <wp:posOffset>137795</wp:posOffset>
            </wp:positionV>
            <wp:extent cx="4572000" cy="2743200"/>
            <wp:effectExtent l="4445" t="4445" r="14605" b="14605"/>
            <wp:wrapThrough wrapText="bothSides">
              <wp:wrapPolygon>
                <wp:start x="-21" y="-35"/>
                <wp:lineTo x="-21" y="21565"/>
                <wp:lineTo x="21579" y="21565"/>
                <wp:lineTo x="21579" y="-35"/>
                <wp:lineTo x="-21" y="-35"/>
              </wp:wrapPolygon>
            </wp:wrapThrough>
            <wp:docPr id="5"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14:paraId="2578A1FE">
      <w:pPr>
        <w:spacing w:line="600" w:lineRule="exact"/>
        <w:ind w:left="638" w:leftChars="304" w:firstLine="0" w:firstLineChars="0"/>
        <w:outlineLvl w:val="2"/>
        <w:rPr>
          <w:rFonts w:hint="eastAsia" w:ascii="仿宋" w:hAnsi="仿宋" w:eastAsia="仿宋"/>
          <w:b/>
          <w:color w:val="auto"/>
          <w:sz w:val="32"/>
          <w:szCs w:val="32"/>
          <w:highlight w:val="none"/>
        </w:rPr>
      </w:pPr>
    </w:p>
    <w:p w14:paraId="7E13D588">
      <w:pPr>
        <w:spacing w:line="600" w:lineRule="exact"/>
        <w:ind w:left="638" w:leftChars="304" w:firstLine="0" w:firstLineChars="0"/>
        <w:outlineLvl w:val="2"/>
        <w:rPr>
          <w:rFonts w:hint="eastAsia" w:ascii="仿宋" w:hAnsi="仿宋" w:eastAsia="仿宋"/>
          <w:b/>
          <w:color w:val="auto"/>
          <w:sz w:val="32"/>
          <w:szCs w:val="32"/>
          <w:highlight w:val="none"/>
        </w:rPr>
      </w:pPr>
    </w:p>
    <w:p w14:paraId="7E465C71">
      <w:pPr>
        <w:spacing w:line="600" w:lineRule="exact"/>
        <w:ind w:left="638" w:leftChars="304" w:firstLine="0" w:firstLineChars="0"/>
        <w:outlineLvl w:val="2"/>
        <w:rPr>
          <w:rFonts w:hint="eastAsia" w:ascii="仿宋" w:hAnsi="仿宋" w:eastAsia="仿宋"/>
          <w:b/>
          <w:color w:val="auto"/>
          <w:sz w:val="32"/>
          <w:szCs w:val="32"/>
          <w:highlight w:val="none"/>
        </w:rPr>
      </w:pPr>
    </w:p>
    <w:p w14:paraId="245D41A3">
      <w:pPr>
        <w:spacing w:line="600" w:lineRule="exact"/>
        <w:ind w:left="638" w:leftChars="304" w:firstLine="0" w:firstLineChars="0"/>
        <w:outlineLvl w:val="2"/>
        <w:rPr>
          <w:rFonts w:hint="eastAsia" w:ascii="楷体_GB2312" w:hAnsi="楷体_GB2312" w:eastAsia="楷体_GB2312" w:cs="楷体_GB2312"/>
          <w:b w:val="0"/>
          <w:bCs/>
          <w:color w:val="auto"/>
          <w:sz w:val="32"/>
          <w:szCs w:val="32"/>
          <w:highlight w:val="none"/>
        </w:rPr>
      </w:pPr>
      <w:r>
        <w:rPr>
          <w:rFonts w:hint="eastAsia" w:ascii="仿宋" w:hAnsi="仿宋" w:eastAsia="仿宋"/>
          <w:b/>
          <w:color w:val="auto"/>
          <w:sz w:val="32"/>
          <w:szCs w:val="32"/>
          <w:highlight w:val="none"/>
        </w:rPr>
        <w:t>（三）一般公共预算</w:t>
      </w:r>
      <w:r>
        <w:rPr>
          <w:rFonts w:hint="eastAsia" w:ascii="楷体_GB2312" w:hAnsi="楷体_GB2312" w:eastAsia="楷体_GB2312" w:cs="楷体_GB2312"/>
          <w:b w:val="0"/>
          <w:bCs/>
          <w:color w:val="auto"/>
          <w:sz w:val="32"/>
          <w:szCs w:val="32"/>
          <w:highlight w:val="none"/>
          <w:lang w:eastAsia="zh-CN"/>
        </w:rPr>
        <w:t>（三）</w:t>
      </w:r>
      <w:r>
        <w:rPr>
          <w:rFonts w:hint="eastAsia" w:ascii="楷体_GB2312" w:hAnsi="楷体_GB2312" w:eastAsia="楷体_GB2312" w:cs="楷体_GB2312"/>
          <w:b w:val="0"/>
          <w:bCs/>
          <w:color w:val="auto"/>
          <w:sz w:val="32"/>
          <w:szCs w:val="32"/>
          <w:highlight w:val="none"/>
        </w:rPr>
        <w:t>财政拨款支出决算具体情况</w:t>
      </w:r>
      <w:bookmarkEnd w:id="46"/>
    </w:p>
    <w:p w14:paraId="3E62A517">
      <w:pPr>
        <w:spacing w:line="600" w:lineRule="exact"/>
        <w:ind w:firstLine="643" w:firstLineChars="200"/>
        <w:outlineLvl w:val="2"/>
        <w:rPr>
          <w:rFonts w:ascii="仿宋" w:hAnsi="仿宋" w:eastAsia="仿宋"/>
          <w:color w:val="auto"/>
          <w:sz w:val="32"/>
          <w:szCs w:val="32"/>
          <w:highlight w:val="none"/>
        </w:rPr>
      </w:pPr>
      <w:bookmarkStart w:id="47" w:name="_Toc15377213"/>
      <w:bookmarkStart w:id="48" w:name="_Toc15378460"/>
      <w:bookmarkStart w:id="49" w:name="_Toc15377444"/>
      <w:r>
        <w:rPr>
          <w:rFonts w:hint="eastAsia" w:ascii="仿宋" w:hAnsi="仿宋" w:eastAsia="仿宋"/>
          <w:b/>
          <w:color w:val="auto"/>
          <w:sz w:val="32"/>
          <w:szCs w:val="32"/>
          <w:highlight w:val="none"/>
        </w:rPr>
        <w:t>20</w:t>
      </w:r>
      <w:r>
        <w:rPr>
          <w:rFonts w:hint="eastAsia" w:ascii="仿宋" w:hAnsi="仿宋" w:eastAsia="仿宋"/>
          <w:b/>
          <w:color w:val="auto"/>
          <w:sz w:val="32"/>
          <w:szCs w:val="32"/>
          <w:highlight w:val="none"/>
          <w:lang w:val="en-US" w:eastAsia="zh-CN"/>
        </w:rPr>
        <w:t>24</w:t>
      </w:r>
      <w:r>
        <w:rPr>
          <w:rFonts w:hint="eastAsia" w:ascii="仿宋" w:hAnsi="仿宋" w:eastAsia="仿宋"/>
          <w:b/>
          <w:color w:val="auto"/>
          <w:sz w:val="32"/>
          <w:szCs w:val="32"/>
          <w:highlight w:val="none"/>
        </w:rPr>
        <w:t>年</w:t>
      </w:r>
      <w:r>
        <w:rPr>
          <w:rFonts w:hint="eastAsia" w:ascii="仿宋" w:hAnsi="仿宋" w:eastAsia="仿宋"/>
          <w:b/>
          <w:color w:val="auto"/>
          <w:sz w:val="32"/>
          <w:szCs w:val="32"/>
          <w:highlight w:val="none"/>
          <w:lang w:eastAsia="zh-CN"/>
        </w:rPr>
        <w:t>一</w:t>
      </w:r>
      <w:r>
        <w:rPr>
          <w:rFonts w:hint="eastAsia" w:ascii="仿宋" w:hAnsi="仿宋" w:eastAsia="仿宋"/>
          <w:b/>
          <w:color w:val="auto"/>
          <w:sz w:val="32"/>
          <w:szCs w:val="32"/>
          <w:highlight w:val="none"/>
        </w:rPr>
        <w:t>般公共预算支出决算数为</w:t>
      </w:r>
      <w:r>
        <w:rPr>
          <w:rFonts w:hint="eastAsia" w:ascii="仿宋" w:hAnsi="仿宋" w:eastAsia="仿宋"/>
          <w:b/>
          <w:color w:val="auto"/>
          <w:sz w:val="32"/>
          <w:szCs w:val="32"/>
          <w:highlight w:val="none"/>
          <w:lang w:val="en-US" w:eastAsia="zh-CN"/>
        </w:rPr>
        <w:t>142.85</w:t>
      </w:r>
      <w:r>
        <w:rPr>
          <w:rFonts w:hint="eastAsia" w:ascii="仿宋" w:hAnsi="仿宋" w:eastAsia="仿宋"/>
          <w:color w:val="auto"/>
          <w:sz w:val="32"/>
          <w:szCs w:val="32"/>
          <w:highlight w:val="none"/>
        </w:rPr>
        <w:t>，</w:t>
      </w:r>
      <w:r>
        <w:rPr>
          <w:rStyle w:val="17"/>
          <w:rFonts w:hint="eastAsia" w:ascii="仿宋" w:hAnsi="仿宋" w:eastAsia="仿宋"/>
          <w:bCs/>
          <w:color w:val="auto"/>
          <w:sz w:val="32"/>
          <w:szCs w:val="32"/>
          <w:highlight w:val="none"/>
        </w:rPr>
        <w:t>完成预算</w:t>
      </w:r>
      <w:r>
        <w:rPr>
          <w:rStyle w:val="17"/>
          <w:rFonts w:hint="eastAsia" w:ascii="仿宋" w:hAnsi="仿宋" w:eastAsia="仿宋"/>
          <w:bCs/>
          <w:color w:val="auto"/>
          <w:sz w:val="32"/>
          <w:szCs w:val="32"/>
          <w:highlight w:val="none"/>
          <w:lang w:val="en-US" w:eastAsia="zh-CN"/>
        </w:rPr>
        <w:t>100</w:t>
      </w:r>
      <w:r>
        <w:rPr>
          <w:rStyle w:val="17"/>
          <w:rFonts w:ascii="仿宋" w:hAnsi="仿宋" w:eastAsia="仿宋"/>
          <w:bCs/>
          <w:color w:val="auto"/>
          <w:sz w:val="32"/>
          <w:szCs w:val="32"/>
          <w:highlight w:val="none"/>
        </w:rPr>
        <w:t>%</w:t>
      </w:r>
      <w:r>
        <w:rPr>
          <w:rStyle w:val="17"/>
          <w:rFonts w:hint="eastAsia" w:ascii="仿宋" w:hAnsi="仿宋" w:eastAsia="仿宋"/>
          <w:bCs/>
          <w:color w:val="auto"/>
          <w:sz w:val="32"/>
          <w:szCs w:val="32"/>
          <w:highlight w:val="none"/>
        </w:rPr>
        <w:t>。其中：</w:t>
      </w:r>
      <w:bookmarkEnd w:id="47"/>
      <w:bookmarkEnd w:id="48"/>
      <w:bookmarkEnd w:id="49"/>
    </w:p>
    <w:p w14:paraId="0BEF4ACF">
      <w:pPr>
        <w:spacing w:line="600" w:lineRule="exact"/>
        <w:ind w:firstLine="643" w:firstLineChars="200"/>
        <w:rPr>
          <w:rFonts w:ascii="仿宋" w:hAnsi="仿宋" w:eastAsia="仿宋"/>
          <w:b/>
          <w:color w:val="auto"/>
          <w:sz w:val="32"/>
          <w:szCs w:val="32"/>
          <w:highlight w:val="none"/>
        </w:rPr>
      </w:pPr>
      <w:r>
        <w:rPr>
          <w:rStyle w:val="17"/>
          <w:rFonts w:ascii="仿宋" w:hAnsi="仿宋" w:eastAsia="仿宋"/>
          <w:bCs/>
          <w:color w:val="auto"/>
          <w:sz w:val="32"/>
          <w:szCs w:val="32"/>
          <w:highlight w:val="none"/>
        </w:rPr>
        <w:t>1.</w:t>
      </w:r>
      <w:r>
        <w:rPr>
          <w:rStyle w:val="17"/>
          <w:rFonts w:hint="eastAsia" w:ascii="仿宋" w:hAnsi="仿宋" w:eastAsia="仿宋"/>
          <w:bCs/>
          <w:color w:val="auto"/>
          <w:sz w:val="32"/>
          <w:szCs w:val="32"/>
          <w:highlight w:val="none"/>
        </w:rPr>
        <w:t>一般公共服务（</w:t>
      </w:r>
      <w:r>
        <w:rPr>
          <w:rStyle w:val="17"/>
          <w:rFonts w:hint="eastAsia" w:ascii="仿宋" w:hAnsi="仿宋" w:eastAsia="仿宋"/>
          <w:bCs/>
          <w:color w:val="auto"/>
          <w:sz w:val="32"/>
          <w:szCs w:val="32"/>
          <w:highlight w:val="none"/>
          <w:lang w:val="en-US" w:eastAsia="zh-CN"/>
        </w:rPr>
        <w:t>201</w:t>
      </w:r>
      <w:r>
        <w:rPr>
          <w:rStyle w:val="17"/>
          <w:rFonts w:hint="eastAsia" w:ascii="仿宋" w:hAnsi="仿宋" w:eastAsia="仿宋"/>
          <w:bCs/>
          <w:color w:val="auto"/>
          <w:sz w:val="32"/>
          <w:szCs w:val="32"/>
          <w:highlight w:val="none"/>
        </w:rPr>
        <w:t>类）</w:t>
      </w:r>
      <w:r>
        <w:rPr>
          <w:rStyle w:val="17"/>
          <w:rFonts w:hint="eastAsia" w:ascii="仿宋" w:hAnsi="仿宋" w:eastAsia="仿宋"/>
          <w:bCs/>
          <w:color w:val="auto"/>
          <w:sz w:val="32"/>
          <w:szCs w:val="32"/>
          <w:highlight w:val="none"/>
          <w:lang w:val="en-US" w:eastAsia="zh-CN"/>
        </w:rPr>
        <w:t>档案事务</w:t>
      </w:r>
      <w:r>
        <w:rPr>
          <w:rStyle w:val="17"/>
          <w:rFonts w:hint="eastAsia" w:ascii="仿宋" w:hAnsi="仿宋" w:eastAsia="仿宋"/>
          <w:bCs/>
          <w:color w:val="auto"/>
          <w:sz w:val="32"/>
          <w:szCs w:val="32"/>
          <w:highlight w:val="none"/>
        </w:rPr>
        <w:t>（</w:t>
      </w:r>
      <w:r>
        <w:rPr>
          <w:rStyle w:val="17"/>
          <w:rFonts w:hint="eastAsia" w:ascii="仿宋" w:hAnsi="仿宋" w:eastAsia="仿宋"/>
          <w:bCs/>
          <w:color w:val="auto"/>
          <w:sz w:val="32"/>
          <w:szCs w:val="32"/>
          <w:highlight w:val="none"/>
          <w:lang w:val="en-US" w:eastAsia="zh-CN"/>
        </w:rPr>
        <w:t>26</w:t>
      </w:r>
      <w:r>
        <w:rPr>
          <w:rStyle w:val="17"/>
          <w:rFonts w:hint="eastAsia" w:ascii="仿宋" w:hAnsi="仿宋" w:eastAsia="仿宋"/>
          <w:bCs/>
          <w:color w:val="auto"/>
          <w:sz w:val="32"/>
          <w:szCs w:val="32"/>
          <w:highlight w:val="none"/>
        </w:rPr>
        <w:t>款）</w:t>
      </w:r>
      <w:r>
        <w:rPr>
          <w:rStyle w:val="17"/>
          <w:rFonts w:hint="eastAsia" w:ascii="仿宋" w:hAnsi="仿宋" w:eastAsia="仿宋"/>
          <w:bCs/>
          <w:color w:val="auto"/>
          <w:sz w:val="32"/>
          <w:szCs w:val="32"/>
          <w:highlight w:val="none"/>
          <w:lang w:val="en-US" w:eastAsia="zh-CN"/>
        </w:rPr>
        <w:t>行政运行</w:t>
      </w:r>
      <w:r>
        <w:rPr>
          <w:rStyle w:val="17"/>
          <w:rFonts w:hint="eastAsia" w:ascii="仿宋" w:hAnsi="仿宋" w:eastAsia="仿宋"/>
          <w:bCs/>
          <w:color w:val="auto"/>
          <w:sz w:val="32"/>
          <w:szCs w:val="32"/>
          <w:highlight w:val="none"/>
        </w:rPr>
        <w:t>（</w:t>
      </w:r>
      <w:r>
        <w:rPr>
          <w:rStyle w:val="17"/>
          <w:rFonts w:hint="eastAsia" w:ascii="仿宋" w:hAnsi="仿宋" w:eastAsia="仿宋"/>
          <w:bCs/>
          <w:color w:val="auto"/>
          <w:sz w:val="32"/>
          <w:szCs w:val="32"/>
          <w:highlight w:val="none"/>
          <w:lang w:val="en-US" w:eastAsia="zh-CN"/>
        </w:rPr>
        <w:t>01</w:t>
      </w:r>
      <w:r>
        <w:rPr>
          <w:rStyle w:val="17"/>
          <w:rFonts w:hint="eastAsia" w:ascii="仿宋" w:hAnsi="仿宋" w:eastAsia="仿宋"/>
          <w:bCs/>
          <w:color w:val="auto"/>
          <w:sz w:val="32"/>
          <w:szCs w:val="32"/>
          <w:highlight w:val="none"/>
        </w:rPr>
        <w:t>项）</w:t>
      </w:r>
      <w:r>
        <w:rPr>
          <w:rStyle w:val="17"/>
          <w:rFonts w:ascii="仿宋" w:hAnsi="仿宋" w:eastAsia="仿宋"/>
          <w:bCs/>
          <w:color w:val="auto"/>
          <w:sz w:val="32"/>
          <w:szCs w:val="32"/>
          <w:highlight w:val="none"/>
        </w:rPr>
        <w:t>:</w:t>
      </w:r>
      <w:r>
        <w:rPr>
          <w:rStyle w:val="17"/>
          <w:rFonts w:ascii="仿宋" w:hAnsi="仿宋" w:eastAsia="仿宋"/>
          <w:b w:val="0"/>
          <w:bCs/>
          <w:color w:val="auto"/>
          <w:sz w:val="32"/>
          <w:szCs w:val="32"/>
          <w:highlight w:val="none"/>
        </w:rPr>
        <w:t xml:space="preserve"> </w:t>
      </w:r>
      <w:r>
        <w:rPr>
          <w:rStyle w:val="17"/>
          <w:rFonts w:hint="eastAsia" w:ascii="仿宋" w:hAnsi="仿宋" w:eastAsia="仿宋"/>
          <w:b w:val="0"/>
          <w:bCs/>
          <w:color w:val="auto"/>
          <w:sz w:val="32"/>
          <w:szCs w:val="32"/>
          <w:highlight w:val="none"/>
        </w:rPr>
        <w:t>支出决算为</w:t>
      </w:r>
      <w:r>
        <w:rPr>
          <w:rStyle w:val="17"/>
          <w:rFonts w:hint="eastAsia" w:ascii="仿宋" w:hAnsi="仿宋" w:eastAsia="仿宋"/>
          <w:b w:val="0"/>
          <w:bCs/>
          <w:color w:val="auto"/>
          <w:sz w:val="32"/>
          <w:szCs w:val="32"/>
          <w:highlight w:val="none"/>
          <w:lang w:val="en-US" w:eastAsia="zh-CN"/>
        </w:rPr>
        <w:t>102.94</w:t>
      </w:r>
      <w:r>
        <w:rPr>
          <w:rStyle w:val="17"/>
          <w:rFonts w:hint="eastAsia" w:ascii="仿宋" w:hAnsi="仿宋" w:eastAsia="仿宋"/>
          <w:b w:val="0"/>
          <w:bCs/>
          <w:color w:val="auto"/>
          <w:sz w:val="32"/>
          <w:szCs w:val="32"/>
          <w:highlight w:val="none"/>
        </w:rPr>
        <w:t>万元，完成预算</w:t>
      </w:r>
      <w:r>
        <w:rPr>
          <w:rStyle w:val="17"/>
          <w:rFonts w:hint="eastAsia" w:ascii="仿宋" w:hAnsi="仿宋" w:eastAsia="仿宋"/>
          <w:b w:val="0"/>
          <w:bCs/>
          <w:color w:val="auto"/>
          <w:sz w:val="32"/>
          <w:szCs w:val="32"/>
          <w:highlight w:val="none"/>
          <w:lang w:val="en-US" w:eastAsia="zh-CN"/>
        </w:rPr>
        <w:t>100</w:t>
      </w:r>
      <w:r>
        <w:rPr>
          <w:rStyle w:val="17"/>
          <w:rFonts w:ascii="仿宋" w:hAnsi="仿宋" w:eastAsia="仿宋"/>
          <w:b w:val="0"/>
          <w:bCs/>
          <w:color w:val="auto"/>
          <w:sz w:val="32"/>
          <w:szCs w:val="32"/>
          <w:highlight w:val="none"/>
        </w:rPr>
        <w:t>%</w:t>
      </w:r>
      <w:r>
        <w:rPr>
          <w:rStyle w:val="17"/>
          <w:rFonts w:hint="eastAsia" w:ascii="仿宋" w:hAnsi="仿宋" w:eastAsia="仿宋"/>
          <w:b w:val="0"/>
          <w:bCs/>
          <w:color w:val="auto"/>
          <w:sz w:val="32"/>
          <w:szCs w:val="32"/>
          <w:highlight w:val="none"/>
        </w:rPr>
        <w:t>，决算数等于预算数。</w:t>
      </w:r>
    </w:p>
    <w:p w14:paraId="0EC26669">
      <w:pPr>
        <w:spacing w:line="600" w:lineRule="exact"/>
        <w:ind w:firstLine="643" w:firstLineChars="200"/>
        <w:rPr>
          <w:rStyle w:val="17"/>
          <w:rFonts w:ascii="仿宋" w:hAnsi="仿宋" w:eastAsia="仿宋"/>
          <w:bCs/>
          <w:color w:val="auto"/>
          <w:sz w:val="32"/>
          <w:szCs w:val="32"/>
          <w:highlight w:val="none"/>
        </w:rPr>
      </w:pPr>
      <w:r>
        <w:rPr>
          <w:rStyle w:val="17"/>
          <w:rFonts w:hint="eastAsia" w:ascii="仿宋" w:hAnsi="仿宋" w:eastAsia="仿宋"/>
          <w:bCs/>
          <w:color w:val="auto"/>
          <w:sz w:val="32"/>
          <w:szCs w:val="32"/>
          <w:highlight w:val="none"/>
          <w:lang w:val="en-US" w:eastAsia="zh-CN"/>
        </w:rPr>
        <w:t>2</w:t>
      </w:r>
      <w:r>
        <w:rPr>
          <w:rStyle w:val="17"/>
          <w:rFonts w:ascii="仿宋" w:hAnsi="仿宋" w:eastAsia="仿宋"/>
          <w:bCs/>
          <w:color w:val="auto"/>
          <w:sz w:val="32"/>
          <w:szCs w:val="32"/>
          <w:highlight w:val="none"/>
        </w:rPr>
        <w:t>.</w:t>
      </w:r>
      <w:r>
        <w:rPr>
          <w:rStyle w:val="17"/>
          <w:rFonts w:hint="eastAsia" w:ascii="仿宋" w:hAnsi="仿宋" w:eastAsia="仿宋"/>
          <w:bCs/>
          <w:color w:val="auto"/>
          <w:sz w:val="32"/>
          <w:szCs w:val="32"/>
          <w:highlight w:val="none"/>
        </w:rPr>
        <w:t>社会保障和就业（</w:t>
      </w:r>
      <w:r>
        <w:rPr>
          <w:rStyle w:val="17"/>
          <w:rFonts w:hint="eastAsia" w:ascii="仿宋" w:hAnsi="仿宋" w:eastAsia="仿宋"/>
          <w:bCs/>
          <w:color w:val="auto"/>
          <w:sz w:val="32"/>
          <w:szCs w:val="32"/>
          <w:highlight w:val="none"/>
          <w:lang w:val="en-US" w:eastAsia="zh-CN"/>
        </w:rPr>
        <w:t>208</w:t>
      </w:r>
      <w:r>
        <w:rPr>
          <w:rStyle w:val="17"/>
          <w:rFonts w:hint="eastAsia" w:ascii="仿宋" w:hAnsi="仿宋" w:eastAsia="仿宋"/>
          <w:bCs/>
          <w:color w:val="auto"/>
          <w:sz w:val="32"/>
          <w:szCs w:val="32"/>
          <w:highlight w:val="none"/>
        </w:rPr>
        <w:t>类）行政事业单位养老支出（</w:t>
      </w:r>
      <w:r>
        <w:rPr>
          <w:rStyle w:val="17"/>
          <w:rFonts w:hint="eastAsia" w:ascii="仿宋" w:hAnsi="仿宋" w:eastAsia="仿宋"/>
          <w:bCs/>
          <w:color w:val="auto"/>
          <w:sz w:val="32"/>
          <w:szCs w:val="32"/>
          <w:highlight w:val="none"/>
          <w:lang w:val="en-US" w:eastAsia="zh-CN"/>
        </w:rPr>
        <w:t>05</w:t>
      </w:r>
      <w:r>
        <w:rPr>
          <w:rStyle w:val="17"/>
          <w:rFonts w:hint="eastAsia" w:ascii="仿宋" w:hAnsi="仿宋" w:eastAsia="仿宋"/>
          <w:bCs/>
          <w:color w:val="auto"/>
          <w:sz w:val="32"/>
          <w:szCs w:val="32"/>
          <w:highlight w:val="none"/>
        </w:rPr>
        <w:t>款）机关事业单位基本养老保险缴费支出（</w:t>
      </w:r>
      <w:r>
        <w:rPr>
          <w:rStyle w:val="17"/>
          <w:rFonts w:hint="eastAsia" w:ascii="仿宋" w:hAnsi="仿宋" w:eastAsia="仿宋"/>
          <w:bCs/>
          <w:color w:val="auto"/>
          <w:sz w:val="32"/>
          <w:szCs w:val="32"/>
          <w:highlight w:val="none"/>
          <w:lang w:val="en-US" w:eastAsia="zh-CN"/>
        </w:rPr>
        <w:t>05</w:t>
      </w:r>
      <w:r>
        <w:rPr>
          <w:rStyle w:val="17"/>
          <w:rFonts w:hint="eastAsia" w:ascii="仿宋" w:hAnsi="仿宋" w:eastAsia="仿宋"/>
          <w:bCs/>
          <w:color w:val="auto"/>
          <w:sz w:val="32"/>
          <w:szCs w:val="32"/>
          <w:highlight w:val="none"/>
        </w:rPr>
        <w:t>项）</w:t>
      </w:r>
      <w:r>
        <w:rPr>
          <w:rStyle w:val="17"/>
          <w:rFonts w:ascii="仿宋" w:hAnsi="仿宋" w:eastAsia="仿宋"/>
          <w:bCs/>
          <w:color w:val="auto"/>
          <w:sz w:val="32"/>
          <w:szCs w:val="32"/>
          <w:highlight w:val="none"/>
        </w:rPr>
        <w:t>:</w:t>
      </w:r>
      <w:r>
        <w:rPr>
          <w:rStyle w:val="17"/>
          <w:rFonts w:ascii="仿宋" w:hAnsi="仿宋" w:eastAsia="仿宋"/>
          <w:b w:val="0"/>
          <w:bCs/>
          <w:color w:val="auto"/>
          <w:sz w:val="32"/>
          <w:szCs w:val="32"/>
          <w:highlight w:val="none"/>
        </w:rPr>
        <w:t xml:space="preserve"> </w:t>
      </w:r>
      <w:r>
        <w:rPr>
          <w:rStyle w:val="17"/>
          <w:rFonts w:hint="eastAsia" w:ascii="仿宋" w:hAnsi="仿宋" w:eastAsia="仿宋"/>
          <w:b w:val="0"/>
          <w:bCs/>
          <w:color w:val="auto"/>
          <w:sz w:val="32"/>
          <w:szCs w:val="32"/>
          <w:highlight w:val="none"/>
        </w:rPr>
        <w:t>支出决算为</w:t>
      </w:r>
      <w:r>
        <w:rPr>
          <w:rStyle w:val="17"/>
          <w:rFonts w:hint="eastAsia" w:ascii="仿宋" w:hAnsi="仿宋" w:eastAsia="仿宋"/>
          <w:b w:val="0"/>
          <w:bCs/>
          <w:color w:val="auto"/>
          <w:sz w:val="32"/>
          <w:szCs w:val="32"/>
          <w:highlight w:val="none"/>
          <w:lang w:val="en-US" w:eastAsia="zh-CN"/>
        </w:rPr>
        <w:t>19.28</w:t>
      </w:r>
      <w:r>
        <w:rPr>
          <w:rStyle w:val="17"/>
          <w:rFonts w:hint="eastAsia" w:ascii="仿宋" w:hAnsi="仿宋" w:eastAsia="仿宋"/>
          <w:b w:val="0"/>
          <w:bCs/>
          <w:color w:val="auto"/>
          <w:sz w:val="32"/>
          <w:szCs w:val="32"/>
          <w:highlight w:val="none"/>
        </w:rPr>
        <w:t>万元，完成预算</w:t>
      </w:r>
      <w:r>
        <w:rPr>
          <w:rStyle w:val="17"/>
          <w:rFonts w:hint="eastAsia" w:ascii="仿宋" w:hAnsi="仿宋" w:eastAsia="仿宋"/>
          <w:b w:val="0"/>
          <w:bCs/>
          <w:color w:val="auto"/>
          <w:sz w:val="32"/>
          <w:szCs w:val="32"/>
          <w:highlight w:val="none"/>
          <w:lang w:val="en-US" w:eastAsia="zh-CN"/>
        </w:rPr>
        <w:t>100</w:t>
      </w:r>
      <w:r>
        <w:rPr>
          <w:rStyle w:val="17"/>
          <w:rFonts w:ascii="仿宋" w:hAnsi="仿宋" w:eastAsia="仿宋"/>
          <w:b w:val="0"/>
          <w:bCs/>
          <w:color w:val="auto"/>
          <w:sz w:val="32"/>
          <w:szCs w:val="32"/>
          <w:highlight w:val="none"/>
        </w:rPr>
        <w:t>%</w:t>
      </w:r>
      <w:r>
        <w:rPr>
          <w:rStyle w:val="17"/>
          <w:rFonts w:hint="eastAsia" w:ascii="仿宋" w:hAnsi="仿宋" w:eastAsia="仿宋"/>
          <w:b w:val="0"/>
          <w:bCs/>
          <w:color w:val="auto"/>
          <w:sz w:val="32"/>
          <w:szCs w:val="32"/>
          <w:highlight w:val="none"/>
        </w:rPr>
        <w:t>，决算数等于预算数。</w:t>
      </w:r>
    </w:p>
    <w:p w14:paraId="067491AF">
      <w:pPr>
        <w:numPr>
          <w:ilvl w:val="0"/>
          <w:numId w:val="0"/>
        </w:numPr>
        <w:spacing w:line="600" w:lineRule="exact"/>
        <w:ind w:firstLine="643" w:firstLineChars="200"/>
        <w:rPr>
          <w:rStyle w:val="17"/>
          <w:rFonts w:hint="eastAsia" w:ascii="仿宋" w:hAnsi="仿宋" w:eastAsia="仿宋"/>
          <w:b w:val="0"/>
          <w:bCs/>
          <w:color w:val="auto"/>
          <w:sz w:val="32"/>
          <w:szCs w:val="32"/>
          <w:highlight w:val="none"/>
        </w:rPr>
      </w:pPr>
      <w:r>
        <w:rPr>
          <w:rStyle w:val="17"/>
          <w:rFonts w:hint="eastAsia" w:ascii="仿宋" w:hAnsi="仿宋" w:eastAsia="仿宋"/>
          <w:bCs/>
          <w:color w:val="auto"/>
          <w:sz w:val="32"/>
          <w:szCs w:val="32"/>
          <w:highlight w:val="none"/>
          <w:lang w:val="en-US" w:eastAsia="zh-CN"/>
        </w:rPr>
        <w:t>3.</w:t>
      </w:r>
      <w:r>
        <w:rPr>
          <w:rStyle w:val="17"/>
          <w:rFonts w:hint="eastAsia" w:ascii="仿宋" w:hAnsi="仿宋" w:eastAsia="仿宋"/>
          <w:bCs/>
          <w:color w:val="auto"/>
          <w:sz w:val="32"/>
          <w:szCs w:val="32"/>
          <w:highlight w:val="none"/>
        </w:rPr>
        <w:t>社会保障和就业（</w:t>
      </w:r>
      <w:r>
        <w:rPr>
          <w:rStyle w:val="17"/>
          <w:rFonts w:hint="eastAsia" w:ascii="仿宋" w:hAnsi="仿宋" w:eastAsia="仿宋"/>
          <w:bCs/>
          <w:color w:val="auto"/>
          <w:sz w:val="32"/>
          <w:szCs w:val="32"/>
          <w:highlight w:val="none"/>
          <w:lang w:val="en-US" w:eastAsia="zh-CN"/>
        </w:rPr>
        <w:t>208</w:t>
      </w:r>
      <w:r>
        <w:rPr>
          <w:rStyle w:val="17"/>
          <w:rFonts w:hint="eastAsia" w:ascii="仿宋" w:hAnsi="仿宋" w:eastAsia="仿宋"/>
          <w:bCs/>
          <w:color w:val="auto"/>
          <w:sz w:val="32"/>
          <w:szCs w:val="32"/>
          <w:highlight w:val="none"/>
        </w:rPr>
        <w:t>类）行政事业单位养老支出（</w:t>
      </w:r>
      <w:r>
        <w:rPr>
          <w:rStyle w:val="17"/>
          <w:rFonts w:hint="eastAsia" w:ascii="仿宋" w:hAnsi="仿宋" w:eastAsia="仿宋"/>
          <w:bCs/>
          <w:color w:val="auto"/>
          <w:sz w:val="32"/>
          <w:szCs w:val="32"/>
          <w:highlight w:val="none"/>
          <w:lang w:val="en-US" w:eastAsia="zh-CN"/>
        </w:rPr>
        <w:t>05</w:t>
      </w:r>
      <w:r>
        <w:rPr>
          <w:rStyle w:val="17"/>
          <w:rFonts w:hint="eastAsia" w:ascii="仿宋" w:hAnsi="仿宋" w:eastAsia="仿宋"/>
          <w:bCs/>
          <w:color w:val="auto"/>
          <w:sz w:val="32"/>
          <w:szCs w:val="32"/>
          <w:highlight w:val="none"/>
        </w:rPr>
        <w:t>款）机关事业单位职业年金缴费支出（</w:t>
      </w:r>
      <w:r>
        <w:rPr>
          <w:rStyle w:val="17"/>
          <w:rFonts w:hint="eastAsia" w:ascii="仿宋" w:hAnsi="仿宋" w:eastAsia="仿宋"/>
          <w:bCs/>
          <w:color w:val="auto"/>
          <w:sz w:val="32"/>
          <w:szCs w:val="32"/>
          <w:highlight w:val="none"/>
          <w:lang w:val="en-US" w:eastAsia="zh-CN"/>
        </w:rPr>
        <w:t>06</w:t>
      </w:r>
      <w:r>
        <w:rPr>
          <w:rStyle w:val="17"/>
          <w:rFonts w:hint="eastAsia" w:ascii="仿宋" w:hAnsi="仿宋" w:eastAsia="仿宋"/>
          <w:bCs/>
          <w:color w:val="auto"/>
          <w:sz w:val="32"/>
          <w:szCs w:val="32"/>
          <w:highlight w:val="none"/>
        </w:rPr>
        <w:t>项）</w:t>
      </w:r>
      <w:r>
        <w:rPr>
          <w:rStyle w:val="17"/>
          <w:rFonts w:ascii="仿宋" w:hAnsi="仿宋" w:eastAsia="仿宋"/>
          <w:bCs/>
          <w:color w:val="auto"/>
          <w:sz w:val="32"/>
          <w:szCs w:val="32"/>
          <w:highlight w:val="none"/>
        </w:rPr>
        <w:t>:</w:t>
      </w:r>
      <w:r>
        <w:rPr>
          <w:rStyle w:val="17"/>
          <w:rFonts w:ascii="仿宋" w:hAnsi="仿宋" w:eastAsia="仿宋"/>
          <w:b w:val="0"/>
          <w:bCs/>
          <w:color w:val="auto"/>
          <w:sz w:val="32"/>
          <w:szCs w:val="32"/>
          <w:highlight w:val="none"/>
        </w:rPr>
        <w:t xml:space="preserve"> </w:t>
      </w:r>
      <w:r>
        <w:rPr>
          <w:rStyle w:val="17"/>
          <w:rFonts w:hint="eastAsia" w:ascii="仿宋" w:hAnsi="仿宋" w:eastAsia="仿宋"/>
          <w:b w:val="0"/>
          <w:bCs/>
          <w:color w:val="auto"/>
          <w:sz w:val="32"/>
          <w:szCs w:val="32"/>
          <w:highlight w:val="none"/>
        </w:rPr>
        <w:t>支出决算为</w:t>
      </w:r>
      <w:r>
        <w:rPr>
          <w:rStyle w:val="17"/>
          <w:rFonts w:hint="eastAsia" w:ascii="仿宋" w:hAnsi="仿宋" w:eastAsia="仿宋"/>
          <w:b w:val="0"/>
          <w:bCs/>
          <w:color w:val="auto"/>
          <w:sz w:val="32"/>
          <w:szCs w:val="32"/>
          <w:highlight w:val="none"/>
          <w:lang w:val="en-US" w:eastAsia="zh-CN"/>
        </w:rPr>
        <w:t>6.06</w:t>
      </w:r>
      <w:r>
        <w:rPr>
          <w:rStyle w:val="17"/>
          <w:rFonts w:hint="eastAsia" w:ascii="仿宋" w:hAnsi="仿宋" w:eastAsia="仿宋"/>
          <w:b w:val="0"/>
          <w:bCs/>
          <w:color w:val="auto"/>
          <w:sz w:val="32"/>
          <w:szCs w:val="32"/>
          <w:highlight w:val="none"/>
        </w:rPr>
        <w:t>万元，完成预算</w:t>
      </w:r>
      <w:r>
        <w:rPr>
          <w:rStyle w:val="17"/>
          <w:rFonts w:hint="eastAsia" w:ascii="仿宋" w:hAnsi="仿宋" w:eastAsia="仿宋"/>
          <w:b w:val="0"/>
          <w:bCs/>
          <w:color w:val="auto"/>
          <w:sz w:val="32"/>
          <w:szCs w:val="32"/>
          <w:highlight w:val="none"/>
          <w:lang w:val="en-US" w:eastAsia="zh-CN"/>
        </w:rPr>
        <w:t>100</w:t>
      </w:r>
      <w:r>
        <w:rPr>
          <w:rStyle w:val="17"/>
          <w:rFonts w:ascii="仿宋" w:hAnsi="仿宋" w:eastAsia="仿宋"/>
          <w:b w:val="0"/>
          <w:bCs/>
          <w:color w:val="auto"/>
          <w:sz w:val="32"/>
          <w:szCs w:val="32"/>
          <w:highlight w:val="none"/>
        </w:rPr>
        <w:t>%</w:t>
      </w:r>
      <w:r>
        <w:rPr>
          <w:rStyle w:val="17"/>
          <w:rFonts w:hint="eastAsia" w:ascii="仿宋" w:hAnsi="仿宋" w:eastAsia="仿宋"/>
          <w:b w:val="0"/>
          <w:bCs/>
          <w:color w:val="auto"/>
          <w:sz w:val="32"/>
          <w:szCs w:val="32"/>
          <w:highlight w:val="none"/>
        </w:rPr>
        <w:t>，决算数等于预算数。</w:t>
      </w:r>
    </w:p>
    <w:p w14:paraId="148753A5">
      <w:pPr>
        <w:spacing w:line="600" w:lineRule="exact"/>
        <w:ind w:firstLine="643" w:firstLineChars="200"/>
        <w:rPr>
          <w:rStyle w:val="17"/>
          <w:rFonts w:ascii="仿宋" w:hAnsi="仿宋" w:eastAsia="仿宋"/>
          <w:bCs/>
          <w:color w:val="auto"/>
          <w:sz w:val="32"/>
          <w:szCs w:val="32"/>
          <w:highlight w:val="none"/>
        </w:rPr>
      </w:pPr>
      <w:r>
        <w:rPr>
          <w:rStyle w:val="17"/>
          <w:rFonts w:hint="eastAsia" w:ascii="仿宋" w:hAnsi="仿宋" w:eastAsia="仿宋"/>
          <w:bCs/>
          <w:color w:val="auto"/>
          <w:sz w:val="32"/>
          <w:szCs w:val="32"/>
          <w:highlight w:val="none"/>
          <w:lang w:val="en-US" w:eastAsia="zh-CN"/>
        </w:rPr>
        <w:t>4.</w:t>
      </w:r>
      <w:r>
        <w:rPr>
          <w:rStyle w:val="17"/>
          <w:rFonts w:hint="eastAsia" w:ascii="仿宋" w:hAnsi="仿宋" w:eastAsia="仿宋"/>
          <w:bCs/>
          <w:color w:val="auto"/>
          <w:sz w:val="32"/>
          <w:szCs w:val="32"/>
          <w:highlight w:val="none"/>
        </w:rPr>
        <w:t>社会保障和就业（</w:t>
      </w:r>
      <w:r>
        <w:rPr>
          <w:rStyle w:val="17"/>
          <w:rFonts w:hint="eastAsia" w:ascii="仿宋" w:hAnsi="仿宋" w:eastAsia="仿宋"/>
          <w:bCs/>
          <w:color w:val="auto"/>
          <w:sz w:val="32"/>
          <w:szCs w:val="32"/>
          <w:highlight w:val="none"/>
          <w:lang w:val="en-US" w:eastAsia="zh-CN"/>
        </w:rPr>
        <w:t>208</w:t>
      </w:r>
      <w:r>
        <w:rPr>
          <w:rStyle w:val="17"/>
          <w:rFonts w:hint="eastAsia" w:ascii="仿宋" w:hAnsi="仿宋" w:eastAsia="仿宋"/>
          <w:bCs/>
          <w:color w:val="auto"/>
          <w:sz w:val="32"/>
          <w:szCs w:val="32"/>
          <w:highlight w:val="none"/>
        </w:rPr>
        <w:t>类）其他社会保障和就业支出（</w:t>
      </w:r>
      <w:r>
        <w:rPr>
          <w:rStyle w:val="17"/>
          <w:rFonts w:hint="eastAsia" w:ascii="仿宋" w:hAnsi="仿宋" w:eastAsia="仿宋"/>
          <w:bCs/>
          <w:color w:val="auto"/>
          <w:sz w:val="32"/>
          <w:szCs w:val="32"/>
          <w:highlight w:val="none"/>
          <w:lang w:val="en-US" w:eastAsia="zh-CN"/>
        </w:rPr>
        <w:t>99</w:t>
      </w:r>
      <w:r>
        <w:rPr>
          <w:rStyle w:val="17"/>
          <w:rFonts w:hint="eastAsia" w:ascii="仿宋" w:hAnsi="仿宋" w:eastAsia="仿宋"/>
          <w:bCs/>
          <w:color w:val="auto"/>
          <w:sz w:val="32"/>
          <w:szCs w:val="32"/>
          <w:highlight w:val="none"/>
        </w:rPr>
        <w:t>款）其他社会保障和就业支出（</w:t>
      </w:r>
      <w:r>
        <w:rPr>
          <w:rStyle w:val="17"/>
          <w:rFonts w:hint="eastAsia" w:ascii="仿宋" w:hAnsi="仿宋" w:eastAsia="仿宋"/>
          <w:bCs/>
          <w:color w:val="auto"/>
          <w:sz w:val="32"/>
          <w:szCs w:val="32"/>
          <w:highlight w:val="none"/>
          <w:lang w:val="en-US" w:eastAsia="zh-CN"/>
        </w:rPr>
        <w:t>99</w:t>
      </w:r>
      <w:r>
        <w:rPr>
          <w:rStyle w:val="17"/>
          <w:rFonts w:hint="eastAsia" w:ascii="仿宋" w:hAnsi="仿宋" w:eastAsia="仿宋"/>
          <w:bCs/>
          <w:color w:val="auto"/>
          <w:sz w:val="32"/>
          <w:szCs w:val="32"/>
          <w:highlight w:val="none"/>
        </w:rPr>
        <w:t>项）</w:t>
      </w:r>
      <w:r>
        <w:rPr>
          <w:rStyle w:val="17"/>
          <w:rFonts w:ascii="仿宋" w:hAnsi="仿宋" w:eastAsia="仿宋"/>
          <w:bCs/>
          <w:color w:val="auto"/>
          <w:sz w:val="32"/>
          <w:szCs w:val="32"/>
          <w:highlight w:val="none"/>
        </w:rPr>
        <w:t>:</w:t>
      </w:r>
      <w:r>
        <w:rPr>
          <w:rStyle w:val="17"/>
          <w:rFonts w:ascii="仿宋" w:hAnsi="仿宋" w:eastAsia="仿宋"/>
          <w:b w:val="0"/>
          <w:bCs/>
          <w:color w:val="auto"/>
          <w:sz w:val="32"/>
          <w:szCs w:val="32"/>
          <w:highlight w:val="none"/>
        </w:rPr>
        <w:t xml:space="preserve"> </w:t>
      </w:r>
      <w:r>
        <w:rPr>
          <w:rStyle w:val="17"/>
          <w:rFonts w:hint="eastAsia" w:ascii="仿宋" w:hAnsi="仿宋" w:eastAsia="仿宋"/>
          <w:b w:val="0"/>
          <w:bCs/>
          <w:color w:val="auto"/>
          <w:sz w:val="32"/>
          <w:szCs w:val="32"/>
          <w:highlight w:val="none"/>
        </w:rPr>
        <w:t>支出决算为</w:t>
      </w:r>
      <w:r>
        <w:rPr>
          <w:rStyle w:val="17"/>
          <w:rFonts w:hint="eastAsia" w:ascii="仿宋" w:hAnsi="仿宋" w:eastAsia="仿宋"/>
          <w:b w:val="0"/>
          <w:bCs/>
          <w:color w:val="auto"/>
          <w:sz w:val="32"/>
          <w:szCs w:val="32"/>
          <w:highlight w:val="none"/>
          <w:lang w:val="en-US" w:eastAsia="zh-CN"/>
        </w:rPr>
        <w:t>3.14</w:t>
      </w:r>
      <w:r>
        <w:rPr>
          <w:rStyle w:val="17"/>
          <w:rFonts w:hint="eastAsia" w:ascii="仿宋" w:hAnsi="仿宋" w:eastAsia="仿宋"/>
          <w:b w:val="0"/>
          <w:bCs/>
          <w:color w:val="auto"/>
          <w:sz w:val="32"/>
          <w:szCs w:val="32"/>
          <w:highlight w:val="none"/>
        </w:rPr>
        <w:t>万元，完成预算</w:t>
      </w:r>
      <w:r>
        <w:rPr>
          <w:rStyle w:val="17"/>
          <w:rFonts w:hint="eastAsia" w:ascii="仿宋" w:hAnsi="仿宋" w:eastAsia="仿宋"/>
          <w:b w:val="0"/>
          <w:bCs/>
          <w:color w:val="auto"/>
          <w:sz w:val="32"/>
          <w:szCs w:val="32"/>
          <w:highlight w:val="none"/>
          <w:lang w:val="en-US" w:eastAsia="zh-CN"/>
        </w:rPr>
        <w:t>100</w:t>
      </w:r>
      <w:r>
        <w:rPr>
          <w:rStyle w:val="17"/>
          <w:rFonts w:ascii="仿宋" w:hAnsi="仿宋" w:eastAsia="仿宋"/>
          <w:b w:val="0"/>
          <w:bCs/>
          <w:color w:val="auto"/>
          <w:sz w:val="32"/>
          <w:szCs w:val="32"/>
          <w:highlight w:val="none"/>
        </w:rPr>
        <w:t>%</w:t>
      </w:r>
      <w:r>
        <w:rPr>
          <w:rStyle w:val="17"/>
          <w:rFonts w:hint="eastAsia" w:ascii="仿宋" w:hAnsi="仿宋" w:eastAsia="仿宋"/>
          <w:b w:val="0"/>
          <w:bCs/>
          <w:color w:val="auto"/>
          <w:sz w:val="32"/>
          <w:szCs w:val="32"/>
          <w:highlight w:val="none"/>
        </w:rPr>
        <w:t>，决算数等于预算数。</w:t>
      </w:r>
    </w:p>
    <w:p w14:paraId="2F93CCFA">
      <w:pPr>
        <w:spacing w:line="600" w:lineRule="exact"/>
        <w:ind w:firstLine="643" w:firstLineChars="200"/>
        <w:rPr>
          <w:rStyle w:val="17"/>
          <w:rFonts w:hint="eastAsia" w:ascii="仿宋" w:hAnsi="仿宋" w:eastAsia="仿宋"/>
          <w:b w:val="0"/>
          <w:bCs/>
          <w:color w:val="auto"/>
          <w:sz w:val="32"/>
          <w:szCs w:val="32"/>
          <w:highlight w:val="none"/>
        </w:rPr>
      </w:pPr>
      <w:r>
        <w:rPr>
          <w:rStyle w:val="17"/>
          <w:rFonts w:hint="eastAsia" w:ascii="仿宋" w:hAnsi="仿宋" w:eastAsia="仿宋"/>
          <w:bCs/>
          <w:color w:val="auto"/>
          <w:sz w:val="32"/>
          <w:szCs w:val="32"/>
          <w:highlight w:val="none"/>
          <w:lang w:val="en-US" w:eastAsia="zh-CN"/>
        </w:rPr>
        <w:t>5</w:t>
      </w:r>
      <w:r>
        <w:rPr>
          <w:rStyle w:val="17"/>
          <w:rFonts w:ascii="仿宋" w:hAnsi="仿宋" w:eastAsia="仿宋"/>
          <w:bCs/>
          <w:color w:val="auto"/>
          <w:sz w:val="32"/>
          <w:szCs w:val="32"/>
          <w:highlight w:val="none"/>
        </w:rPr>
        <w:t>.</w:t>
      </w:r>
      <w:r>
        <w:rPr>
          <w:rFonts w:hint="eastAsia" w:ascii="仿宋" w:hAnsi="仿宋" w:eastAsia="仿宋"/>
          <w:b/>
          <w:bCs/>
          <w:color w:val="auto"/>
          <w:sz w:val="32"/>
          <w:szCs w:val="32"/>
          <w:highlight w:val="none"/>
        </w:rPr>
        <w:t>卫生健康</w:t>
      </w:r>
      <w:r>
        <w:rPr>
          <w:rStyle w:val="17"/>
          <w:rFonts w:hint="eastAsia" w:ascii="仿宋" w:hAnsi="仿宋" w:eastAsia="仿宋"/>
          <w:bCs/>
          <w:color w:val="auto"/>
          <w:sz w:val="32"/>
          <w:szCs w:val="32"/>
          <w:highlight w:val="none"/>
        </w:rPr>
        <w:t>（</w:t>
      </w:r>
      <w:r>
        <w:rPr>
          <w:rStyle w:val="17"/>
          <w:rFonts w:hint="eastAsia" w:ascii="仿宋" w:hAnsi="仿宋" w:eastAsia="仿宋"/>
          <w:bCs/>
          <w:color w:val="auto"/>
          <w:sz w:val="32"/>
          <w:szCs w:val="32"/>
          <w:highlight w:val="none"/>
          <w:lang w:val="en-US" w:eastAsia="zh-CN"/>
        </w:rPr>
        <w:t>210</w:t>
      </w:r>
      <w:r>
        <w:rPr>
          <w:rStyle w:val="17"/>
          <w:rFonts w:hint="eastAsia" w:ascii="仿宋" w:hAnsi="仿宋" w:eastAsia="仿宋"/>
          <w:bCs/>
          <w:color w:val="auto"/>
          <w:sz w:val="32"/>
          <w:szCs w:val="32"/>
          <w:highlight w:val="none"/>
        </w:rPr>
        <w:t>类）行政事业单位医疗（</w:t>
      </w:r>
      <w:r>
        <w:rPr>
          <w:rStyle w:val="17"/>
          <w:rFonts w:hint="eastAsia" w:ascii="仿宋" w:hAnsi="仿宋" w:eastAsia="仿宋"/>
          <w:bCs/>
          <w:color w:val="auto"/>
          <w:sz w:val="32"/>
          <w:szCs w:val="32"/>
          <w:highlight w:val="none"/>
          <w:lang w:val="en-US" w:eastAsia="zh-CN"/>
        </w:rPr>
        <w:t>11</w:t>
      </w:r>
      <w:r>
        <w:rPr>
          <w:rStyle w:val="17"/>
          <w:rFonts w:hint="eastAsia" w:ascii="仿宋" w:hAnsi="仿宋" w:eastAsia="仿宋"/>
          <w:bCs/>
          <w:color w:val="auto"/>
          <w:sz w:val="32"/>
          <w:szCs w:val="32"/>
          <w:highlight w:val="none"/>
        </w:rPr>
        <w:t>款）行政单位医疗（</w:t>
      </w:r>
      <w:r>
        <w:rPr>
          <w:rStyle w:val="17"/>
          <w:rFonts w:hint="eastAsia" w:ascii="仿宋" w:hAnsi="仿宋" w:eastAsia="仿宋"/>
          <w:bCs/>
          <w:color w:val="auto"/>
          <w:sz w:val="32"/>
          <w:szCs w:val="32"/>
          <w:highlight w:val="none"/>
          <w:lang w:val="en-US" w:eastAsia="zh-CN"/>
        </w:rPr>
        <w:t>01</w:t>
      </w:r>
      <w:r>
        <w:rPr>
          <w:rStyle w:val="17"/>
          <w:rFonts w:hint="eastAsia" w:ascii="仿宋" w:hAnsi="仿宋" w:eastAsia="仿宋"/>
          <w:bCs/>
          <w:color w:val="auto"/>
          <w:sz w:val="32"/>
          <w:szCs w:val="32"/>
          <w:highlight w:val="none"/>
        </w:rPr>
        <w:t>项）</w:t>
      </w:r>
      <w:r>
        <w:rPr>
          <w:rStyle w:val="17"/>
          <w:rFonts w:ascii="仿宋" w:hAnsi="仿宋" w:eastAsia="仿宋"/>
          <w:bCs/>
          <w:color w:val="auto"/>
          <w:sz w:val="32"/>
          <w:szCs w:val="32"/>
          <w:highlight w:val="none"/>
        </w:rPr>
        <w:t>:</w:t>
      </w:r>
      <w:r>
        <w:rPr>
          <w:rStyle w:val="17"/>
          <w:rFonts w:hint="eastAsia" w:ascii="仿宋" w:hAnsi="仿宋" w:eastAsia="仿宋"/>
          <w:b w:val="0"/>
          <w:bCs/>
          <w:color w:val="auto"/>
          <w:sz w:val="32"/>
          <w:szCs w:val="32"/>
          <w:highlight w:val="none"/>
        </w:rPr>
        <w:t>支出决算为</w:t>
      </w:r>
      <w:r>
        <w:rPr>
          <w:rStyle w:val="17"/>
          <w:rFonts w:hint="eastAsia" w:ascii="仿宋" w:hAnsi="仿宋" w:eastAsia="仿宋"/>
          <w:b w:val="0"/>
          <w:bCs/>
          <w:color w:val="auto"/>
          <w:sz w:val="32"/>
          <w:szCs w:val="32"/>
          <w:highlight w:val="none"/>
          <w:lang w:val="en-US" w:eastAsia="zh-CN"/>
        </w:rPr>
        <w:t>3.77</w:t>
      </w:r>
      <w:r>
        <w:rPr>
          <w:rStyle w:val="17"/>
          <w:rFonts w:hint="eastAsia" w:ascii="仿宋" w:hAnsi="仿宋" w:eastAsia="仿宋"/>
          <w:b w:val="0"/>
          <w:bCs/>
          <w:color w:val="auto"/>
          <w:sz w:val="32"/>
          <w:szCs w:val="32"/>
          <w:highlight w:val="none"/>
        </w:rPr>
        <w:t>万元，完成预算</w:t>
      </w:r>
      <w:r>
        <w:rPr>
          <w:rStyle w:val="17"/>
          <w:rFonts w:hint="eastAsia" w:ascii="仿宋" w:hAnsi="仿宋" w:eastAsia="仿宋"/>
          <w:b w:val="0"/>
          <w:bCs/>
          <w:color w:val="auto"/>
          <w:sz w:val="32"/>
          <w:szCs w:val="32"/>
          <w:highlight w:val="none"/>
          <w:lang w:val="en-US" w:eastAsia="zh-CN"/>
        </w:rPr>
        <w:t>100</w:t>
      </w:r>
      <w:r>
        <w:rPr>
          <w:rStyle w:val="17"/>
          <w:rFonts w:ascii="仿宋" w:hAnsi="仿宋" w:eastAsia="仿宋"/>
          <w:b w:val="0"/>
          <w:bCs/>
          <w:color w:val="auto"/>
          <w:sz w:val="32"/>
          <w:szCs w:val="32"/>
          <w:highlight w:val="none"/>
        </w:rPr>
        <w:t>%</w:t>
      </w:r>
      <w:r>
        <w:rPr>
          <w:rStyle w:val="17"/>
          <w:rFonts w:hint="eastAsia" w:ascii="仿宋" w:hAnsi="仿宋" w:eastAsia="仿宋"/>
          <w:b w:val="0"/>
          <w:bCs/>
          <w:color w:val="auto"/>
          <w:sz w:val="32"/>
          <w:szCs w:val="32"/>
          <w:highlight w:val="none"/>
        </w:rPr>
        <w:t>，决算数等于预算数。</w:t>
      </w:r>
    </w:p>
    <w:p w14:paraId="6065A947">
      <w:pPr>
        <w:spacing w:line="600" w:lineRule="exact"/>
        <w:ind w:firstLine="643" w:firstLineChars="200"/>
        <w:rPr>
          <w:color w:val="auto"/>
        </w:rPr>
      </w:pPr>
      <w:r>
        <w:rPr>
          <w:rStyle w:val="17"/>
          <w:rFonts w:hint="eastAsia" w:ascii="仿宋" w:hAnsi="仿宋" w:eastAsia="仿宋"/>
          <w:bCs/>
          <w:color w:val="auto"/>
          <w:sz w:val="32"/>
          <w:szCs w:val="32"/>
          <w:highlight w:val="none"/>
          <w:lang w:val="en-US" w:eastAsia="zh-CN"/>
        </w:rPr>
        <w:t>6</w:t>
      </w:r>
      <w:r>
        <w:rPr>
          <w:rStyle w:val="17"/>
          <w:rFonts w:ascii="仿宋" w:hAnsi="仿宋" w:eastAsia="仿宋"/>
          <w:bCs/>
          <w:color w:val="auto"/>
          <w:sz w:val="32"/>
          <w:szCs w:val="32"/>
          <w:highlight w:val="none"/>
        </w:rPr>
        <w:t>.</w:t>
      </w:r>
      <w:r>
        <w:rPr>
          <w:rFonts w:hint="eastAsia" w:ascii="仿宋" w:hAnsi="仿宋" w:eastAsia="仿宋"/>
          <w:b/>
          <w:bCs/>
          <w:color w:val="auto"/>
          <w:sz w:val="32"/>
          <w:szCs w:val="32"/>
          <w:highlight w:val="none"/>
        </w:rPr>
        <w:t>卫生健康</w:t>
      </w:r>
      <w:r>
        <w:rPr>
          <w:rStyle w:val="17"/>
          <w:rFonts w:hint="eastAsia" w:ascii="仿宋" w:hAnsi="仿宋" w:eastAsia="仿宋"/>
          <w:bCs/>
          <w:color w:val="auto"/>
          <w:sz w:val="32"/>
          <w:szCs w:val="32"/>
          <w:highlight w:val="none"/>
        </w:rPr>
        <w:t>（</w:t>
      </w:r>
      <w:r>
        <w:rPr>
          <w:rStyle w:val="17"/>
          <w:rFonts w:hint="eastAsia" w:ascii="仿宋" w:hAnsi="仿宋" w:eastAsia="仿宋"/>
          <w:bCs/>
          <w:color w:val="auto"/>
          <w:sz w:val="32"/>
          <w:szCs w:val="32"/>
          <w:highlight w:val="none"/>
          <w:lang w:val="en-US" w:eastAsia="zh-CN"/>
        </w:rPr>
        <w:t>210</w:t>
      </w:r>
      <w:r>
        <w:rPr>
          <w:rStyle w:val="17"/>
          <w:rFonts w:hint="eastAsia" w:ascii="仿宋" w:hAnsi="仿宋" w:eastAsia="仿宋"/>
          <w:bCs/>
          <w:color w:val="auto"/>
          <w:sz w:val="32"/>
          <w:szCs w:val="32"/>
          <w:highlight w:val="none"/>
        </w:rPr>
        <w:t>类）行政事业单位医疗（</w:t>
      </w:r>
      <w:r>
        <w:rPr>
          <w:rStyle w:val="17"/>
          <w:rFonts w:hint="eastAsia" w:ascii="仿宋" w:hAnsi="仿宋" w:eastAsia="仿宋"/>
          <w:bCs/>
          <w:color w:val="auto"/>
          <w:sz w:val="32"/>
          <w:szCs w:val="32"/>
          <w:highlight w:val="none"/>
          <w:lang w:val="en-US" w:eastAsia="zh-CN"/>
        </w:rPr>
        <w:t>11</w:t>
      </w:r>
      <w:r>
        <w:rPr>
          <w:rStyle w:val="17"/>
          <w:rFonts w:hint="eastAsia" w:ascii="仿宋" w:hAnsi="仿宋" w:eastAsia="仿宋"/>
          <w:bCs/>
          <w:color w:val="auto"/>
          <w:sz w:val="32"/>
          <w:szCs w:val="32"/>
          <w:highlight w:val="none"/>
        </w:rPr>
        <w:t>款）</w:t>
      </w:r>
      <w:r>
        <w:rPr>
          <w:rStyle w:val="17"/>
          <w:rFonts w:hint="eastAsia" w:ascii="仿宋" w:hAnsi="仿宋" w:eastAsia="仿宋"/>
          <w:bCs/>
          <w:color w:val="auto"/>
          <w:sz w:val="32"/>
          <w:szCs w:val="32"/>
          <w:highlight w:val="none"/>
          <w:lang w:eastAsia="zh-CN"/>
        </w:rPr>
        <w:t>公务员</w:t>
      </w:r>
      <w:r>
        <w:rPr>
          <w:rStyle w:val="17"/>
          <w:rFonts w:hint="eastAsia" w:ascii="仿宋" w:hAnsi="仿宋" w:eastAsia="仿宋"/>
          <w:bCs/>
          <w:color w:val="auto"/>
          <w:sz w:val="32"/>
          <w:szCs w:val="32"/>
          <w:highlight w:val="none"/>
        </w:rPr>
        <w:t>医疗</w:t>
      </w:r>
      <w:r>
        <w:rPr>
          <w:rStyle w:val="17"/>
          <w:rFonts w:hint="eastAsia" w:ascii="仿宋" w:hAnsi="仿宋" w:eastAsia="仿宋"/>
          <w:bCs/>
          <w:color w:val="auto"/>
          <w:sz w:val="32"/>
          <w:szCs w:val="32"/>
          <w:highlight w:val="none"/>
          <w:lang w:eastAsia="zh-CN"/>
        </w:rPr>
        <w:t>补助</w:t>
      </w:r>
      <w:r>
        <w:rPr>
          <w:rStyle w:val="17"/>
          <w:rFonts w:hint="eastAsia" w:ascii="仿宋" w:hAnsi="仿宋" w:eastAsia="仿宋"/>
          <w:bCs/>
          <w:color w:val="auto"/>
          <w:sz w:val="32"/>
          <w:szCs w:val="32"/>
          <w:highlight w:val="none"/>
        </w:rPr>
        <w:t>（</w:t>
      </w:r>
      <w:r>
        <w:rPr>
          <w:rStyle w:val="17"/>
          <w:rFonts w:hint="eastAsia" w:ascii="仿宋" w:hAnsi="仿宋" w:eastAsia="仿宋"/>
          <w:bCs/>
          <w:color w:val="auto"/>
          <w:sz w:val="32"/>
          <w:szCs w:val="32"/>
          <w:highlight w:val="none"/>
          <w:lang w:val="en-US" w:eastAsia="zh-CN"/>
        </w:rPr>
        <w:t>03</w:t>
      </w:r>
      <w:r>
        <w:rPr>
          <w:rStyle w:val="17"/>
          <w:rFonts w:hint="eastAsia" w:ascii="仿宋" w:hAnsi="仿宋" w:eastAsia="仿宋"/>
          <w:bCs/>
          <w:color w:val="auto"/>
          <w:sz w:val="32"/>
          <w:szCs w:val="32"/>
          <w:highlight w:val="none"/>
        </w:rPr>
        <w:t>项）</w:t>
      </w:r>
      <w:r>
        <w:rPr>
          <w:rStyle w:val="17"/>
          <w:rFonts w:ascii="仿宋" w:hAnsi="仿宋" w:eastAsia="仿宋"/>
          <w:bCs/>
          <w:color w:val="auto"/>
          <w:sz w:val="32"/>
          <w:szCs w:val="32"/>
          <w:highlight w:val="none"/>
        </w:rPr>
        <w:t>:</w:t>
      </w:r>
      <w:r>
        <w:rPr>
          <w:rStyle w:val="17"/>
          <w:rFonts w:hint="eastAsia" w:ascii="仿宋" w:hAnsi="仿宋" w:eastAsia="仿宋"/>
          <w:b w:val="0"/>
          <w:bCs/>
          <w:color w:val="auto"/>
          <w:sz w:val="32"/>
          <w:szCs w:val="32"/>
          <w:highlight w:val="none"/>
        </w:rPr>
        <w:t>支出决算为</w:t>
      </w:r>
      <w:r>
        <w:rPr>
          <w:rStyle w:val="17"/>
          <w:rFonts w:hint="eastAsia" w:ascii="仿宋" w:hAnsi="仿宋" w:eastAsia="仿宋"/>
          <w:b w:val="0"/>
          <w:bCs/>
          <w:color w:val="auto"/>
          <w:sz w:val="32"/>
          <w:szCs w:val="32"/>
          <w:highlight w:val="none"/>
          <w:lang w:val="en-US" w:eastAsia="zh-CN"/>
        </w:rPr>
        <w:t>1.06</w:t>
      </w:r>
      <w:r>
        <w:rPr>
          <w:rStyle w:val="17"/>
          <w:rFonts w:hint="eastAsia" w:ascii="仿宋" w:hAnsi="仿宋" w:eastAsia="仿宋"/>
          <w:b w:val="0"/>
          <w:bCs/>
          <w:color w:val="auto"/>
          <w:sz w:val="32"/>
          <w:szCs w:val="32"/>
          <w:highlight w:val="none"/>
        </w:rPr>
        <w:t>万元，完成预算</w:t>
      </w:r>
      <w:r>
        <w:rPr>
          <w:rStyle w:val="17"/>
          <w:rFonts w:hint="eastAsia" w:ascii="仿宋" w:hAnsi="仿宋" w:eastAsia="仿宋"/>
          <w:b w:val="0"/>
          <w:bCs/>
          <w:color w:val="auto"/>
          <w:sz w:val="32"/>
          <w:szCs w:val="32"/>
          <w:highlight w:val="none"/>
          <w:lang w:val="en-US" w:eastAsia="zh-CN"/>
        </w:rPr>
        <w:t>100</w:t>
      </w:r>
      <w:r>
        <w:rPr>
          <w:rStyle w:val="17"/>
          <w:rFonts w:ascii="仿宋" w:hAnsi="仿宋" w:eastAsia="仿宋"/>
          <w:b w:val="0"/>
          <w:bCs/>
          <w:color w:val="auto"/>
          <w:sz w:val="32"/>
          <w:szCs w:val="32"/>
          <w:highlight w:val="none"/>
        </w:rPr>
        <w:t>%</w:t>
      </w:r>
      <w:r>
        <w:rPr>
          <w:rStyle w:val="17"/>
          <w:rFonts w:hint="eastAsia" w:ascii="仿宋" w:hAnsi="仿宋" w:eastAsia="仿宋"/>
          <w:b w:val="0"/>
          <w:bCs/>
          <w:color w:val="auto"/>
          <w:sz w:val="32"/>
          <w:szCs w:val="32"/>
          <w:highlight w:val="none"/>
        </w:rPr>
        <w:t>，决算数等于预算数。</w:t>
      </w:r>
    </w:p>
    <w:p w14:paraId="18712D80">
      <w:pPr>
        <w:spacing w:line="600" w:lineRule="exact"/>
        <w:ind w:firstLine="643" w:firstLineChars="200"/>
        <w:rPr>
          <w:rFonts w:hint="eastAsia" w:ascii="仿宋" w:hAnsi="仿宋" w:eastAsia="仿宋"/>
          <w:color w:val="auto"/>
          <w:sz w:val="32"/>
          <w:szCs w:val="32"/>
          <w:highlight w:val="none"/>
          <w:lang w:val="en-US" w:eastAsia="zh-CN"/>
        </w:rPr>
      </w:pPr>
      <w:r>
        <w:rPr>
          <w:rFonts w:hint="eastAsia" w:ascii="仿宋" w:hAnsi="仿宋" w:eastAsia="仿宋"/>
          <w:b/>
          <w:bCs/>
          <w:color w:val="auto"/>
          <w:sz w:val="32"/>
          <w:szCs w:val="32"/>
          <w:highlight w:val="none"/>
          <w:lang w:val="en-US" w:eastAsia="zh-CN"/>
        </w:rPr>
        <w:t>7.农林水支出（213类）农业农村（01款）其他农业农村支出（99项）：</w:t>
      </w:r>
      <w:r>
        <w:rPr>
          <w:rFonts w:hint="eastAsia" w:ascii="仿宋" w:hAnsi="仿宋" w:eastAsia="仿宋"/>
          <w:color w:val="auto"/>
          <w:sz w:val="32"/>
          <w:szCs w:val="32"/>
          <w:highlight w:val="none"/>
          <w:lang w:val="en-US" w:eastAsia="zh-CN"/>
        </w:rPr>
        <w:t>支出决算为1.65万元，完成预算100%，决算数等于预算数。</w:t>
      </w:r>
    </w:p>
    <w:p w14:paraId="1537CCB1">
      <w:pPr>
        <w:pStyle w:val="6"/>
        <w:ind w:firstLine="643" w:firstLineChars="200"/>
        <w:rPr>
          <w:rFonts w:ascii="仿宋" w:hAnsi="仿宋" w:eastAsia="仿宋"/>
          <w:b/>
          <w:color w:val="auto"/>
          <w:sz w:val="32"/>
          <w:szCs w:val="32"/>
          <w:highlight w:val="none"/>
        </w:rPr>
      </w:pPr>
      <w:r>
        <w:rPr>
          <w:rFonts w:hint="eastAsia" w:ascii="仿宋" w:hAnsi="仿宋" w:eastAsia="仿宋"/>
          <w:b/>
          <w:bCs/>
          <w:color w:val="auto"/>
          <w:sz w:val="32"/>
          <w:szCs w:val="32"/>
          <w:highlight w:val="none"/>
          <w:lang w:val="en-US" w:eastAsia="zh-CN"/>
        </w:rPr>
        <w:t>8.住房保障支出（221类）住房改革支出（02款）住房公积金（01项）：</w:t>
      </w:r>
      <w:r>
        <w:rPr>
          <w:rFonts w:hint="eastAsia" w:ascii="仿宋" w:hAnsi="仿宋" w:eastAsia="仿宋"/>
          <w:color w:val="auto"/>
          <w:sz w:val="32"/>
          <w:szCs w:val="32"/>
          <w:highlight w:val="none"/>
          <w:lang w:val="en-US" w:eastAsia="zh-CN"/>
        </w:rPr>
        <w:t>支出决算为11.02万元，完成预算100%，决算等于预算数。</w:t>
      </w:r>
    </w:p>
    <w:p w14:paraId="3E6EF733">
      <w:pPr>
        <w:tabs>
          <w:tab w:val="right" w:pos="8306"/>
        </w:tabs>
        <w:spacing w:line="600" w:lineRule="exact"/>
        <w:ind w:firstLine="640"/>
        <w:outlineLvl w:val="1"/>
        <w:rPr>
          <w:rStyle w:val="29"/>
          <w:color w:val="auto"/>
          <w:highlight w:val="none"/>
        </w:rPr>
      </w:pPr>
      <w:bookmarkStart w:id="50" w:name="_Toc15396608"/>
      <w:bookmarkStart w:id="51" w:name="_Toc15377214"/>
      <w:bookmarkStart w:id="52" w:name="_Toc30190"/>
      <w:r>
        <w:rPr>
          <w:rFonts w:hint="eastAsia" w:ascii="黑体" w:eastAsia="黑体"/>
          <w:color w:val="auto"/>
          <w:sz w:val="32"/>
          <w:szCs w:val="32"/>
          <w:highlight w:val="none"/>
        </w:rPr>
        <w:t>六</w:t>
      </w:r>
      <w:r>
        <w:rPr>
          <w:rFonts w:hint="eastAsia" w:ascii="黑体" w:eastAsia="黑体"/>
          <w:b/>
          <w:color w:val="auto"/>
          <w:sz w:val="32"/>
          <w:szCs w:val="32"/>
          <w:highlight w:val="none"/>
        </w:rPr>
        <w:t>、</w:t>
      </w:r>
      <w:r>
        <w:rPr>
          <w:rFonts w:hint="eastAsia" w:ascii="黑体" w:hAnsi="黑体" w:eastAsia="黑体"/>
          <w:b/>
          <w:color w:val="auto"/>
          <w:sz w:val="32"/>
          <w:szCs w:val="32"/>
          <w:highlight w:val="none"/>
        </w:rPr>
        <w:t>一</w:t>
      </w:r>
      <w:r>
        <w:rPr>
          <w:rStyle w:val="29"/>
          <w:rFonts w:hint="eastAsia" w:ascii="黑体" w:hAnsi="黑体" w:eastAsia="黑体"/>
          <w:b w:val="0"/>
          <w:color w:val="auto"/>
          <w:highlight w:val="none"/>
        </w:rPr>
        <w:t>般公共预算财政拨款基本支出决算情况说明</w:t>
      </w:r>
      <w:bookmarkEnd w:id="50"/>
      <w:bookmarkEnd w:id="51"/>
      <w:bookmarkEnd w:id="52"/>
      <w:r>
        <w:rPr>
          <w:rStyle w:val="29"/>
          <w:rFonts w:ascii="黑体" w:hAnsi="黑体" w:eastAsia="黑体"/>
          <w:b w:val="0"/>
          <w:color w:val="auto"/>
          <w:highlight w:val="none"/>
        </w:rPr>
        <w:tab/>
      </w:r>
    </w:p>
    <w:p w14:paraId="14860D14">
      <w:pPr>
        <w:spacing w:line="600" w:lineRule="exact"/>
        <w:ind w:firstLine="645"/>
        <w:rPr>
          <w:rFonts w:ascii="仿宋" w:hAnsi="仿宋" w:eastAsia="仿宋"/>
          <w:color w:val="auto"/>
          <w:sz w:val="32"/>
          <w:szCs w:val="32"/>
          <w:highlight w:val="none"/>
        </w:rPr>
      </w:pPr>
      <w:r>
        <w:rPr>
          <w:rFonts w:ascii="仿宋" w:hAnsi="仿宋" w:eastAsia="仿宋"/>
          <w:color w:val="auto"/>
          <w:sz w:val="32"/>
          <w:szCs w:val="32"/>
          <w:highlight w:val="none"/>
        </w:rPr>
        <w:t>20</w:t>
      </w:r>
      <w:r>
        <w:rPr>
          <w:rFonts w:hint="eastAsia" w:ascii="仿宋" w:hAnsi="仿宋" w:eastAsia="仿宋"/>
          <w:color w:val="auto"/>
          <w:sz w:val="32"/>
          <w:szCs w:val="32"/>
          <w:highlight w:val="none"/>
          <w:lang w:val="en-US" w:eastAsia="zh-CN"/>
        </w:rPr>
        <w:t>24</w:t>
      </w:r>
      <w:r>
        <w:rPr>
          <w:rFonts w:hint="eastAsia" w:ascii="仿宋" w:hAnsi="仿宋" w:eastAsia="仿宋"/>
          <w:color w:val="auto"/>
          <w:sz w:val="32"/>
          <w:szCs w:val="32"/>
          <w:highlight w:val="none"/>
        </w:rPr>
        <w:t>年一般公共预算财政拨款基本支出</w:t>
      </w:r>
      <w:r>
        <w:rPr>
          <w:rFonts w:hint="eastAsia" w:ascii="仿宋" w:hAnsi="仿宋" w:eastAsia="仿宋"/>
          <w:color w:val="auto"/>
          <w:sz w:val="32"/>
          <w:szCs w:val="32"/>
          <w:highlight w:val="none"/>
          <w:lang w:val="en-US" w:eastAsia="zh-CN"/>
        </w:rPr>
        <w:t>141.20</w:t>
      </w:r>
      <w:r>
        <w:rPr>
          <w:rFonts w:hint="eastAsia" w:ascii="仿宋" w:hAnsi="仿宋" w:eastAsia="仿宋"/>
          <w:color w:val="auto"/>
          <w:sz w:val="32"/>
          <w:szCs w:val="32"/>
          <w:highlight w:val="none"/>
        </w:rPr>
        <w:t>万元，其中：</w:t>
      </w:r>
    </w:p>
    <w:p w14:paraId="519F6023">
      <w:pPr>
        <w:spacing w:line="600" w:lineRule="exact"/>
        <w:ind w:firstLine="645"/>
        <w:rPr>
          <w:rFonts w:hint="eastAsia" w:ascii="仿宋" w:hAnsi="仿宋" w:eastAsia="仿宋"/>
          <w:color w:val="auto"/>
          <w:sz w:val="32"/>
          <w:szCs w:val="32"/>
          <w:highlight w:val="none"/>
          <w:lang w:eastAsia="zh-CN"/>
        </w:rPr>
      </w:pPr>
      <w:r>
        <w:rPr>
          <w:rFonts w:hint="eastAsia" w:ascii="仿宋" w:hAnsi="仿宋" w:eastAsia="仿宋"/>
          <w:color w:val="auto"/>
          <w:sz w:val="32"/>
          <w:szCs w:val="32"/>
          <w:highlight w:val="none"/>
        </w:rPr>
        <w:t>人员经费</w:t>
      </w:r>
      <w:r>
        <w:rPr>
          <w:rFonts w:hint="eastAsia" w:ascii="仿宋" w:hAnsi="仿宋" w:eastAsia="仿宋"/>
          <w:color w:val="auto"/>
          <w:sz w:val="32"/>
          <w:szCs w:val="32"/>
          <w:highlight w:val="none"/>
          <w:lang w:val="en-US" w:eastAsia="zh-CN"/>
        </w:rPr>
        <w:t>125.57</w:t>
      </w:r>
      <w:r>
        <w:rPr>
          <w:rFonts w:hint="eastAsia" w:ascii="仿宋" w:hAnsi="仿宋" w:eastAsia="仿宋"/>
          <w:color w:val="auto"/>
          <w:sz w:val="32"/>
          <w:szCs w:val="32"/>
          <w:highlight w:val="none"/>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仿宋" w:hAnsi="仿宋" w:eastAsia="仿宋"/>
          <w:color w:val="auto"/>
          <w:sz w:val="32"/>
          <w:szCs w:val="32"/>
          <w:highlight w:val="none"/>
          <w:lang w:eastAsia="zh-CN"/>
        </w:rPr>
        <w:t>其中：</w:t>
      </w:r>
    </w:p>
    <w:p w14:paraId="6B5818E7">
      <w:pPr>
        <w:pStyle w:val="6"/>
        <w:ind w:firstLine="640"/>
        <w:rPr>
          <w:rFonts w:hint="eastAsia" w:ascii="仿宋" w:hAnsi="仿宋" w:eastAsia="仿宋"/>
          <w:color w:val="auto"/>
          <w:sz w:val="32"/>
          <w:szCs w:val="32"/>
          <w:highlight w:val="none"/>
          <w:lang w:val="en-US" w:eastAsia="zh-CN"/>
        </w:rPr>
      </w:pPr>
      <w:r>
        <w:rPr>
          <w:rFonts w:hint="eastAsia" w:ascii="仿宋" w:hAnsi="仿宋" w:eastAsia="仿宋"/>
          <w:color w:val="auto"/>
          <w:sz w:val="32"/>
          <w:szCs w:val="32"/>
          <w:highlight w:val="none"/>
          <w:lang w:val="en-US" w:eastAsia="zh-CN"/>
        </w:rPr>
        <w:t>基本工资35.35万元；津贴补贴47.44万元；伙食补助费1.56万元；其他工资福利支出0.56万元；机关事业单位基本养老保险缴费支出13.22万元；机关事业单位职业年金缴费支出6.06万元；其他社会保障和就业支出0.90万元；行政单位医疗</w:t>
      </w:r>
      <w:r>
        <w:rPr>
          <w:rStyle w:val="17"/>
          <w:rFonts w:hint="eastAsia" w:ascii="仿宋" w:hAnsi="仿宋" w:eastAsia="仿宋"/>
          <w:b w:val="0"/>
          <w:bCs/>
          <w:color w:val="auto"/>
          <w:sz w:val="32"/>
          <w:szCs w:val="32"/>
          <w:highlight w:val="none"/>
          <w:lang w:val="en-US" w:eastAsia="zh-CN"/>
        </w:rPr>
        <w:t>3.77</w:t>
      </w:r>
      <w:r>
        <w:rPr>
          <w:rFonts w:hint="eastAsia" w:ascii="仿宋" w:hAnsi="仿宋" w:eastAsia="仿宋"/>
          <w:color w:val="auto"/>
          <w:sz w:val="32"/>
          <w:szCs w:val="32"/>
          <w:highlight w:val="none"/>
          <w:lang w:val="en-US" w:eastAsia="zh-CN"/>
        </w:rPr>
        <w:t>万元；公务员医疗补助1.06；住房公积金11.02万元；生活补助4.52万元；奖励金0.15万元。</w:t>
      </w:r>
    </w:p>
    <w:p w14:paraId="796FEFE1">
      <w:pPr>
        <w:pStyle w:val="6"/>
        <w:ind w:firstLine="640"/>
        <w:rPr>
          <w:rFonts w:hint="eastAsia" w:ascii="仿宋" w:hAnsi="仿宋" w:eastAsia="仿宋"/>
          <w:color w:val="auto"/>
          <w:sz w:val="32"/>
          <w:szCs w:val="32"/>
          <w:highlight w:val="none"/>
          <w:lang w:eastAsia="zh-CN"/>
        </w:rPr>
      </w:pPr>
      <w:r>
        <w:rPr>
          <w:rFonts w:hint="eastAsia" w:ascii="仿宋" w:hAnsi="仿宋" w:eastAsia="仿宋"/>
          <w:color w:val="auto"/>
          <w:sz w:val="32"/>
          <w:szCs w:val="32"/>
          <w:highlight w:val="none"/>
        </w:rPr>
        <w:t>公用经费</w:t>
      </w:r>
      <w:r>
        <w:rPr>
          <w:rFonts w:hint="eastAsia" w:ascii="仿宋" w:hAnsi="仿宋" w:eastAsia="仿宋"/>
          <w:color w:val="auto"/>
          <w:sz w:val="32"/>
          <w:szCs w:val="32"/>
          <w:highlight w:val="none"/>
          <w:lang w:val="en-US" w:eastAsia="zh-CN"/>
        </w:rPr>
        <w:t>15.62</w:t>
      </w:r>
      <w:r>
        <w:rPr>
          <w:rFonts w:hint="eastAsia" w:ascii="仿宋" w:hAnsi="仿宋" w:eastAsia="仿宋"/>
          <w:color w:val="auto"/>
          <w:sz w:val="32"/>
          <w:szCs w:val="32"/>
          <w:highlight w:val="none"/>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r>
        <w:rPr>
          <w:rFonts w:hint="eastAsia" w:ascii="仿宋" w:hAnsi="仿宋" w:eastAsia="仿宋"/>
          <w:color w:val="auto"/>
          <w:sz w:val="32"/>
          <w:szCs w:val="32"/>
          <w:highlight w:val="none"/>
          <w:lang w:eastAsia="zh-CN"/>
        </w:rPr>
        <w:t>其中：</w:t>
      </w:r>
    </w:p>
    <w:p w14:paraId="1E7A4C0F">
      <w:pPr>
        <w:pStyle w:val="6"/>
        <w:ind w:firstLine="640"/>
        <w:rPr>
          <w:rFonts w:ascii="仿宋" w:hAnsi="仿宋" w:eastAsia="仿宋"/>
          <w:b/>
          <w:color w:val="auto"/>
          <w:sz w:val="32"/>
          <w:szCs w:val="32"/>
          <w:highlight w:val="none"/>
        </w:rPr>
      </w:pPr>
      <w:r>
        <w:rPr>
          <w:rFonts w:hint="eastAsia" w:ascii="仿宋" w:hAnsi="仿宋" w:eastAsia="仿宋"/>
          <w:color w:val="auto"/>
          <w:sz w:val="32"/>
          <w:szCs w:val="32"/>
          <w:highlight w:val="none"/>
          <w:lang w:eastAsia="zh-CN"/>
        </w:rPr>
        <w:t>办公费</w:t>
      </w:r>
      <w:r>
        <w:rPr>
          <w:rFonts w:hint="eastAsia" w:ascii="仿宋" w:hAnsi="仿宋" w:eastAsia="仿宋"/>
          <w:color w:val="auto"/>
          <w:sz w:val="32"/>
          <w:szCs w:val="32"/>
          <w:highlight w:val="none"/>
          <w:lang w:val="en-US" w:eastAsia="zh-CN"/>
        </w:rPr>
        <w:t>1.52万元；邮电费3.27万元；差旅费0.8万元；工会经费0.57万元；福利费2.12万元；其他交通费4.97万元；其他商品服务支出2.37万元。</w:t>
      </w:r>
    </w:p>
    <w:p w14:paraId="70580C56">
      <w:pPr>
        <w:spacing w:line="600" w:lineRule="exact"/>
        <w:ind w:firstLine="640"/>
        <w:outlineLvl w:val="1"/>
        <w:rPr>
          <w:rStyle w:val="29"/>
          <w:rFonts w:ascii="黑体" w:hAnsi="黑体" w:eastAsia="黑体"/>
          <w:b w:val="0"/>
          <w:color w:val="auto"/>
          <w:highlight w:val="none"/>
        </w:rPr>
      </w:pPr>
      <w:bookmarkStart w:id="53" w:name="_Toc15377215"/>
      <w:bookmarkStart w:id="54" w:name="_Toc15396609"/>
      <w:bookmarkStart w:id="55" w:name="_Toc32408"/>
      <w:r>
        <w:rPr>
          <w:rFonts w:hint="eastAsia" w:ascii="黑体" w:eastAsia="黑体"/>
          <w:color w:val="auto"/>
          <w:sz w:val="32"/>
          <w:szCs w:val="32"/>
          <w:highlight w:val="none"/>
        </w:rPr>
        <w:t>七、</w:t>
      </w:r>
      <w:r>
        <w:rPr>
          <w:rStyle w:val="29"/>
          <w:rFonts w:hint="eastAsia" w:ascii="黑体" w:hAnsi="黑体" w:eastAsia="黑体"/>
          <w:b w:val="0"/>
          <w:color w:val="auto"/>
          <w:highlight w:val="none"/>
        </w:rPr>
        <w:t>财政拨款</w:t>
      </w:r>
      <w:r>
        <w:rPr>
          <w:rStyle w:val="29"/>
          <w:rFonts w:hint="eastAsia" w:ascii="黑体" w:hAnsi="黑体" w:eastAsia="黑体"/>
          <w:color w:val="auto"/>
          <w:highlight w:val="none"/>
        </w:rPr>
        <w:t>“</w:t>
      </w:r>
      <w:r>
        <w:rPr>
          <w:rStyle w:val="29"/>
          <w:rFonts w:hint="eastAsia" w:ascii="黑体" w:hAnsi="黑体" w:eastAsia="黑体"/>
          <w:b w:val="0"/>
          <w:color w:val="auto"/>
          <w:highlight w:val="none"/>
        </w:rPr>
        <w:t>三公”经费支出决算情况说明</w:t>
      </w:r>
      <w:bookmarkEnd w:id="53"/>
      <w:bookmarkEnd w:id="54"/>
      <w:bookmarkEnd w:id="55"/>
    </w:p>
    <w:p w14:paraId="3869067E">
      <w:pPr>
        <w:spacing w:line="600" w:lineRule="exact"/>
        <w:ind w:firstLine="640"/>
        <w:outlineLvl w:val="2"/>
        <w:rPr>
          <w:rFonts w:ascii="仿宋" w:hAnsi="仿宋" w:eastAsia="仿宋"/>
          <w:b/>
          <w:color w:val="auto"/>
          <w:sz w:val="32"/>
          <w:szCs w:val="32"/>
          <w:highlight w:val="none"/>
        </w:rPr>
      </w:pPr>
      <w:bookmarkStart w:id="56" w:name="_Toc15377216"/>
      <w:r>
        <w:rPr>
          <w:rFonts w:hint="eastAsia" w:ascii="仿宋" w:hAnsi="仿宋" w:eastAsia="仿宋"/>
          <w:b/>
          <w:color w:val="auto"/>
          <w:sz w:val="32"/>
          <w:szCs w:val="32"/>
          <w:highlight w:val="none"/>
        </w:rPr>
        <w:t>（一）“三公”经费财政拨款支出决算总体情况说明</w:t>
      </w:r>
      <w:bookmarkEnd w:id="56"/>
    </w:p>
    <w:p w14:paraId="2EB917A9">
      <w:pPr>
        <w:spacing w:line="600" w:lineRule="exact"/>
        <w:ind w:firstLine="640"/>
        <w:rPr>
          <w:rFonts w:hint="eastAsia" w:ascii="仿宋" w:hAnsi="仿宋" w:eastAsia="仿宋"/>
          <w:b/>
          <w:color w:val="auto"/>
          <w:sz w:val="32"/>
          <w:szCs w:val="32"/>
          <w:highlight w:val="none"/>
        </w:rPr>
      </w:pPr>
      <w:r>
        <w:rPr>
          <w:rFonts w:ascii="仿宋" w:hAnsi="仿宋" w:eastAsia="仿宋"/>
          <w:color w:val="auto"/>
          <w:sz w:val="32"/>
          <w:szCs w:val="32"/>
          <w:highlight w:val="none"/>
        </w:rPr>
        <w:t>20</w:t>
      </w:r>
      <w:r>
        <w:rPr>
          <w:rFonts w:hint="eastAsia" w:ascii="仿宋" w:hAnsi="仿宋" w:eastAsia="仿宋"/>
          <w:color w:val="auto"/>
          <w:sz w:val="32"/>
          <w:szCs w:val="32"/>
          <w:highlight w:val="none"/>
          <w:lang w:val="en-US" w:eastAsia="zh-CN"/>
        </w:rPr>
        <w:t>24</w:t>
      </w:r>
      <w:r>
        <w:rPr>
          <w:rFonts w:hint="eastAsia" w:ascii="仿宋" w:hAnsi="仿宋" w:eastAsia="仿宋"/>
          <w:color w:val="auto"/>
          <w:sz w:val="32"/>
          <w:szCs w:val="32"/>
          <w:highlight w:val="none"/>
        </w:rPr>
        <w:t>年“三公”经费财政拨款支出决算为</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w:t>
      </w:r>
      <w:r>
        <w:rPr>
          <w:rFonts w:hint="eastAsia" w:ascii="仿宋" w:hAnsi="仿宋" w:eastAsia="仿宋"/>
          <w:color w:val="auto"/>
          <w:sz w:val="32"/>
          <w:szCs w:val="32"/>
          <w:highlight w:val="none"/>
          <w:lang w:eastAsia="zh-CN"/>
        </w:rPr>
        <w:t>较上年减少</w:t>
      </w:r>
      <w:r>
        <w:rPr>
          <w:rFonts w:hint="eastAsia" w:ascii="仿宋" w:hAnsi="仿宋" w:eastAsia="仿宋"/>
          <w:color w:val="auto"/>
          <w:sz w:val="32"/>
          <w:szCs w:val="32"/>
          <w:highlight w:val="none"/>
          <w:lang w:val="en-US" w:eastAsia="zh-CN"/>
        </w:rPr>
        <w:t>0.06万元，下降100%。</w:t>
      </w:r>
      <w:r>
        <w:rPr>
          <w:rFonts w:hint="eastAsia" w:ascii="仿宋" w:hAnsi="仿宋" w:eastAsia="仿宋"/>
          <w:color w:val="auto"/>
          <w:sz w:val="32"/>
          <w:szCs w:val="32"/>
          <w:highlight w:val="none"/>
        </w:rPr>
        <w:t>主要原因是</w:t>
      </w:r>
      <w:r>
        <w:rPr>
          <w:rFonts w:hint="eastAsia" w:ascii="仿宋" w:hAnsi="仿宋" w:eastAsia="仿宋"/>
          <w:color w:val="auto"/>
          <w:sz w:val="32"/>
          <w:szCs w:val="32"/>
          <w:highlight w:val="none"/>
          <w:lang w:val="en-US" w:eastAsia="zh-CN"/>
        </w:rPr>
        <w:t>2024年开展公务接待0次，支出“三公”经费0万元，2023年开展公务接待0次，支出0.00万元。另外，</w:t>
      </w:r>
      <w:r>
        <w:rPr>
          <w:rFonts w:hint="eastAsia" w:ascii="仿宋" w:hAnsi="仿宋" w:eastAsia="仿宋"/>
          <w:color w:val="auto"/>
          <w:sz w:val="32"/>
          <w:szCs w:val="32"/>
          <w:highlight w:val="none"/>
          <w:lang w:eastAsia="zh-CN"/>
        </w:rPr>
        <w:t>加强“三公”经费管理，“三公”经费决算支出比预算数明显下降。</w:t>
      </w:r>
      <w:bookmarkStart w:id="57" w:name="_Toc15377217"/>
    </w:p>
    <w:p w14:paraId="6360388D">
      <w:pPr>
        <w:spacing w:line="600" w:lineRule="exact"/>
        <w:ind w:firstLine="640"/>
        <w:outlineLvl w:val="2"/>
        <w:rPr>
          <w:rFonts w:hint="eastAsia" w:ascii="楷体_GB2312" w:hAnsi="楷体_GB2312" w:eastAsia="楷体_GB2312" w:cs="楷体_GB2312"/>
          <w:b w:val="0"/>
          <w:bCs/>
          <w:color w:val="auto"/>
          <w:sz w:val="32"/>
          <w:szCs w:val="32"/>
          <w:highlight w:val="none"/>
        </w:rPr>
      </w:pPr>
      <w:r>
        <w:rPr>
          <w:rFonts w:hint="eastAsia" w:ascii="楷体_GB2312" w:hAnsi="楷体_GB2312" w:eastAsia="楷体_GB2312" w:cs="楷体_GB2312"/>
          <w:b w:val="0"/>
          <w:bCs/>
          <w:color w:val="auto"/>
          <w:sz w:val="32"/>
          <w:szCs w:val="32"/>
          <w:highlight w:val="none"/>
          <w:lang w:eastAsia="zh-CN"/>
        </w:rPr>
        <w:t>（</w:t>
      </w:r>
      <w:r>
        <w:rPr>
          <w:rFonts w:hint="eastAsia" w:ascii="楷体_GB2312" w:hAnsi="楷体_GB2312" w:eastAsia="楷体_GB2312" w:cs="楷体_GB2312"/>
          <w:b w:val="0"/>
          <w:bCs/>
          <w:color w:val="auto"/>
          <w:sz w:val="32"/>
          <w:szCs w:val="32"/>
          <w:highlight w:val="none"/>
        </w:rPr>
        <w:t>二）“三公”经费财政拨款支出决算具体情况说明</w:t>
      </w:r>
      <w:bookmarkEnd w:id="57"/>
    </w:p>
    <w:p w14:paraId="2DF3132B">
      <w:pPr>
        <w:spacing w:line="600" w:lineRule="exact"/>
        <w:ind w:firstLine="640"/>
        <w:rPr>
          <w:rFonts w:hint="eastAsia" w:ascii="仿宋" w:hAnsi="仿宋" w:eastAsia="仿宋"/>
          <w:color w:val="auto"/>
          <w:sz w:val="32"/>
          <w:szCs w:val="32"/>
          <w:highlight w:val="none"/>
        </w:rPr>
      </w:pPr>
      <w:r>
        <w:rPr>
          <w:rFonts w:ascii="仿宋" w:hAnsi="仿宋" w:eastAsia="仿宋"/>
          <w:color w:val="auto"/>
          <w:sz w:val="32"/>
          <w:szCs w:val="32"/>
          <w:highlight w:val="none"/>
        </w:rPr>
        <w:t>20</w:t>
      </w:r>
      <w:r>
        <w:rPr>
          <w:rFonts w:hint="eastAsia" w:ascii="仿宋" w:hAnsi="仿宋" w:eastAsia="仿宋"/>
          <w:color w:val="auto"/>
          <w:sz w:val="32"/>
          <w:szCs w:val="32"/>
          <w:highlight w:val="none"/>
          <w:lang w:val="en-US" w:eastAsia="zh-CN"/>
        </w:rPr>
        <w:t>24</w:t>
      </w:r>
      <w:r>
        <w:rPr>
          <w:rFonts w:hint="eastAsia" w:ascii="仿宋" w:hAnsi="仿宋" w:eastAsia="仿宋"/>
          <w:color w:val="auto"/>
          <w:sz w:val="32"/>
          <w:szCs w:val="32"/>
          <w:highlight w:val="none"/>
        </w:rPr>
        <w:t>年“三公”经费财政拨款支出决算中，因公出国（境）费支出决算</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；公务用车购置及运行维护费支出决算</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；公务接待费支出决算</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。具体情况如下：</w:t>
      </w:r>
    </w:p>
    <w:p w14:paraId="3757D625">
      <w:pPr>
        <w:pStyle w:val="2"/>
        <w:rPr>
          <w:rFonts w:hint="eastAsia" w:ascii="仿宋" w:hAnsi="仿宋" w:eastAsia="仿宋"/>
          <w:color w:val="auto"/>
          <w:sz w:val="32"/>
          <w:szCs w:val="32"/>
          <w:highlight w:val="none"/>
        </w:rPr>
      </w:pPr>
      <w:r>
        <w:rPr>
          <w:color w:val="auto"/>
        </w:rPr>
        <w:drawing>
          <wp:anchor distT="0" distB="0" distL="114300" distR="114300" simplePos="0" relativeHeight="251663360" behindDoc="1" locked="0" layoutInCell="1" allowOverlap="1">
            <wp:simplePos x="0" y="0"/>
            <wp:positionH relativeFrom="column">
              <wp:posOffset>557530</wp:posOffset>
            </wp:positionH>
            <wp:positionV relativeFrom="paragraph">
              <wp:posOffset>205105</wp:posOffset>
            </wp:positionV>
            <wp:extent cx="3392170" cy="1974215"/>
            <wp:effectExtent l="4445" t="4445" r="13335" b="21590"/>
            <wp:wrapThrough wrapText="bothSides">
              <wp:wrapPolygon>
                <wp:start x="-28" y="-49"/>
                <wp:lineTo x="-28" y="21419"/>
                <wp:lineTo x="21564" y="21419"/>
                <wp:lineTo x="21564" y="-49"/>
                <wp:lineTo x="-28" y="-49"/>
              </wp:wrapPolygon>
            </wp:wrapThrough>
            <wp:docPr id="7"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14:paraId="01CADBAC">
      <w:pPr>
        <w:pStyle w:val="2"/>
        <w:rPr>
          <w:rFonts w:hint="eastAsia" w:ascii="仿宋" w:hAnsi="仿宋" w:eastAsia="仿宋"/>
          <w:color w:val="auto"/>
          <w:sz w:val="32"/>
          <w:szCs w:val="32"/>
          <w:highlight w:val="none"/>
        </w:rPr>
      </w:pPr>
    </w:p>
    <w:p w14:paraId="2B040C1E">
      <w:pPr>
        <w:pStyle w:val="2"/>
        <w:rPr>
          <w:rFonts w:hint="eastAsia" w:ascii="仿宋" w:hAnsi="仿宋" w:eastAsia="仿宋"/>
          <w:color w:val="auto"/>
          <w:sz w:val="32"/>
          <w:szCs w:val="32"/>
          <w:highlight w:val="none"/>
          <w:lang w:val="en-US" w:eastAsia="zh-CN"/>
        </w:rPr>
      </w:pPr>
    </w:p>
    <w:p w14:paraId="0AE36463">
      <w:pPr>
        <w:spacing w:line="600" w:lineRule="exact"/>
        <w:ind w:firstLine="643" w:firstLineChars="200"/>
        <w:rPr>
          <w:rFonts w:hint="eastAsia" w:ascii="仿宋_GB2312" w:eastAsia="仿宋_GB2312"/>
          <w:b/>
          <w:color w:val="auto"/>
          <w:sz w:val="32"/>
          <w:szCs w:val="32"/>
          <w:highlight w:val="none"/>
          <w:lang w:val="en-US" w:eastAsia="zh-CN"/>
        </w:rPr>
      </w:pPr>
    </w:p>
    <w:p w14:paraId="13FC21DB">
      <w:pPr>
        <w:spacing w:line="600" w:lineRule="exact"/>
        <w:ind w:firstLine="643" w:firstLineChars="200"/>
        <w:rPr>
          <w:rFonts w:hint="eastAsia" w:ascii="仿宋_GB2312" w:eastAsia="仿宋_GB2312"/>
          <w:b/>
          <w:color w:val="auto"/>
          <w:sz w:val="32"/>
          <w:szCs w:val="32"/>
          <w:highlight w:val="none"/>
          <w:lang w:val="en-US" w:eastAsia="zh-CN"/>
        </w:rPr>
      </w:pPr>
    </w:p>
    <w:p w14:paraId="683E752A">
      <w:pPr>
        <w:spacing w:line="600" w:lineRule="exact"/>
        <w:ind w:firstLine="643" w:firstLineChars="200"/>
        <w:rPr>
          <w:rFonts w:hint="eastAsia" w:ascii="仿宋_GB2312" w:eastAsia="仿宋_GB2312"/>
          <w:b/>
          <w:color w:val="auto"/>
          <w:sz w:val="32"/>
          <w:szCs w:val="32"/>
          <w:highlight w:val="none"/>
          <w:lang w:val="en-US" w:eastAsia="zh-CN"/>
        </w:rPr>
      </w:pPr>
    </w:p>
    <w:p w14:paraId="5147E981">
      <w:pPr>
        <w:spacing w:line="600" w:lineRule="exact"/>
        <w:ind w:firstLine="643" w:firstLineChars="200"/>
        <w:rPr>
          <w:rFonts w:hint="eastAsia" w:ascii="仿宋_GB2312" w:eastAsia="仿宋_GB2312"/>
          <w:b/>
          <w:color w:val="auto"/>
          <w:sz w:val="32"/>
          <w:szCs w:val="32"/>
          <w:highlight w:val="none"/>
          <w:lang w:val="en-US" w:eastAsia="zh-CN"/>
        </w:rPr>
      </w:pPr>
    </w:p>
    <w:p w14:paraId="08B1B3D9">
      <w:pPr>
        <w:spacing w:line="600" w:lineRule="exact"/>
        <w:ind w:firstLine="643" w:firstLineChars="200"/>
        <w:rPr>
          <w:rFonts w:ascii="仿宋_GB2312" w:eastAsia="仿宋_GB2312"/>
          <w:b/>
          <w:color w:val="auto"/>
          <w:sz w:val="32"/>
          <w:szCs w:val="32"/>
          <w:highlight w:val="none"/>
        </w:rPr>
      </w:pPr>
      <w:r>
        <w:rPr>
          <w:rFonts w:hint="eastAsia" w:ascii="仿宋_GB2312" w:eastAsia="仿宋_GB2312"/>
          <w:b/>
          <w:color w:val="auto"/>
          <w:sz w:val="32"/>
          <w:szCs w:val="32"/>
          <w:highlight w:val="none"/>
          <w:lang w:val="en-US" w:eastAsia="zh-CN"/>
        </w:rPr>
        <w:t>1.</w:t>
      </w:r>
      <w:r>
        <w:rPr>
          <w:rFonts w:hint="eastAsia" w:ascii="仿宋_GB2312" w:eastAsia="仿宋_GB2312"/>
          <w:b/>
          <w:color w:val="auto"/>
          <w:sz w:val="32"/>
          <w:szCs w:val="32"/>
          <w:highlight w:val="none"/>
        </w:rPr>
        <w:t>因公出国（境）经费支出</w:t>
      </w:r>
      <w:r>
        <w:rPr>
          <w:rFonts w:hint="eastAsia" w:ascii="仿宋_GB2312" w:eastAsia="仿宋_GB2312"/>
          <w:b/>
          <w:color w:val="auto"/>
          <w:sz w:val="32"/>
          <w:szCs w:val="32"/>
          <w:highlight w:val="none"/>
          <w:lang w:val="en-US" w:eastAsia="zh-CN"/>
        </w:rPr>
        <w:t>0</w:t>
      </w:r>
      <w:r>
        <w:rPr>
          <w:rFonts w:hint="eastAsia" w:ascii="仿宋_GB2312" w:eastAsia="仿宋_GB2312"/>
          <w:color w:val="auto"/>
          <w:sz w:val="32"/>
          <w:szCs w:val="32"/>
          <w:highlight w:val="none"/>
        </w:rPr>
        <w:t>万元，</w:t>
      </w:r>
      <w:r>
        <w:rPr>
          <w:rStyle w:val="17"/>
          <w:rFonts w:hint="eastAsia" w:ascii="仿宋" w:hAnsi="仿宋" w:eastAsia="仿宋"/>
          <w:b w:val="0"/>
          <w:bCs/>
          <w:color w:val="auto"/>
          <w:sz w:val="32"/>
          <w:szCs w:val="32"/>
          <w:highlight w:val="none"/>
        </w:rPr>
        <w:t>完成预算</w:t>
      </w:r>
      <w:r>
        <w:rPr>
          <w:rStyle w:val="17"/>
          <w:rFonts w:hint="eastAsia" w:ascii="仿宋" w:hAnsi="仿宋" w:eastAsia="仿宋"/>
          <w:b w:val="0"/>
          <w:bCs/>
          <w:color w:val="auto"/>
          <w:sz w:val="32"/>
          <w:szCs w:val="32"/>
          <w:highlight w:val="none"/>
          <w:lang w:val="en-US" w:eastAsia="zh-CN"/>
        </w:rPr>
        <w:t>0</w:t>
      </w:r>
      <w:r>
        <w:rPr>
          <w:rStyle w:val="17"/>
          <w:rFonts w:ascii="仿宋" w:hAnsi="仿宋" w:eastAsia="仿宋"/>
          <w:b w:val="0"/>
          <w:bCs/>
          <w:color w:val="auto"/>
          <w:sz w:val="32"/>
          <w:szCs w:val="32"/>
          <w:highlight w:val="none"/>
        </w:rPr>
        <w:t>%</w:t>
      </w:r>
      <w:r>
        <w:rPr>
          <w:rStyle w:val="17"/>
          <w:rFonts w:hint="eastAsia" w:ascii="仿宋" w:hAnsi="仿宋" w:eastAsia="仿宋"/>
          <w:b w:val="0"/>
          <w:bCs/>
          <w:color w:val="auto"/>
          <w:sz w:val="32"/>
          <w:szCs w:val="32"/>
          <w:highlight w:val="none"/>
        </w:rPr>
        <w:t>。</w:t>
      </w:r>
      <w:r>
        <w:rPr>
          <w:rFonts w:hint="eastAsia" w:ascii="仿宋_GB2312" w:eastAsia="仿宋_GB2312"/>
          <w:color w:val="auto"/>
          <w:sz w:val="32"/>
          <w:szCs w:val="32"/>
          <w:highlight w:val="none"/>
        </w:rPr>
        <w:t>全年安排因公出国（境）团组</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次，出国（境）</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人。因公出国（境）支出决算</w:t>
      </w:r>
      <w:r>
        <w:rPr>
          <w:rFonts w:hint="eastAsia" w:ascii="仿宋_GB2312" w:eastAsia="仿宋_GB2312"/>
          <w:color w:val="auto"/>
          <w:sz w:val="32"/>
          <w:szCs w:val="32"/>
          <w:highlight w:val="none"/>
          <w:lang w:eastAsia="zh-CN"/>
        </w:rPr>
        <w:t>与</w:t>
      </w:r>
      <w:r>
        <w:rPr>
          <w:rFonts w:ascii="仿宋_GB2312" w:eastAsia="仿宋_GB2312"/>
          <w:color w:val="auto"/>
          <w:sz w:val="32"/>
          <w:szCs w:val="32"/>
          <w:highlight w:val="none"/>
        </w:rPr>
        <w:t>20</w:t>
      </w:r>
      <w:r>
        <w:rPr>
          <w:rFonts w:hint="eastAsia" w:ascii="仿宋_GB2312" w:eastAsia="仿宋_GB2312"/>
          <w:color w:val="auto"/>
          <w:sz w:val="32"/>
          <w:szCs w:val="32"/>
          <w:highlight w:val="none"/>
          <w:lang w:val="en-US" w:eastAsia="zh-CN"/>
        </w:rPr>
        <w:t>22</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eastAsia="zh-CN"/>
        </w:rPr>
        <w:t>持平</w:t>
      </w:r>
      <w:r>
        <w:rPr>
          <w:rFonts w:hint="eastAsia" w:ascii="仿宋_GB2312" w:eastAsia="仿宋_GB2312"/>
          <w:color w:val="auto"/>
          <w:sz w:val="32"/>
          <w:szCs w:val="32"/>
          <w:highlight w:val="none"/>
        </w:rPr>
        <w:t>。</w:t>
      </w:r>
    </w:p>
    <w:p w14:paraId="602FDF41">
      <w:pPr>
        <w:spacing w:line="600" w:lineRule="exact"/>
        <w:ind w:firstLine="640"/>
        <w:rPr>
          <w:rFonts w:ascii="仿宋_GB2312" w:eastAsia="仿宋_GB2312"/>
          <w:b/>
          <w:color w:val="auto"/>
          <w:sz w:val="32"/>
          <w:szCs w:val="32"/>
          <w:highlight w:val="none"/>
        </w:rPr>
      </w:pPr>
      <w:r>
        <w:rPr>
          <w:rFonts w:ascii="仿宋_GB2312" w:eastAsia="仿宋_GB2312"/>
          <w:b/>
          <w:color w:val="auto"/>
          <w:sz w:val="32"/>
          <w:szCs w:val="32"/>
          <w:highlight w:val="none"/>
        </w:rPr>
        <w:t>2.</w:t>
      </w:r>
      <w:r>
        <w:rPr>
          <w:rFonts w:hint="eastAsia" w:ascii="仿宋_GB2312" w:eastAsia="仿宋_GB2312"/>
          <w:b/>
          <w:color w:val="auto"/>
          <w:sz w:val="32"/>
          <w:szCs w:val="32"/>
          <w:highlight w:val="none"/>
        </w:rPr>
        <w:t>公务用车购置及运行维护费支出</w:t>
      </w:r>
      <w:r>
        <w:rPr>
          <w:rFonts w:hint="eastAsia" w:ascii="仿宋_GB2312" w:eastAsia="仿宋_GB2312"/>
          <w:b/>
          <w:color w:val="auto"/>
          <w:sz w:val="32"/>
          <w:szCs w:val="32"/>
          <w:highlight w:val="none"/>
          <w:lang w:val="en-US" w:eastAsia="zh-CN"/>
        </w:rPr>
        <w:t>0</w:t>
      </w:r>
      <w:r>
        <w:rPr>
          <w:rFonts w:hint="eastAsia" w:ascii="仿宋_GB2312" w:eastAsia="仿宋_GB2312"/>
          <w:color w:val="auto"/>
          <w:sz w:val="32"/>
          <w:szCs w:val="32"/>
          <w:highlight w:val="none"/>
        </w:rPr>
        <w:t>万元,</w:t>
      </w:r>
      <w:r>
        <w:rPr>
          <w:rStyle w:val="17"/>
          <w:rFonts w:hint="eastAsia" w:ascii="仿宋" w:hAnsi="仿宋" w:eastAsia="仿宋"/>
          <w:b w:val="0"/>
          <w:bCs/>
          <w:color w:val="auto"/>
          <w:sz w:val="32"/>
          <w:szCs w:val="32"/>
          <w:highlight w:val="none"/>
        </w:rPr>
        <w:t>完成预算</w:t>
      </w:r>
      <w:r>
        <w:rPr>
          <w:rStyle w:val="17"/>
          <w:rFonts w:hint="eastAsia" w:ascii="仿宋" w:hAnsi="仿宋" w:eastAsia="仿宋"/>
          <w:b w:val="0"/>
          <w:bCs/>
          <w:color w:val="auto"/>
          <w:sz w:val="32"/>
          <w:szCs w:val="32"/>
          <w:highlight w:val="none"/>
          <w:lang w:val="en-US" w:eastAsia="zh-CN"/>
        </w:rPr>
        <w:t>0</w:t>
      </w:r>
      <w:r>
        <w:rPr>
          <w:rStyle w:val="17"/>
          <w:rFonts w:ascii="仿宋" w:hAnsi="仿宋" w:eastAsia="仿宋"/>
          <w:b w:val="0"/>
          <w:bCs/>
          <w:color w:val="auto"/>
          <w:sz w:val="32"/>
          <w:szCs w:val="32"/>
          <w:highlight w:val="none"/>
        </w:rPr>
        <w:t>%</w:t>
      </w:r>
      <w:r>
        <w:rPr>
          <w:rStyle w:val="17"/>
          <w:rFonts w:hint="eastAsia" w:ascii="仿宋" w:hAnsi="仿宋" w:eastAsia="仿宋"/>
          <w:b w:val="0"/>
          <w:bCs/>
          <w:color w:val="auto"/>
          <w:sz w:val="32"/>
          <w:szCs w:val="32"/>
          <w:highlight w:val="none"/>
        </w:rPr>
        <w:t>。</w:t>
      </w:r>
      <w:r>
        <w:rPr>
          <w:rFonts w:hint="eastAsia" w:ascii="仿宋_GB2312" w:eastAsia="仿宋_GB2312"/>
          <w:color w:val="auto"/>
          <w:sz w:val="32"/>
          <w:szCs w:val="32"/>
          <w:highlight w:val="none"/>
        </w:rPr>
        <w:t>公务用车购置及运行维护费支出决算</w:t>
      </w:r>
      <w:r>
        <w:rPr>
          <w:rFonts w:hint="eastAsia" w:ascii="仿宋_GB2312" w:eastAsia="仿宋_GB2312"/>
          <w:color w:val="auto"/>
          <w:sz w:val="32"/>
          <w:szCs w:val="32"/>
          <w:highlight w:val="none"/>
          <w:lang w:eastAsia="zh-CN"/>
        </w:rPr>
        <w:t>与</w:t>
      </w:r>
      <w:r>
        <w:rPr>
          <w:rFonts w:ascii="仿宋_GB2312" w:eastAsia="仿宋_GB2312"/>
          <w:color w:val="auto"/>
          <w:sz w:val="32"/>
          <w:szCs w:val="32"/>
          <w:highlight w:val="none"/>
        </w:rPr>
        <w:t>20</w:t>
      </w:r>
      <w:r>
        <w:rPr>
          <w:rFonts w:hint="eastAsia" w:ascii="仿宋_GB2312" w:eastAsia="仿宋_GB2312"/>
          <w:color w:val="auto"/>
          <w:sz w:val="32"/>
          <w:szCs w:val="32"/>
          <w:highlight w:val="none"/>
          <w:lang w:val="en-US" w:eastAsia="zh-CN"/>
        </w:rPr>
        <w:t>22</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eastAsia="zh-CN"/>
        </w:rPr>
        <w:t>持平</w:t>
      </w:r>
      <w:r>
        <w:rPr>
          <w:rFonts w:hint="eastAsia" w:ascii="仿宋_GB2312" w:eastAsia="仿宋_GB2312"/>
          <w:color w:val="auto"/>
          <w:sz w:val="32"/>
          <w:szCs w:val="32"/>
          <w:highlight w:val="none"/>
        </w:rPr>
        <w:t>。</w:t>
      </w:r>
    </w:p>
    <w:p w14:paraId="17AF0FEC">
      <w:pPr>
        <w:spacing w:line="600" w:lineRule="exact"/>
        <w:ind w:firstLine="640" w:firstLineChars="200"/>
        <w:rPr>
          <w:rFonts w:ascii="仿宋_GB2312" w:eastAsia="仿宋_GB2312"/>
          <w:b/>
          <w:color w:val="auto"/>
          <w:sz w:val="32"/>
          <w:szCs w:val="32"/>
          <w:highlight w:val="none"/>
        </w:rPr>
      </w:pPr>
      <w:r>
        <w:rPr>
          <w:rFonts w:hint="eastAsia" w:ascii="仿宋_GB2312" w:eastAsia="仿宋_GB2312"/>
          <w:color w:val="auto"/>
          <w:sz w:val="32"/>
          <w:szCs w:val="32"/>
          <w:highlight w:val="none"/>
        </w:rPr>
        <w:t>其中：</w:t>
      </w:r>
      <w:r>
        <w:rPr>
          <w:rFonts w:hint="eastAsia" w:ascii="仿宋_GB2312" w:eastAsia="仿宋_GB2312"/>
          <w:b/>
          <w:color w:val="auto"/>
          <w:sz w:val="32"/>
          <w:szCs w:val="32"/>
          <w:highlight w:val="none"/>
        </w:rPr>
        <w:t>公务用车购置支出</w:t>
      </w:r>
      <w:r>
        <w:rPr>
          <w:rFonts w:hint="eastAsia" w:ascii="仿宋_GB2312" w:eastAsia="仿宋_GB2312"/>
          <w:b/>
          <w:color w:val="auto"/>
          <w:sz w:val="32"/>
          <w:szCs w:val="32"/>
          <w:highlight w:val="none"/>
          <w:lang w:val="en-US" w:eastAsia="zh-CN"/>
        </w:rPr>
        <w:t>0</w:t>
      </w:r>
      <w:r>
        <w:rPr>
          <w:rFonts w:hint="eastAsia" w:ascii="仿宋_GB2312" w:eastAsia="仿宋_GB2312"/>
          <w:color w:val="auto"/>
          <w:sz w:val="32"/>
          <w:szCs w:val="32"/>
          <w:highlight w:val="none"/>
        </w:rPr>
        <w:t>万元。全年按规定更新购置公务用车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辆，其中：轿车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辆、金额</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万元，越野车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辆、金额</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万元，载客汽车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辆、金额</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万元。截至</w:t>
      </w:r>
      <w:r>
        <w:rPr>
          <w:rFonts w:ascii="仿宋_GB2312" w:eastAsia="仿宋_GB2312"/>
          <w:color w:val="auto"/>
          <w:sz w:val="32"/>
          <w:szCs w:val="32"/>
          <w:highlight w:val="none"/>
        </w:rPr>
        <w:t>20</w:t>
      </w:r>
      <w:r>
        <w:rPr>
          <w:rFonts w:hint="eastAsia" w:ascii="仿宋_GB2312" w:eastAsia="仿宋_GB2312"/>
          <w:color w:val="auto"/>
          <w:sz w:val="32"/>
          <w:szCs w:val="32"/>
          <w:highlight w:val="none"/>
          <w:lang w:val="en-US" w:eastAsia="zh-CN"/>
        </w:rPr>
        <w:t>23</w:t>
      </w:r>
      <w:r>
        <w:rPr>
          <w:rFonts w:hint="eastAsia" w:ascii="仿宋_GB2312" w:eastAsia="仿宋_GB2312"/>
          <w:color w:val="auto"/>
          <w:sz w:val="32"/>
          <w:szCs w:val="32"/>
          <w:highlight w:val="none"/>
        </w:rPr>
        <w:t>年</w:t>
      </w:r>
      <w:r>
        <w:rPr>
          <w:rFonts w:ascii="仿宋_GB2312" w:eastAsia="仿宋_GB2312"/>
          <w:color w:val="auto"/>
          <w:sz w:val="32"/>
          <w:szCs w:val="32"/>
          <w:highlight w:val="none"/>
        </w:rPr>
        <w:t>12</w:t>
      </w:r>
      <w:r>
        <w:rPr>
          <w:rFonts w:hint="eastAsia" w:ascii="仿宋_GB2312" w:eastAsia="仿宋_GB2312"/>
          <w:color w:val="auto"/>
          <w:sz w:val="32"/>
          <w:szCs w:val="32"/>
          <w:highlight w:val="none"/>
        </w:rPr>
        <w:t>月底，单位共有公务用车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辆，其中：轿车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辆、越野车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辆、载客汽车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w:t>
      </w:r>
    </w:p>
    <w:p w14:paraId="2E9A71F4">
      <w:pPr>
        <w:spacing w:line="600" w:lineRule="exact"/>
        <w:ind w:firstLine="640"/>
        <w:rPr>
          <w:rFonts w:hint="eastAsia" w:ascii="仿宋_GB2312" w:eastAsia="仿宋_GB2312"/>
          <w:color w:val="auto"/>
          <w:sz w:val="32"/>
          <w:szCs w:val="32"/>
          <w:highlight w:val="none"/>
        </w:rPr>
      </w:pPr>
      <w:r>
        <w:rPr>
          <w:rFonts w:hint="eastAsia" w:ascii="仿宋_GB2312" w:eastAsia="仿宋_GB2312"/>
          <w:b/>
          <w:color w:val="auto"/>
          <w:sz w:val="32"/>
          <w:szCs w:val="32"/>
          <w:highlight w:val="none"/>
        </w:rPr>
        <w:t>公务用车运行维护费支出</w:t>
      </w:r>
      <w:r>
        <w:rPr>
          <w:rFonts w:hint="eastAsia" w:ascii="仿宋_GB2312" w:eastAsia="仿宋_GB2312"/>
          <w:b/>
          <w:color w:val="auto"/>
          <w:sz w:val="32"/>
          <w:szCs w:val="32"/>
          <w:highlight w:val="none"/>
          <w:lang w:val="en-US" w:eastAsia="zh-CN"/>
        </w:rPr>
        <w:t>0</w:t>
      </w:r>
      <w:r>
        <w:rPr>
          <w:rFonts w:hint="eastAsia" w:ascii="仿宋_GB2312" w:eastAsia="仿宋_GB2312"/>
          <w:color w:val="auto"/>
          <w:sz w:val="32"/>
          <w:szCs w:val="32"/>
          <w:highlight w:val="none"/>
        </w:rPr>
        <w:t>万元。</w:t>
      </w:r>
    </w:p>
    <w:p w14:paraId="3282BB3E">
      <w:pPr>
        <w:numPr>
          <w:ilvl w:val="0"/>
          <w:numId w:val="0"/>
        </w:numPr>
        <w:spacing w:line="600" w:lineRule="exact"/>
        <w:ind w:firstLine="643" w:firstLineChars="200"/>
        <w:rPr>
          <w:rFonts w:hint="eastAsia" w:ascii="仿宋_GB2312" w:eastAsia="仿宋_GB2312"/>
          <w:color w:val="auto"/>
          <w:sz w:val="32"/>
          <w:szCs w:val="32"/>
          <w:highlight w:val="none"/>
          <w:lang w:val="en-US" w:eastAsia="zh-CN"/>
        </w:rPr>
      </w:pPr>
      <w:r>
        <w:rPr>
          <w:rFonts w:hint="eastAsia" w:ascii="仿宋_GB2312" w:eastAsia="仿宋_GB2312"/>
          <w:b/>
          <w:color w:val="auto"/>
          <w:sz w:val="32"/>
          <w:szCs w:val="32"/>
          <w:highlight w:val="none"/>
          <w:lang w:val="en-US" w:eastAsia="zh-CN"/>
        </w:rPr>
        <w:t>3.</w:t>
      </w:r>
      <w:r>
        <w:rPr>
          <w:rFonts w:hint="eastAsia" w:ascii="仿宋_GB2312" w:eastAsia="仿宋_GB2312"/>
          <w:b/>
          <w:color w:val="auto"/>
          <w:sz w:val="32"/>
          <w:szCs w:val="32"/>
          <w:highlight w:val="none"/>
        </w:rPr>
        <w:t>公务接待费支出</w:t>
      </w:r>
      <w:r>
        <w:rPr>
          <w:rFonts w:hint="eastAsia" w:ascii="仿宋_GB2312" w:eastAsia="仿宋_GB2312"/>
          <w:b/>
          <w:color w:val="auto"/>
          <w:sz w:val="32"/>
          <w:szCs w:val="32"/>
          <w:highlight w:val="none"/>
          <w:lang w:val="en-US" w:eastAsia="zh-CN"/>
        </w:rPr>
        <w:t>0</w:t>
      </w:r>
      <w:r>
        <w:rPr>
          <w:rFonts w:hint="eastAsia" w:ascii="仿宋_GB2312" w:eastAsia="仿宋_GB2312"/>
          <w:color w:val="auto"/>
          <w:sz w:val="32"/>
          <w:szCs w:val="32"/>
          <w:highlight w:val="none"/>
        </w:rPr>
        <w:t>万元，</w:t>
      </w:r>
      <w:r>
        <w:rPr>
          <w:rFonts w:hint="eastAsia" w:ascii="仿宋_GB2312" w:eastAsia="仿宋_GB2312"/>
          <w:color w:val="auto"/>
          <w:sz w:val="32"/>
          <w:szCs w:val="32"/>
          <w:highlight w:val="none"/>
          <w:lang w:eastAsia="zh-CN"/>
        </w:rPr>
        <w:t>与</w:t>
      </w:r>
      <w:r>
        <w:rPr>
          <w:rFonts w:hint="eastAsia" w:ascii="仿宋_GB2312" w:eastAsia="仿宋_GB2312"/>
          <w:color w:val="auto"/>
          <w:sz w:val="32"/>
          <w:szCs w:val="32"/>
          <w:highlight w:val="none"/>
          <w:lang w:val="en-US" w:eastAsia="zh-CN"/>
        </w:rPr>
        <w:t>2023年持平。</w:t>
      </w:r>
      <w:r>
        <w:rPr>
          <w:rFonts w:hint="eastAsia" w:ascii="仿宋_GB2312" w:eastAsia="仿宋_GB2312"/>
          <w:color w:val="auto"/>
          <w:sz w:val="32"/>
          <w:szCs w:val="32"/>
          <w:highlight w:val="none"/>
        </w:rPr>
        <w:t>主要原因是</w:t>
      </w:r>
      <w:r>
        <w:rPr>
          <w:rFonts w:hint="eastAsia" w:ascii="仿宋_GB2312" w:eastAsia="仿宋_GB2312"/>
          <w:color w:val="auto"/>
          <w:sz w:val="32"/>
          <w:szCs w:val="32"/>
          <w:highlight w:val="none"/>
          <w:lang w:val="en-US" w:eastAsia="zh-CN"/>
        </w:rPr>
        <w:t>2023年和2024年没有开展公务接待。</w:t>
      </w:r>
    </w:p>
    <w:p w14:paraId="3ED02B51">
      <w:pPr>
        <w:numPr>
          <w:ilvl w:val="0"/>
          <w:numId w:val="0"/>
        </w:numPr>
        <w:spacing w:line="600" w:lineRule="exact"/>
        <w:ind w:firstLine="643" w:firstLineChars="200"/>
        <w:rPr>
          <w:rFonts w:ascii="仿宋_GB2312" w:eastAsia="仿宋_GB2312"/>
          <w:color w:val="auto"/>
          <w:sz w:val="32"/>
          <w:szCs w:val="32"/>
          <w:highlight w:val="none"/>
        </w:rPr>
      </w:pPr>
      <w:r>
        <w:rPr>
          <w:rFonts w:hint="eastAsia" w:ascii="仿宋" w:hAnsi="仿宋" w:eastAsia="仿宋"/>
          <w:b/>
          <w:color w:val="auto"/>
          <w:sz w:val="32"/>
          <w:szCs w:val="32"/>
          <w:highlight w:val="none"/>
        </w:rPr>
        <w:t>国内公务接待支出</w:t>
      </w:r>
      <w:r>
        <w:rPr>
          <w:rFonts w:hint="eastAsia" w:ascii="仿宋" w:hAnsi="仿宋" w:eastAsia="仿宋"/>
          <w:b/>
          <w:color w:val="auto"/>
          <w:sz w:val="32"/>
          <w:szCs w:val="32"/>
          <w:highlight w:val="none"/>
          <w:lang w:val="en-US" w:eastAsia="zh-CN"/>
        </w:rPr>
        <w:t>0</w:t>
      </w:r>
      <w:r>
        <w:rPr>
          <w:rFonts w:hint="eastAsia" w:ascii="仿宋_GB2312" w:eastAsia="仿宋_GB2312"/>
          <w:color w:val="auto"/>
          <w:sz w:val="32"/>
          <w:szCs w:val="32"/>
          <w:highlight w:val="none"/>
        </w:rPr>
        <w:t>万元</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rPr>
        <w:t>国内公务接待</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批次，</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人次（不包括陪同人员），共计支出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r>
        <w:rPr>
          <w:rFonts w:hint="eastAsia" w:ascii="仿宋_GB2312" w:eastAsia="仿宋_GB2312"/>
          <w:color w:val="auto"/>
          <w:sz w:val="32"/>
          <w:szCs w:val="32"/>
          <w:highlight w:val="none"/>
          <w:lang w:eastAsia="zh-CN"/>
        </w:rPr>
        <w:t>。</w:t>
      </w:r>
    </w:p>
    <w:p w14:paraId="66CEBA4C">
      <w:pPr>
        <w:spacing w:line="600" w:lineRule="exact"/>
        <w:ind w:firstLine="643" w:firstLineChars="200"/>
        <w:rPr>
          <w:rFonts w:ascii="黑体" w:eastAsia="黑体"/>
          <w:color w:val="auto"/>
          <w:sz w:val="32"/>
          <w:szCs w:val="32"/>
          <w:highlight w:val="none"/>
        </w:rPr>
      </w:pPr>
      <w:r>
        <w:rPr>
          <w:rFonts w:hint="eastAsia" w:ascii="仿宋" w:hAnsi="仿宋" w:eastAsia="仿宋"/>
          <w:b/>
          <w:color w:val="auto"/>
          <w:sz w:val="32"/>
          <w:szCs w:val="32"/>
          <w:highlight w:val="none"/>
        </w:rPr>
        <w:t>外事接待支出</w:t>
      </w:r>
      <w:r>
        <w:rPr>
          <w:rFonts w:hint="eastAsia" w:ascii="仿宋" w:hAnsi="仿宋" w:eastAsia="仿宋"/>
          <w:b/>
          <w:color w:val="auto"/>
          <w:sz w:val="32"/>
          <w:szCs w:val="32"/>
          <w:highlight w:val="none"/>
          <w:lang w:val="en-US" w:eastAsia="zh-CN"/>
        </w:rPr>
        <w:t>0</w:t>
      </w:r>
      <w:r>
        <w:rPr>
          <w:rFonts w:hint="eastAsia" w:ascii="仿宋_GB2312" w:eastAsia="仿宋_GB2312"/>
          <w:color w:val="auto"/>
          <w:sz w:val="32"/>
          <w:szCs w:val="32"/>
          <w:highlight w:val="none"/>
        </w:rPr>
        <w:t>万元。</w:t>
      </w:r>
      <w:bookmarkStart w:id="58" w:name="_Toc15377218"/>
      <w:bookmarkStart w:id="59" w:name="_Toc15396610"/>
    </w:p>
    <w:p w14:paraId="64384F11">
      <w:pPr>
        <w:spacing w:line="600" w:lineRule="exact"/>
        <w:ind w:firstLine="640"/>
        <w:outlineLvl w:val="1"/>
        <w:rPr>
          <w:rStyle w:val="29"/>
          <w:rFonts w:ascii="黑体" w:hAnsi="黑体" w:eastAsia="黑体"/>
          <w:color w:val="auto"/>
          <w:highlight w:val="none"/>
        </w:rPr>
      </w:pPr>
      <w:bookmarkStart w:id="60" w:name="_Toc15167"/>
      <w:r>
        <w:rPr>
          <w:rFonts w:hint="eastAsia" w:ascii="黑体" w:eastAsia="黑体"/>
          <w:color w:val="auto"/>
          <w:sz w:val="32"/>
          <w:szCs w:val="32"/>
          <w:highlight w:val="none"/>
        </w:rPr>
        <w:t>八、</w:t>
      </w:r>
      <w:r>
        <w:rPr>
          <w:rStyle w:val="29"/>
          <w:rFonts w:hint="eastAsia" w:ascii="黑体" w:hAnsi="黑体" w:eastAsia="黑体"/>
          <w:b w:val="0"/>
          <w:color w:val="auto"/>
          <w:highlight w:val="none"/>
        </w:rPr>
        <w:t>政府性基金预算支出决算情况说明</w:t>
      </w:r>
      <w:bookmarkEnd w:id="58"/>
      <w:bookmarkEnd w:id="59"/>
      <w:bookmarkEnd w:id="60"/>
    </w:p>
    <w:p w14:paraId="31F91D38">
      <w:pPr>
        <w:spacing w:line="600" w:lineRule="exact"/>
        <w:ind w:firstLine="640"/>
        <w:rPr>
          <w:rFonts w:ascii="仿宋_GB2312" w:eastAsia="仿宋_GB2312"/>
          <w:color w:val="auto"/>
          <w:sz w:val="32"/>
          <w:szCs w:val="32"/>
          <w:highlight w:val="none"/>
        </w:rPr>
      </w:pPr>
      <w:r>
        <w:rPr>
          <w:rFonts w:ascii="仿宋_GB2312" w:eastAsia="仿宋_GB2312"/>
          <w:color w:val="auto"/>
          <w:sz w:val="32"/>
          <w:szCs w:val="32"/>
          <w:highlight w:val="none"/>
        </w:rPr>
        <w:t>20</w:t>
      </w:r>
      <w:r>
        <w:rPr>
          <w:rFonts w:hint="eastAsia" w:ascii="仿宋_GB2312" w:eastAsia="仿宋_GB2312"/>
          <w:color w:val="auto"/>
          <w:sz w:val="32"/>
          <w:szCs w:val="32"/>
          <w:highlight w:val="none"/>
          <w:lang w:val="en-US" w:eastAsia="zh-CN"/>
        </w:rPr>
        <w:t>24</w:t>
      </w:r>
      <w:r>
        <w:rPr>
          <w:rFonts w:hint="eastAsia" w:ascii="仿宋_GB2312" w:eastAsia="仿宋_GB2312"/>
          <w:color w:val="auto"/>
          <w:sz w:val="32"/>
          <w:szCs w:val="32"/>
          <w:highlight w:val="none"/>
        </w:rPr>
        <w:t>年政府性基金预算</w:t>
      </w:r>
      <w:r>
        <w:rPr>
          <w:rFonts w:hint="eastAsia" w:ascii="仿宋_GB2312" w:eastAsia="仿宋_GB2312"/>
          <w:color w:val="auto"/>
          <w:sz w:val="32"/>
          <w:szCs w:val="32"/>
          <w:highlight w:val="none"/>
          <w:lang w:eastAsia="zh-CN"/>
        </w:rPr>
        <w:t>财政</w:t>
      </w:r>
      <w:r>
        <w:rPr>
          <w:rFonts w:hint="eastAsia" w:ascii="仿宋_GB2312" w:eastAsia="仿宋_GB2312"/>
          <w:color w:val="auto"/>
          <w:sz w:val="32"/>
          <w:szCs w:val="32"/>
          <w:highlight w:val="none"/>
        </w:rPr>
        <w:t>拨款支出</w:t>
      </w:r>
      <w:r>
        <w:rPr>
          <w:rFonts w:hint="eastAsia" w:ascii="仿宋_GB2312" w:eastAsia="仿宋_GB2312"/>
          <w:color w:val="auto"/>
          <w:sz w:val="32"/>
          <w:szCs w:val="32"/>
          <w:highlight w:val="none"/>
          <w:lang w:val="en-US" w:eastAsia="zh-CN"/>
        </w:rPr>
        <w:t>20</w:t>
      </w:r>
      <w:r>
        <w:rPr>
          <w:rFonts w:hint="eastAsia" w:ascii="仿宋_GB2312" w:eastAsia="仿宋_GB2312"/>
          <w:color w:val="auto"/>
          <w:sz w:val="32"/>
          <w:szCs w:val="32"/>
          <w:highlight w:val="none"/>
        </w:rPr>
        <w:t>万元。</w:t>
      </w:r>
    </w:p>
    <w:p w14:paraId="67226EEF">
      <w:pPr>
        <w:numPr>
          <w:ilvl w:val="0"/>
          <w:numId w:val="2"/>
        </w:numPr>
        <w:spacing w:line="600" w:lineRule="exact"/>
        <w:ind w:firstLine="640"/>
        <w:outlineLvl w:val="1"/>
        <w:rPr>
          <w:rStyle w:val="29"/>
          <w:rFonts w:ascii="黑体" w:hAnsi="黑体" w:eastAsia="黑体"/>
          <w:b w:val="0"/>
          <w:color w:val="auto"/>
          <w:highlight w:val="none"/>
        </w:rPr>
      </w:pPr>
      <w:bookmarkStart w:id="61" w:name="_Toc15396611"/>
      <w:bookmarkStart w:id="62" w:name="_Toc15377219"/>
      <w:bookmarkStart w:id="63" w:name="_Toc1801"/>
      <w:r>
        <w:rPr>
          <w:rStyle w:val="29"/>
          <w:rFonts w:hint="eastAsia" w:ascii="黑体" w:hAnsi="黑体" w:eastAsia="黑体"/>
          <w:b w:val="0"/>
          <w:color w:val="auto"/>
          <w:highlight w:val="none"/>
        </w:rPr>
        <w:t>国有资本经营预算支出决算情况说明</w:t>
      </w:r>
      <w:bookmarkEnd w:id="61"/>
      <w:bookmarkEnd w:id="62"/>
      <w:bookmarkEnd w:id="63"/>
    </w:p>
    <w:p w14:paraId="501BFFDF">
      <w:pPr>
        <w:spacing w:line="600" w:lineRule="exact"/>
        <w:ind w:firstLine="640"/>
        <w:rPr>
          <w:rFonts w:ascii="黑体" w:hAnsi="黑体" w:eastAsia="黑体" w:cs="黑体"/>
          <w:color w:val="auto"/>
          <w:sz w:val="44"/>
          <w:szCs w:val="44"/>
          <w:highlight w:val="none"/>
        </w:rPr>
      </w:pPr>
      <w:r>
        <w:rPr>
          <w:rFonts w:ascii="仿宋_GB2312" w:eastAsia="仿宋_GB2312"/>
          <w:color w:val="auto"/>
          <w:sz w:val="32"/>
          <w:szCs w:val="32"/>
          <w:highlight w:val="none"/>
        </w:rPr>
        <w:t>20</w:t>
      </w:r>
      <w:r>
        <w:rPr>
          <w:rFonts w:hint="eastAsia" w:ascii="仿宋_GB2312" w:eastAsia="仿宋_GB2312"/>
          <w:color w:val="auto"/>
          <w:sz w:val="32"/>
          <w:szCs w:val="32"/>
          <w:highlight w:val="none"/>
          <w:lang w:val="en-US" w:eastAsia="zh-CN"/>
        </w:rPr>
        <w:t>24</w:t>
      </w:r>
      <w:r>
        <w:rPr>
          <w:rFonts w:hint="eastAsia" w:ascii="仿宋_GB2312" w:eastAsia="仿宋_GB2312"/>
          <w:color w:val="auto"/>
          <w:sz w:val="32"/>
          <w:szCs w:val="32"/>
          <w:highlight w:val="none"/>
        </w:rPr>
        <w:t>年国有资本经营预算</w:t>
      </w:r>
      <w:r>
        <w:rPr>
          <w:rFonts w:hint="eastAsia" w:ascii="仿宋_GB2312" w:eastAsia="仿宋_GB2312"/>
          <w:color w:val="auto"/>
          <w:sz w:val="32"/>
          <w:szCs w:val="32"/>
          <w:highlight w:val="none"/>
          <w:lang w:eastAsia="zh-CN"/>
        </w:rPr>
        <w:t>财政</w:t>
      </w:r>
      <w:r>
        <w:rPr>
          <w:rFonts w:hint="eastAsia" w:ascii="仿宋_GB2312" w:eastAsia="仿宋_GB2312"/>
          <w:color w:val="auto"/>
          <w:sz w:val="32"/>
          <w:szCs w:val="32"/>
          <w:highlight w:val="none"/>
        </w:rPr>
        <w:t>拨款支出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p>
    <w:p w14:paraId="195AA12A">
      <w:pPr>
        <w:numPr>
          <w:ilvl w:val="0"/>
          <w:numId w:val="2"/>
        </w:numPr>
        <w:spacing w:line="600" w:lineRule="exact"/>
        <w:ind w:firstLine="640"/>
        <w:outlineLvl w:val="1"/>
        <w:rPr>
          <w:rStyle w:val="29"/>
          <w:rFonts w:hint="eastAsia" w:ascii="黑体" w:hAnsi="黑体" w:eastAsia="黑体"/>
          <w:b w:val="0"/>
          <w:color w:val="auto"/>
          <w:highlight w:val="none"/>
        </w:rPr>
      </w:pPr>
      <w:bookmarkStart w:id="64" w:name="_Toc15377221"/>
      <w:bookmarkStart w:id="65" w:name="_Toc15396612"/>
      <w:bookmarkStart w:id="66" w:name="_Toc19806"/>
      <w:r>
        <w:rPr>
          <w:rStyle w:val="29"/>
          <w:rFonts w:hint="eastAsia" w:ascii="黑体" w:hAnsi="黑体" w:eastAsia="黑体"/>
          <w:b w:val="0"/>
          <w:color w:val="auto"/>
          <w:highlight w:val="none"/>
        </w:rPr>
        <w:t>其他重要事项的情况说明</w:t>
      </w:r>
      <w:bookmarkEnd w:id="64"/>
      <w:bookmarkEnd w:id="65"/>
      <w:bookmarkEnd w:id="66"/>
    </w:p>
    <w:p w14:paraId="5B8F0CDD">
      <w:pPr>
        <w:spacing w:line="600" w:lineRule="exact"/>
        <w:ind w:firstLine="643" w:firstLineChars="200"/>
        <w:outlineLvl w:val="2"/>
        <w:rPr>
          <w:rFonts w:ascii="仿宋" w:hAnsi="仿宋" w:eastAsia="仿宋"/>
          <w:color w:val="auto"/>
          <w:sz w:val="32"/>
          <w:szCs w:val="32"/>
          <w:highlight w:val="none"/>
        </w:rPr>
      </w:pPr>
      <w:bookmarkStart w:id="67" w:name="_Toc15377222"/>
      <w:r>
        <w:rPr>
          <w:rFonts w:hint="eastAsia" w:ascii="仿宋" w:hAnsi="仿宋" w:eastAsia="仿宋"/>
          <w:b/>
          <w:color w:val="auto"/>
          <w:sz w:val="32"/>
          <w:szCs w:val="32"/>
          <w:highlight w:val="none"/>
        </w:rPr>
        <w:t>（一）机关运行经费支出情况</w:t>
      </w:r>
      <w:bookmarkEnd w:id="67"/>
    </w:p>
    <w:p w14:paraId="1B47C2BA">
      <w:pPr>
        <w:spacing w:line="600" w:lineRule="exact"/>
        <w:ind w:firstLine="640" w:firstLineChars="200"/>
        <w:rPr>
          <w:rFonts w:hint="eastAsia" w:ascii="仿宋_GB2312" w:eastAsia="仿宋_GB2312"/>
          <w:color w:val="auto"/>
          <w:sz w:val="32"/>
          <w:szCs w:val="32"/>
          <w:highlight w:val="none"/>
          <w:lang w:eastAsia="zh-CN"/>
        </w:rPr>
      </w:pPr>
      <w:r>
        <w:rPr>
          <w:rFonts w:ascii="仿宋_GB2312" w:eastAsia="仿宋_GB2312"/>
          <w:color w:val="auto"/>
          <w:sz w:val="32"/>
          <w:szCs w:val="32"/>
          <w:highlight w:val="none"/>
        </w:rPr>
        <w:t>20</w:t>
      </w:r>
      <w:r>
        <w:rPr>
          <w:rFonts w:hint="eastAsia" w:ascii="仿宋_GB2312" w:eastAsia="仿宋_GB2312"/>
          <w:color w:val="auto"/>
          <w:sz w:val="32"/>
          <w:szCs w:val="32"/>
          <w:highlight w:val="none"/>
          <w:lang w:val="en-US" w:eastAsia="zh-CN"/>
        </w:rPr>
        <w:t>24</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eastAsia="zh-CN"/>
        </w:rPr>
        <w:t>县档案馆</w:t>
      </w:r>
      <w:r>
        <w:rPr>
          <w:rFonts w:hint="eastAsia" w:ascii="仿宋_GB2312" w:eastAsia="仿宋_GB2312"/>
          <w:color w:val="auto"/>
          <w:sz w:val="32"/>
          <w:szCs w:val="32"/>
          <w:highlight w:val="none"/>
        </w:rPr>
        <w:t>机关运行经费支出</w:t>
      </w:r>
      <w:r>
        <w:rPr>
          <w:rFonts w:hint="eastAsia" w:ascii="仿宋_GB2312" w:eastAsia="仿宋_GB2312"/>
          <w:color w:val="auto"/>
          <w:sz w:val="32"/>
          <w:szCs w:val="32"/>
          <w:highlight w:val="none"/>
          <w:lang w:val="en-US" w:eastAsia="zh-CN"/>
        </w:rPr>
        <w:t>15.81</w:t>
      </w:r>
      <w:r>
        <w:rPr>
          <w:rFonts w:hint="eastAsia" w:ascii="仿宋_GB2312" w:eastAsia="仿宋_GB2312"/>
          <w:color w:val="auto"/>
          <w:sz w:val="32"/>
          <w:szCs w:val="32"/>
          <w:highlight w:val="none"/>
        </w:rPr>
        <w:t>万元，比</w:t>
      </w:r>
      <w:r>
        <w:rPr>
          <w:rFonts w:ascii="仿宋_GB2312" w:eastAsia="仿宋_GB2312"/>
          <w:color w:val="auto"/>
          <w:sz w:val="32"/>
          <w:szCs w:val="32"/>
          <w:highlight w:val="none"/>
        </w:rPr>
        <w:t>20</w:t>
      </w:r>
      <w:r>
        <w:rPr>
          <w:rFonts w:hint="eastAsia" w:ascii="仿宋_GB2312" w:eastAsia="仿宋_GB2312"/>
          <w:color w:val="auto"/>
          <w:sz w:val="32"/>
          <w:szCs w:val="32"/>
          <w:highlight w:val="none"/>
          <w:lang w:val="en-US" w:eastAsia="zh-CN"/>
        </w:rPr>
        <w:t>23</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eastAsia="zh-CN"/>
        </w:rPr>
        <w:t>减少</w:t>
      </w:r>
      <w:r>
        <w:rPr>
          <w:rFonts w:hint="eastAsia" w:ascii="仿宋_GB2312" w:eastAsia="仿宋_GB2312"/>
          <w:color w:val="auto"/>
          <w:sz w:val="32"/>
          <w:szCs w:val="32"/>
          <w:highlight w:val="none"/>
          <w:lang w:val="en-US" w:eastAsia="zh-CN"/>
        </w:rPr>
        <w:t>2.5</w:t>
      </w:r>
      <w:r>
        <w:rPr>
          <w:rFonts w:hint="eastAsia" w:ascii="仿宋_GB2312" w:eastAsia="仿宋_GB2312"/>
          <w:color w:val="auto"/>
          <w:sz w:val="32"/>
          <w:szCs w:val="32"/>
          <w:highlight w:val="none"/>
        </w:rPr>
        <w:t>万元，</w:t>
      </w:r>
      <w:r>
        <w:rPr>
          <w:rFonts w:hint="eastAsia" w:ascii="仿宋_GB2312" w:eastAsia="仿宋_GB2312"/>
          <w:color w:val="auto"/>
          <w:sz w:val="32"/>
          <w:szCs w:val="32"/>
          <w:highlight w:val="none"/>
          <w:lang w:eastAsia="zh-CN"/>
        </w:rPr>
        <w:t>下降</w:t>
      </w:r>
      <w:r>
        <w:rPr>
          <w:rFonts w:hint="eastAsia" w:ascii="仿宋_GB2312" w:eastAsia="仿宋_GB2312"/>
          <w:color w:val="auto"/>
          <w:sz w:val="32"/>
          <w:szCs w:val="32"/>
          <w:highlight w:val="none"/>
          <w:lang w:val="en-US" w:eastAsia="zh-CN"/>
        </w:rPr>
        <w:t>13.65</w:t>
      </w:r>
      <w:r>
        <w:rPr>
          <w:rFonts w:ascii="仿宋_GB2312" w:eastAsia="仿宋_GB2312"/>
          <w:color w:val="auto"/>
          <w:sz w:val="32"/>
          <w:szCs w:val="32"/>
          <w:highlight w:val="none"/>
        </w:rPr>
        <w:t>%</w:t>
      </w:r>
      <w:r>
        <w:rPr>
          <w:rFonts w:hint="eastAsia" w:ascii="仿宋_GB2312" w:eastAsia="仿宋_GB2312"/>
          <w:color w:val="auto"/>
          <w:sz w:val="32"/>
          <w:szCs w:val="32"/>
          <w:highlight w:val="none"/>
        </w:rPr>
        <w:t>。主要原因是</w:t>
      </w:r>
      <w:r>
        <w:rPr>
          <w:rFonts w:hint="eastAsia" w:ascii="仿宋_GB2312" w:eastAsia="仿宋_GB2312"/>
          <w:color w:val="auto"/>
          <w:sz w:val="32"/>
          <w:szCs w:val="32"/>
          <w:highlight w:val="none"/>
          <w:lang w:val="en-US" w:eastAsia="zh-CN"/>
        </w:rPr>
        <w:t>2024年减少办公电脑耗材费用支出</w:t>
      </w:r>
      <w:r>
        <w:rPr>
          <w:rFonts w:hint="eastAsia" w:ascii="仿宋_GB2312" w:eastAsia="仿宋_GB2312"/>
          <w:color w:val="auto"/>
          <w:sz w:val="32"/>
          <w:szCs w:val="32"/>
          <w:highlight w:val="none"/>
          <w:lang w:eastAsia="zh-CN"/>
        </w:rPr>
        <w:t>。</w:t>
      </w:r>
    </w:p>
    <w:p w14:paraId="3F84BAB7">
      <w:pPr>
        <w:autoSpaceDE w:val="0"/>
        <w:autoSpaceDN w:val="0"/>
        <w:adjustRightInd w:val="0"/>
        <w:spacing w:line="600" w:lineRule="exact"/>
        <w:ind w:firstLine="643" w:firstLineChars="200"/>
        <w:jc w:val="left"/>
        <w:outlineLvl w:val="2"/>
        <w:rPr>
          <w:rFonts w:ascii="仿宋" w:hAnsi="仿宋" w:eastAsia="仿宋"/>
          <w:b/>
          <w:color w:val="auto"/>
          <w:sz w:val="32"/>
          <w:szCs w:val="32"/>
          <w:highlight w:val="none"/>
        </w:rPr>
      </w:pPr>
      <w:bookmarkStart w:id="68" w:name="_Toc15377223"/>
      <w:r>
        <w:rPr>
          <w:rFonts w:hint="eastAsia" w:ascii="仿宋" w:hAnsi="仿宋" w:eastAsia="仿宋"/>
          <w:b/>
          <w:color w:val="auto"/>
          <w:sz w:val="32"/>
          <w:szCs w:val="32"/>
          <w:highlight w:val="none"/>
        </w:rPr>
        <w:t>（二）政府采购支出情况</w:t>
      </w:r>
      <w:bookmarkEnd w:id="68"/>
    </w:p>
    <w:p w14:paraId="1103B8B2">
      <w:pPr>
        <w:spacing w:line="600" w:lineRule="exact"/>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20</w:t>
      </w:r>
      <w:r>
        <w:rPr>
          <w:rFonts w:hint="eastAsia" w:ascii="仿宋_GB2312" w:eastAsia="仿宋_GB2312"/>
          <w:color w:val="auto"/>
          <w:sz w:val="32"/>
          <w:szCs w:val="32"/>
          <w:highlight w:val="none"/>
          <w:lang w:val="en-US" w:eastAsia="zh-CN"/>
        </w:rPr>
        <w:t>24</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eastAsia="zh-CN"/>
        </w:rPr>
        <w:t>县档案馆</w:t>
      </w:r>
      <w:r>
        <w:rPr>
          <w:rFonts w:hint="eastAsia" w:ascii="仿宋_GB2312" w:eastAsia="仿宋_GB2312"/>
          <w:color w:val="auto"/>
          <w:sz w:val="32"/>
          <w:szCs w:val="32"/>
          <w:highlight w:val="none"/>
        </w:rPr>
        <w:t>政府采购支出总额</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p>
    <w:p w14:paraId="63D5DBAF">
      <w:pPr>
        <w:autoSpaceDE w:val="0"/>
        <w:autoSpaceDN w:val="0"/>
        <w:adjustRightInd w:val="0"/>
        <w:spacing w:line="600" w:lineRule="exact"/>
        <w:ind w:firstLine="643" w:firstLineChars="200"/>
        <w:jc w:val="left"/>
        <w:outlineLvl w:val="2"/>
        <w:rPr>
          <w:rFonts w:ascii="仿宋" w:hAnsi="仿宋" w:eastAsia="仿宋"/>
          <w:b/>
          <w:color w:val="auto"/>
          <w:sz w:val="32"/>
          <w:szCs w:val="32"/>
          <w:highlight w:val="none"/>
        </w:rPr>
      </w:pPr>
      <w:bookmarkStart w:id="69" w:name="_Toc15377224"/>
      <w:r>
        <w:rPr>
          <w:rFonts w:hint="eastAsia" w:ascii="仿宋" w:hAnsi="仿宋" w:eastAsia="仿宋"/>
          <w:b/>
          <w:color w:val="auto"/>
          <w:sz w:val="32"/>
          <w:szCs w:val="32"/>
          <w:highlight w:val="none"/>
        </w:rPr>
        <w:t>（三）国有资产占有使用情况</w:t>
      </w:r>
      <w:bookmarkEnd w:id="69"/>
    </w:p>
    <w:p w14:paraId="7BA1D5E4">
      <w:pPr>
        <w:autoSpaceDE w:val="0"/>
        <w:autoSpaceDN w:val="0"/>
        <w:adjustRightInd w:val="0"/>
        <w:spacing w:line="600" w:lineRule="exact"/>
        <w:ind w:firstLine="640" w:firstLineChars="200"/>
        <w:jc w:val="left"/>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截至</w:t>
      </w:r>
      <w:r>
        <w:rPr>
          <w:rFonts w:ascii="仿宋_GB2312" w:eastAsia="仿宋_GB2312"/>
          <w:color w:val="auto"/>
          <w:sz w:val="32"/>
          <w:szCs w:val="32"/>
          <w:highlight w:val="none"/>
        </w:rPr>
        <w:t>20</w:t>
      </w:r>
      <w:r>
        <w:rPr>
          <w:rFonts w:hint="eastAsia" w:ascii="仿宋_GB2312" w:eastAsia="仿宋_GB2312"/>
          <w:color w:val="auto"/>
          <w:sz w:val="32"/>
          <w:szCs w:val="32"/>
          <w:highlight w:val="none"/>
          <w:lang w:val="en-US" w:eastAsia="zh-CN"/>
        </w:rPr>
        <w:t>24</w:t>
      </w:r>
      <w:r>
        <w:rPr>
          <w:rFonts w:hint="eastAsia" w:ascii="仿宋_GB2312" w:eastAsia="仿宋_GB2312"/>
          <w:color w:val="auto"/>
          <w:sz w:val="32"/>
          <w:szCs w:val="32"/>
          <w:highlight w:val="none"/>
        </w:rPr>
        <w:t>年</w:t>
      </w:r>
      <w:r>
        <w:rPr>
          <w:rFonts w:ascii="仿宋_GB2312" w:eastAsia="仿宋_GB2312"/>
          <w:color w:val="auto"/>
          <w:sz w:val="32"/>
          <w:szCs w:val="32"/>
          <w:highlight w:val="none"/>
        </w:rPr>
        <w:t>12</w:t>
      </w:r>
      <w:r>
        <w:rPr>
          <w:rFonts w:hint="eastAsia" w:ascii="仿宋_GB2312" w:eastAsia="仿宋_GB2312"/>
          <w:color w:val="auto"/>
          <w:sz w:val="32"/>
          <w:szCs w:val="32"/>
          <w:highlight w:val="none"/>
        </w:rPr>
        <w:t>月</w:t>
      </w:r>
      <w:r>
        <w:rPr>
          <w:rFonts w:ascii="仿宋_GB2312" w:eastAsia="仿宋_GB2312"/>
          <w:color w:val="auto"/>
          <w:sz w:val="32"/>
          <w:szCs w:val="32"/>
          <w:highlight w:val="none"/>
        </w:rPr>
        <w:t>31</w:t>
      </w:r>
      <w:r>
        <w:rPr>
          <w:rFonts w:hint="eastAsia" w:ascii="仿宋_GB2312" w:eastAsia="仿宋_GB2312"/>
          <w:color w:val="auto"/>
          <w:sz w:val="32"/>
          <w:szCs w:val="32"/>
          <w:highlight w:val="none"/>
        </w:rPr>
        <w:t>日，</w:t>
      </w:r>
      <w:r>
        <w:rPr>
          <w:rFonts w:hint="eastAsia" w:ascii="仿宋_GB2312" w:eastAsia="仿宋_GB2312"/>
          <w:color w:val="auto"/>
          <w:sz w:val="32"/>
          <w:szCs w:val="32"/>
          <w:highlight w:val="none"/>
          <w:lang w:eastAsia="zh-CN"/>
        </w:rPr>
        <w:t>县档案馆</w:t>
      </w:r>
      <w:r>
        <w:rPr>
          <w:rFonts w:hint="eastAsia" w:ascii="仿宋_GB2312" w:eastAsia="仿宋_GB2312"/>
          <w:color w:val="auto"/>
          <w:sz w:val="32"/>
          <w:szCs w:val="32"/>
          <w:highlight w:val="none"/>
        </w:rPr>
        <w:t>共有车辆</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辆，其中：主要领导干部用车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辆、机要通信用车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辆、应急保障用车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辆、其他用车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rPr>
        <w:t>单价</w:t>
      </w:r>
      <w:r>
        <w:rPr>
          <w:rFonts w:ascii="仿宋_GB2312" w:eastAsia="仿宋_GB2312"/>
          <w:color w:val="auto"/>
          <w:sz w:val="32"/>
          <w:szCs w:val="32"/>
          <w:highlight w:val="none"/>
        </w:rPr>
        <w:t>100</w:t>
      </w:r>
      <w:r>
        <w:rPr>
          <w:rFonts w:hint="eastAsia" w:ascii="仿宋_GB2312" w:eastAsia="仿宋_GB2312"/>
          <w:color w:val="auto"/>
          <w:sz w:val="32"/>
          <w:szCs w:val="32"/>
          <w:highlight w:val="none"/>
        </w:rPr>
        <w:t>万元以上专用设备</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台（套）。</w:t>
      </w:r>
    </w:p>
    <w:p w14:paraId="7CE4D7AE">
      <w:pPr>
        <w:autoSpaceDE w:val="0"/>
        <w:autoSpaceDN w:val="0"/>
        <w:adjustRightInd w:val="0"/>
        <w:spacing w:line="600" w:lineRule="exact"/>
        <w:ind w:firstLine="643" w:firstLineChars="200"/>
        <w:jc w:val="left"/>
        <w:outlineLvl w:val="2"/>
        <w:rPr>
          <w:rFonts w:ascii="仿宋" w:hAnsi="仿宋" w:eastAsia="仿宋"/>
          <w:b/>
          <w:color w:val="auto"/>
          <w:sz w:val="32"/>
          <w:szCs w:val="32"/>
          <w:highlight w:val="none"/>
        </w:rPr>
      </w:pPr>
      <w:r>
        <w:rPr>
          <w:rFonts w:hint="eastAsia" w:ascii="仿宋" w:hAnsi="仿宋" w:eastAsia="仿宋"/>
          <w:b/>
          <w:color w:val="auto"/>
          <w:sz w:val="32"/>
          <w:szCs w:val="32"/>
          <w:highlight w:val="none"/>
        </w:rPr>
        <w:t>（四）预算绩效管理情况</w:t>
      </w:r>
    </w:p>
    <w:p w14:paraId="51D0C4FD">
      <w:pPr>
        <w:widowControl/>
        <w:ind w:firstLine="640" w:firstLineChars="20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根据预算绩效管理要求，本部门在202</w:t>
      </w: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rPr>
        <w:t>年度预算编制阶段，组织对</w:t>
      </w:r>
      <w:r>
        <w:rPr>
          <w:rFonts w:hint="eastAsia" w:ascii="仿宋_GB2312" w:hAnsi="仿宋_GB2312" w:eastAsia="仿宋_GB2312" w:cs="仿宋_GB2312"/>
          <w:color w:val="auto"/>
          <w:sz w:val="32"/>
          <w:szCs w:val="32"/>
          <w:highlight w:val="none"/>
          <w:lang w:eastAsia="zh-CN"/>
        </w:rPr>
        <w:t>馆藏档案数字化</w:t>
      </w:r>
      <w:r>
        <w:rPr>
          <w:rFonts w:hint="eastAsia" w:ascii="仿宋_GB2312" w:hAnsi="仿宋_GB2312" w:eastAsia="仿宋_GB2312" w:cs="仿宋_GB2312"/>
          <w:color w:val="auto"/>
          <w:sz w:val="32"/>
          <w:szCs w:val="32"/>
          <w:highlight w:val="none"/>
        </w:rPr>
        <w:t>项目（项目名称）</w:t>
      </w: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个项目开展了预算事前绩效评估，对</w:t>
      </w:r>
      <w:r>
        <w:rPr>
          <w:rFonts w:hint="eastAsia" w:ascii="仿宋_GB2312" w:hAnsi="仿宋_GB2312" w:eastAsia="仿宋_GB2312" w:cs="仿宋_GB2312"/>
          <w:color w:val="auto"/>
          <w:sz w:val="32"/>
          <w:szCs w:val="32"/>
          <w:highlight w:val="none"/>
          <w:lang w:eastAsia="zh-CN"/>
        </w:rPr>
        <w:t>馆藏档案数字化等</w:t>
      </w: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个项目编制了绩效目标，预算执行过程中，选取</w:t>
      </w:r>
      <w:r>
        <w:rPr>
          <w:rFonts w:hint="eastAsia" w:ascii="仿宋_GB2312" w:hAnsi="仿宋_GB2312" w:eastAsia="仿宋_GB2312" w:cs="仿宋_GB2312"/>
          <w:color w:val="auto"/>
          <w:sz w:val="32"/>
          <w:szCs w:val="32"/>
          <w:highlight w:val="none"/>
          <w:lang w:eastAsia="zh-CN"/>
        </w:rPr>
        <w:t>馆藏档案数字化等</w:t>
      </w:r>
      <w:r>
        <w:rPr>
          <w:rFonts w:hint="eastAsia" w:ascii="仿宋_GB2312" w:hAnsi="仿宋_GB2312" w:eastAsia="仿宋_GB2312" w:cs="仿宋_GB2312"/>
          <w:color w:val="auto"/>
          <w:sz w:val="32"/>
          <w:szCs w:val="32"/>
          <w:highlight w:val="none"/>
          <w:lang w:val="en-US" w:eastAsia="zh-CN"/>
        </w:rPr>
        <w:t>2个</w:t>
      </w:r>
      <w:r>
        <w:rPr>
          <w:rFonts w:hint="eastAsia" w:ascii="仿宋_GB2312" w:hAnsi="仿宋_GB2312" w:eastAsia="仿宋_GB2312" w:cs="仿宋_GB2312"/>
          <w:color w:val="auto"/>
          <w:sz w:val="32"/>
          <w:szCs w:val="32"/>
          <w:highlight w:val="none"/>
        </w:rPr>
        <w:t>个项目开展绩效监控。</w:t>
      </w:r>
    </w:p>
    <w:p w14:paraId="5A93F515">
      <w:pPr>
        <w:widowControl/>
        <w:ind w:firstLine="640" w:firstLineChars="200"/>
        <w:jc w:val="left"/>
        <w:rPr>
          <w:rFonts w:ascii="仿宋_GB2312" w:eastAsia="仿宋_GB2312"/>
          <w:b/>
          <w:color w:val="auto"/>
          <w:sz w:val="32"/>
          <w:szCs w:val="32"/>
          <w:highlight w:val="none"/>
        </w:rPr>
      </w:pPr>
      <w:r>
        <w:rPr>
          <w:rFonts w:hint="eastAsia" w:ascii="仿宋_GB2312" w:hAnsi="仿宋_GB2312" w:eastAsia="仿宋_GB2312" w:cs="仿宋_GB2312"/>
          <w:color w:val="auto"/>
          <w:sz w:val="32"/>
          <w:szCs w:val="32"/>
          <w:highlight w:val="none"/>
        </w:rPr>
        <w:t>组织对202</w:t>
      </w: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rPr>
        <w:t>年度一般公共预算、政府性基金预算、国有资本经营预算、社会保险基金预算以及资本资产、债券资金等全面开展绩效自评，形成</w:t>
      </w:r>
      <w:r>
        <w:rPr>
          <w:rFonts w:hint="eastAsia" w:ascii="仿宋_GB2312" w:hAnsi="仿宋_GB2312" w:eastAsia="仿宋_GB2312" w:cs="仿宋_GB2312"/>
          <w:color w:val="auto"/>
          <w:sz w:val="32"/>
          <w:szCs w:val="32"/>
          <w:highlight w:val="none"/>
          <w:lang w:eastAsia="zh-CN"/>
        </w:rPr>
        <w:t>县档案馆</w:t>
      </w:r>
      <w:r>
        <w:rPr>
          <w:rFonts w:hint="eastAsia" w:ascii="仿宋_GB2312" w:hAnsi="仿宋_GB2312" w:eastAsia="仿宋_GB2312" w:cs="仿宋_GB2312"/>
          <w:color w:val="auto"/>
          <w:sz w:val="32"/>
          <w:szCs w:val="32"/>
          <w:highlight w:val="none"/>
        </w:rPr>
        <w:t>部门整体（含部门预算项目）绩效自评报告、</w:t>
      </w:r>
      <w:r>
        <w:rPr>
          <w:rFonts w:hint="eastAsia" w:ascii="仿宋_GB2312" w:hAnsi="仿宋_GB2312" w:eastAsia="仿宋_GB2312" w:cs="仿宋_GB2312"/>
          <w:color w:val="auto"/>
          <w:sz w:val="32"/>
          <w:szCs w:val="32"/>
          <w:highlight w:val="none"/>
          <w:lang w:eastAsia="zh-CN"/>
        </w:rPr>
        <w:t>馆藏档案数字化</w:t>
      </w:r>
      <w:r>
        <w:rPr>
          <w:rFonts w:hint="eastAsia" w:ascii="仿宋_GB2312" w:hAnsi="仿宋_GB2312" w:eastAsia="仿宋_GB2312" w:cs="仿宋_GB2312"/>
          <w:color w:val="auto"/>
          <w:sz w:val="32"/>
          <w:szCs w:val="32"/>
          <w:highlight w:val="none"/>
        </w:rPr>
        <w:t>等专项预算项目绩效自评报告，其中，</w:t>
      </w:r>
      <w:r>
        <w:rPr>
          <w:rFonts w:hint="eastAsia" w:ascii="仿宋_GB2312" w:hAnsi="仿宋_GB2312" w:eastAsia="仿宋_GB2312" w:cs="仿宋_GB2312"/>
          <w:color w:val="auto"/>
          <w:sz w:val="32"/>
          <w:szCs w:val="32"/>
          <w:highlight w:val="none"/>
          <w:lang w:eastAsia="zh-CN"/>
        </w:rPr>
        <w:t>县档案馆</w:t>
      </w:r>
      <w:r>
        <w:rPr>
          <w:rFonts w:hint="eastAsia" w:ascii="仿宋_GB2312" w:hAnsi="仿宋_GB2312" w:eastAsia="仿宋_GB2312" w:cs="仿宋_GB2312"/>
          <w:color w:val="auto"/>
          <w:sz w:val="32"/>
          <w:szCs w:val="32"/>
          <w:highlight w:val="none"/>
        </w:rPr>
        <w:t>部门整体（含部门预算项目）绩效自评得分为</w:t>
      </w:r>
      <w:r>
        <w:rPr>
          <w:rFonts w:hint="eastAsia" w:ascii="仿宋_GB2312" w:hAnsi="仿宋_GB2312" w:eastAsia="仿宋_GB2312" w:cs="仿宋_GB2312"/>
          <w:color w:val="auto"/>
          <w:sz w:val="32"/>
          <w:szCs w:val="32"/>
          <w:highlight w:val="none"/>
          <w:lang w:val="en-US" w:eastAsia="zh-CN"/>
        </w:rPr>
        <w:t>98</w:t>
      </w:r>
      <w:r>
        <w:rPr>
          <w:rFonts w:hint="eastAsia" w:ascii="仿宋_GB2312" w:hAnsi="仿宋_GB2312" w:eastAsia="仿宋_GB2312" w:cs="仿宋_GB2312"/>
          <w:color w:val="auto"/>
          <w:sz w:val="32"/>
          <w:szCs w:val="32"/>
          <w:highlight w:val="none"/>
        </w:rPr>
        <w:t>分，绩效自评</w:t>
      </w:r>
      <w:r>
        <w:rPr>
          <w:rFonts w:hint="eastAsia" w:ascii="仿宋_GB2312" w:hAnsi="仿宋_GB2312" w:eastAsia="仿宋_GB2312" w:cs="仿宋_GB2312"/>
          <w:color w:val="auto"/>
          <w:sz w:val="32"/>
          <w:szCs w:val="32"/>
          <w:highlight w:val="none"/>
          <w:lang w:eastAsia="zh-CN"/>
        </w:rPr>
        <w:t>为优良</w:t>
      </w:r>
      <w:r>
        <w:rPr>
          <w:rFonts w:hint="eastAsia" w:ascii="仿宋_GB2312" w:hAnsi="仿宋_GB2312" w:eastAsia="仿宋_GB2312" w:cs="仿宋_GB2312"/>
          <w:color w:val="auto"/>
          <w:sz w:val="32"/>
          <w:szCs w:val="32"/>
          <w:highlight w:val="none"/>
        </w:rPr>
        <w:t>综述；</w:t>
      </w:r>
      <w:r>
        <w:rPr>
          <w:rFonts w:hint="eastAsia" w:ascii="仿宋_GB2312" w:hAnsi="仿宋_GB2312" w:eastAsia="仿宋_GB2312" w:cs="仿宋_GB2312"/>
          <w:color w:val="auto"/>
          <w:sz w:val="32"/>
          <w:szCs w:val="32"/>
          <w:highlight w:val="none"/>
          <w:lang w:eastAsia="zh-CN"/>
        </w:rPr>
        <w:t>馆藏档案数字化</w:t>
      </w:r>
      <w:r>
        <w:rPr>
          <w:rFonts w:hint="eastAsia" w:ascii="仿宋_GB2312" w:hAnsi="仿宋_GB2312" w:eastAsia="仿宋_GB2312" w:cs="仿宋_GB2312"/>
          <w:color w:val="auto"/>
          <w:sz w:val="32"/>
          <w:szCs w:val="32"/>
          <w:highlight w:val="none"/>
        </w:rPr>
        <w:t>专项预算项目绩效自评得分为</w:t>
      </w:r>
      <w:r>
        <w:rPr>
          <w:rFonts w:hint="eastAsia" w:ascii="仿宋_GB2312" w:hAnsi="仿宋_GB2312" w:eastAsia="仿宋_GB2312" w:cs="仿宋_GB2312"/>
          <w:color w:val="auto"/>
          <w:sz w:val="32"/>
          <w:szCs w:val="32"/>
          <w:highlight w:val="none"/>
          <w:lang w:val="en-US" w:eastAsia="zh-CN"/>
        </w:rPr>
        <w:t>98</w:t>
      </w:r>
      <w:r>
        <w:rPr>
          <w:rFonts w:hint="eastAsia" w:ascii="仿宋_GB2312" w:hAnsi="仿宋_GB2312" w:eastAsia="仿宋_GB2312" w:cs="仿宋_GB2312"/>
          <w:color w:val="auto"/>
          <w:sz w:val="32"/>
          <w:szCs w:val="32"/>
          <w:highlight w:val="none"/>
        </w:rPr>
        <w:t>分，绩效自评</w:t>
      </w:r>
      <w:r>
        <w:rPr>
          <w:rFonts w:hint="eastAsia" w:ascii="仿宋_GB2312" w:hAnsi="仿宋_GB2312" w:eastAsia="仿宋_GB2312" w:cs="仿宋_GB2312"/>
          <w:color w:val="auto"/>
          <w:sz w:val="32"/>
          <w:szCs w:val="32"/>
          <w:highlight w:val="none"/>
          <w:lang w:eastAsia="zh-CN"/>
        </w:rPr>
        <w:t>为优良，</w:t>
      </w:r>
      <w:r>
        <w:rPr>
          <w:rFonts w:hint="eastAsia" w:ascii="仿宋_GB2312" w:hAnsi="仿宋_GB2312" w:eastAsia="仿宋_GB2312" w:cs="仿宋_GB2312"/>
          <w:color w:val="auto"/>
          <w:sz w:val="32"/>
          <w:szCs w:val="32"/>
          <w:highlight w:val="none"/>
        </w:rPr>
        <w:t>绩效自评报告详见附件。</w:t>
      </w:r>
      <w:r>
        <w:rPr>
          <w:rFonts w:ascii="仿宋_GB2312" w:eastAsia="仿宋_GB2312"/>
          <w:b/>
          <w:color w:val="auto"/>
          <w:sz w:val="32"/>
          <w:szCs w:val="32"/>
          <w:highlight w:val="none"/>
        </w:rPr>
        <w:br w:type="page"/>
      </w:r>
    </w:p>
    <w:p w14:paraId="0BF7199D">
      <w:pPr>
        <w:numPr>
          <w:ilvl w:val="0"/>
          <w:numId w:val="3"/>
        </w:numPr>
        <w:spacing w:line="600" w:lineRule="exact"/>
        <w:ind w:firstLine="660" w:firstLineChars="150"/>
        <w:jc w:val="center"/>
        <w:outlineLvl w:val="0"/>
        <w:rPr>
          <w:rStyle w:val="28"/>
          <w:rFonts w:ascii="黑体" w:hAnsi="黑体" w:eastAsia="黑体"/>
          <w:b w:val="0"/>
          <w:color w:val="auto"/>
          <w:highlight w:val="none"/>
        </w:rPr>
      </w:pPr>
      <w:bookmarkStart w:id="70" w:name="_Toc15396613"/>
      <w:bookmarkStart w:id="71" w:name="_Toc15377225"/>
      <w:bookmarkStart w:id="72" w:name="_Toc12405"/>
      <w:r>
        <w:rPr>
          <w:rFonts w:hint="eastAsia" w:ascii="黑体" w:hAnsi="黑体" w:eastAsia="黑体"/>
          <w:color w:val="auto"/>
          <w:sz w:val="44"/>
          <w:szCs w:val="44"/>
          <w:highlight w:val="none"/>
        </w:rPr>
        <w:t>名</w:t>
      </w:r>
      <w:r>
        <w:rPr>
          <w:rStyle w:val="28"/>
          <w:rFonts w:hint="eastAsia" w:ascii="黑体" w:hAnsi="黑体" w:eastAsia="黑体"/>
          <w:b w:val="0"/>
          <w:color w:val="auto"/>
          <w:highlight w:val="none"/>
        </w:rPr>
        <w:t>词解释</w:t>
      </w:r>
      <w:bookmarkEnd w:id="70"/>
      <w:bookmarkEnd w:id="71"/>
      <w:bookmarkEnd w:id="72"/>
    </w:p>
    <w:p w14:paraId="087526C3">
      <w:pPr>
        <w:spacing w:line="600" w:lineRule="exact"/>
        <w:jc w:val="left"/>
        <w:rPr>
          <w:rFonts w:ascii="宋体"/>
          <w:b/>
          <w:color w:val="auto"/>
          <w:sz w:val="44"/>
          <w:szCs w:val="44"/>
          <w:highlight w:val="none"/>
        </w:rPr>
      </w:pPr>
    </w:p>
    <w:p w14:paraId="5A35C9E7">
      <w:pPr>
        <w:pStyle w:val="26"/>
        <w:spacing w:line="560" w:lineRule="exact"/>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1.</w:t>
      </w:r>
      <w:r>
        <w:rPr>
          <w:rFonts w:hint="eastAsia" w:ascii="仿宋_GB2312" w:eastAsia="仿宋_GB2312"/>
          <w:color w:val="auto"/>
          <w:sz w:val="32"/>
          <w:szCs w:val="32"/>
          <w:highlight w:val="none"/>
        </w:rPr>
        <w:t>财政拨款收入：指</w:t>
      </w:r>
      <w:r>
        <w:rPr>
          <w:rFonts w:hint="eastAsia" w:ascii="仿宋_GB2312" w:eastAsia="仿宋_GB2312"/>
          <w:color w:val="auto"/>
          <w:sz w:val="32"/>
          <w:szCs w:val="32"/>
          <w:highlight w:val="none"/>
          <w:lang w:eastAsia="zh-CN"/>
        </w:rPr>
        <w:t>县档案馆</w:t>
      </w:r>
      <w:r>
        <w:rPr>
          <w:rFonts w:hint="eastAsia" w:ascii="仿宋_GB2312" w:eastAsia="仿宋_GB2312"/>
          <w:color w:val="auto"/>
          <w:sz w:val="32"/>
          <w:szCs w:val="32"/>
          <w:highlight w:val="none"/>
        </w:rPr>
        <w:t>从同级财政部门取得的财政预算资金。</w:t>
      </w:r>
    </w:p>
    <w:p w14:paraId="3653C7AF">
      <w:pPr>
        <w:pStyle w:val="26"/>
        <w:spacing w:line="560" w:lineRule="exact"/>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2.</w:t>
      </w:r>
      <w:r>
        <w:rPr>
          <w:rFonts w:hint="eastAsia" w:ascii="仿宋_GB2312" w:eastAsia="仿宋_GB2312"/>
          <w:color w:val="auto"/>
          <w:sz w:val="32"/>
          <w:szCs w:val="32"/>
          <w:highlight w:val="none"/>
        </w:rPr>
        <w:t>事业收入：指</w:t>
      </w:r>
      <w:r>
        <w:rPr>
          <w:rFonts w:hint="eastAsia" w:ascii="仿宋_GB2312" w:eastAsia="仿宋_GB2312"/>
          <w:color w:val="auto"/>
          <w:sz w:val="32"/>
          <w:szCs w:val="32"/>
          <w:highlight w:val="none"/>
          <w:lang w:eastAsia="zh-CN"/>
        </w:rPr>
        <w:t>县档案馆</w:t>
      </w:r>
      <w:r>
        <w:rPr>
          <w:rFonts w:hint="eastAsia" w:ascii="仿宋_GB2312" w:eastAsia="仿宋_GB2312"/>
          <w:color w:val="auto"/>
          <w:sz w:val="32"/>
          <w:szCs w:val="32"/>
          <w:highlight w:val="none"/>
        </w:rPr>
        <w:t>开展专业业务活动及辅助活动取得的收入。如…（二级预算单位事业收入情况）等。</w:t>
      </w:r>
    </w:p>
    <w:p w14:paraId="20878003">
      <w:pPr>
        <w:pStyle w:val="26"/>
        <w:spacing w:line="560" w:lineRule="exact"/>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3.</w:t>
      </w:r>
      <w:r>
        <w:rPr>
          <w:rFonts w:hint="eastAsia" w:ascii="仿宋_GB2312" w:eastAsia="仿宋_GB2312"/>
          <w:color w:val="auto"/>
          <w:sz w:val="32"/>
          <w:szCs w:val="32"/>
          <w:highlight w:val="none"/>
        </w:rPr>
        <w:t>经营收入：指</w:t>
      </w:r>
      <w:r>
        <w:rPr>
          <w:rFonts w:hint="eastAsia" w:ascii="仿宋_GB2312" w:eastAsia="仿宋_GB2312"/>
          <w:color w:val="auto"/>
          <w:sz w:val="32"/>
          <w:szCs w:val="32"/>
          <w:highlight w:val="none"/>
          <w:lang w:eastAsia="zh-CN"/>
        </w:rPr>
        <w:t>县档案馆</w:t>
      </w:r>
      <w:r>
        <w:rPr>
          <w:rFonts w:hint="eastAsia" w:ascii="仿宋_GB2312" w:eastAsia="仿宋_GB2312"/>
          <w:color w:val="auto"/>
          <w:sz w:val="32"/>
          <w:szCs w:val="32"/>
          <w:highlight w:val="none"/>
        </w:rPr>
        <w:t>在专业业务活动及其辅助活动之外开展非独立核算经营活动取得的收入。如…（二级预算单位经营收入情况）等。</w:t>
      </w:r>
    </w:p>
    <w:p w14:paraId="40B8942C">
      <w:pPr>
        <w:pStyle w:val="26"/>
        <w:spacing w:line="560" w:lineRule="exact"/>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4.</w:t>
      </w:r>
      <w:r>
        <w:rPr>
          <w:rFonts w:hint="eastAsia" w:ascii="仿宋_GB2312" w:eastAsia="仿宋_GB2312"/>
          <w:color w:val="auto"/>
          <w:sz w:val="32"/>
          <w:szCs w:val="32"/>
          <w:highlight w:val="none"/>
        </w:rPr>
        <w:t>其他收入：指</w:t>
      </w:r>
      <w:r>
        <w:rPr>
          <w:rFonts w:hint="eastAsia" w:ascii="仿宋_GB2312" w:eastAsia="仿宋_GB2312"/>
          <w:color w:val="auto"/>
          <w:sz w:val="32"/>
          <w:szCs w:val="32"/>
          <w:highlight w:val="none"/>
          <w:lang w:eastAsia="zh-CN"/>
        </w:rPr>
        <w:t>县档案馆</w:t>
      </w:r>
      <w:r>
        <w:rPr>
          <w:rFonts w:hint="eastAsia" w:ascii="仿宋_GB2312" w:eastAsia="仿宋_GB2312"/>
          <w:color w:val="auto"/>
          <w:sz w:val="32"/>
          <w:szCs w:val="32"/>
          <w:highlight w:val="none"/>
        </w:rPr>
        <w:t>取得的除上述收入以外的各项收入。主要是…（收入类型）等。</w:t>
      </w:r>
      <w:r>
        <w:rPr>
          <w:rFonts w:ascii="仿宋_GB2312" w:eastAsia="仿宋_GB2312"/>
          <w:color w:val="auto"/>
          <w:sz w:val="32"/>
          <w:szCs w:val="32"/>
          <w:highlight w:val="none"/>
        </w:rPr>
        <w:t xml:space="preserve"> </w:t>
      </w:r>
    </w:p>
    <w:p w14:paraId="21AD8BE8">
      <w:pPr>
        <w:pStyle w:val="26"/>
        <w:spacing w:line="560" w:lineRule="exact"/>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5.</w:t>
      </w:r>
      <w:r>
        <w:rPr>
          <w:rFonts w:hint="eastAsia" w:ascii="仿宋_GB2312" w:eastAsia="仿宋_GB2312"/>
          <w:color w:val="auto"/>
          <w:sz w:val="32"/>
          <w:szCs w:val="32"/>
          <w:highlight w:val="none"/>
          <w:lang w:eastAsia="zh-CN"/>
        </w:rPr>
        <w:t>使用非财政拨款结余</w:t>
      </w:r>
      <w:r>
        <w:rPr>
          <w:rFonts w:hint="eastAsia" w:ascii="仿宋_GB2312" w:eastAsia="仿宋_GB2312"/>
          <w:color w:val="auto"/>
          <w:sz w:val="32"/>
          <w:szCs w:val="32"/>
          <w:highlight w:val="none"/>
        </w:rPr>
        <w:t>：指</w:t>
      </w:r>
      <w:r>
        <w:rPr>
          <w:rFonts w:hint="eastAsia" w:ascii="仿宋_GB2312" w:eastAsia="仿宋_GB2312"/>
          <w:color w:val="auto"/>
          <w:sz w:val="32"/>
          <w:szCs w:val="32"/>
          <w:highlight w:val="none"/>
          <w:lang w:eastAsia="zh-CN"/>
        </w:rPr>
        <w:t>县档案馆使用以前年度积累的非财政拨款结余弥补当年收支差额的金额。</w:t>
      </w:r>
      <w:r>
        <w:rPr>
          <w:rFonts w:ascii="仿宋_GB2312" w:eastAsia="仿宋_GB2312"/>
          <w:color w:val="auto"/>
          <w:sz w:val="32"/>
          <w:szCs w:val="32"/>
          <w:highlight w:val="none"/>
        </w:rPr>
        <w:t xml:space="preserve"> </w:t>
      </w:r>
    </w:p>
    <w:p w14:paraId="17467A19">
      <w:pPr>
        <w:pStyle w:val="26"/>
        <w:spacing w:line="560" w:lineRule="exact"/>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6.</w:t>
      </w:r>
      <w:r>
        <w:rPr>
          <w:rFonts w:hint="eastAsia" w:ascii="仿宋_GB2312" w:eastAsia="仿宋_GB2312"/>
          <w:color w:val="auto"/>
          <w:sz w:val="32"/>
          <w:szCs w:val="32"/>
          <w:highlight w:val="none"/>
        </w:rPr>
        <w:t>年初结转和结余：指以前年度尚未完成、结转到本年按有关规定继续使用的资金。</w:t>
      </w:r>
      <w:r>
        <w:rPr>
          <w:rFonts w:ascii="仿宋_GB2312" w:eastAsia="仿宋_GB2312"/>
          <w:color w:val="auto"/>
          <w:sz w:val="32"/>
          <w:szCs w:val="32"/>
          <w:highlight w:val="none"/>
        </w:rPr>
        <w:t xml:space="preserve"> </w:t>
      </w:r>
    </w:p>
    <w:p w14:paraId="4A08CD87">
      <w:pPr>
        <w:pStyle w:val="26"/>
        <w:spacing w:line="560" w:lineRule="exact"/>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7.</w:t>
      </w:r>
      <w:r>
        <w:rPr>
          <w:rFonts w:hint="eastAsia" w:ascii="仿宋_GB2312" w:eastAsia="仿宋_GB2312"/>
          <w:color w:val="auto"/>
          <w:sz w:val="32"/>
          <w:szCs w:val="32"/>
          <w:highlight w:val="none"/>
        </w:rPr>
        <w:t>结余分配：指事业单位按照会计制度规定</w:t>
      </w:r>
      <w:r>
        <w:rPr>
          <w:rFonts w:hint="eastAsia" w:ascii="仿宋_GB2312" w:eastAsia="仿宋_GB2312"/>
          <w:color w:val="auto"/>
          <w:sz w:val="32"/>
          <w:szCs w:val="32"/>
          <w:highlight w:val="none"/>
          <w:lang w:eastAsia="zh-CN"/>
        </w:rPr>
        <w:t>缴纳的所得税、提取的专用结余以及转入非财政拨款结余的金额</w:t>
      </w:r>
      <w:r>
        <w:rPr>
          <w:rFonts w:hint="eastAsia" w:ascii="仿宋_GB2312" w:eastAsia="仿宋_GB2312"/>
          <w:color w:val="auto"/>
          <w:sz w:val="32"/>
          <w:szCs w:val="32"/>
          <w:highlight w:val="none"/>
        </w:rPr>
        <w:t>等。</w:t>
      </w:r>
    </w:p>
    <w:p w14:paraId="15062011">
      <w:pPr>
        <w:pStyle w:val="26"/>
        <w:spacing w:line="560" w:lineRule="exact"/>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8</w:t>
      </w:r>
      <w:r>
        <w:rPr>
          <w:rFonts w:hint="eastAsia" w:ascii="仿宋_GB2312" w:eastAsia="仿宋_GB2312"/>
          <w:color w:val="auto"/>
          <w:sz w:val="32"/>
          <w:szCs w:val="32"/>
          <w:highlight w:val="none"/>
          <w:lang w:val="en-US" w:eastAsia="zh-CN"/>
        </w:rPr>
        <w:t>.</w:t>
      </w:r>
      <w:r>
        <w:rPr>
          <w:rFonts w:hint="eastAsia" w:ascii="仿宋_GB2312" w:eastAsia="仿宋_GB2312"/>
          <w:color w:val="auto"/>
          <w:sz w:val="32"/>
          <w:szCs w:val="32"/>
          <w:highlight w:val="none"/>
        </w:rPr>
        <w:t>年末结转和结余：指单位按有关规定结转到下年或以后年度继续使用的资金。</w:t>
      </w:r>
    </w:p>
    <w:p w14:paraId="43AF6F26">
      <w:pPr>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9.</w:t>
      </w:r>
      <w:r>
        <w:rPr>
          <w:rFonts w:hint="eastAsia" w:ascii="仿宋_GB2312" w:eastAsia="仿宋_GB2312"/>
          <w:color w:val="auto"/>
          <w:sz w:val="32"/>
          <w:szCs w:val="32"/>
          <w:highlight w:val="none"/>
        </w:rPr>
        <w:t>一般公共服务（</w:t>
      </w:r>
      <w:r>
        <w:rPr>
          <w:rFonts w:hint="eastAsia" w:ascii="仿宋_GB2312" w:eastAsia="仿宋_GB2312"/>
          <w:color w:val="auto"/>
          <w:sz w:val="32"/>
          <w:szCs w:val="32"/>
          <w:highlight w:val="none"/>
          <w:lang w:val="en-US" w:eastAsia="zh-CN"/>
        </w:rPr>
        <w:t>201</w:t>
      </w:r>
      <w:r>
        <w:rPr>
          <w:rFonts w:hint="eastAsia" w:ascii="仿宋_GB2312" w:eastAsia="仿宋_GB2312"/>
          <w:color w:val="auto"/>
          <w:sz w:val="32"/>
          <w:szCs w:val="32"/>
          <w:highlight w:val="none"/>
        </w:rPr>
        <w:t>类</w:t>
      </w:r>
      <w:r>
        <w:rPr>
          <w:rFonts w:hint="eastAsia" w:ascii="仿宋_GB2312" w:eastAsia="仿宋_GB2312"/>
          <w:color w:val="auto"/>
          <w:sz w:val="32"/>
          <w:szCs w:val="32"/>
          <w:highlight w:val="none"/>
          <w:lang w:eastAsia="zh-CN"/>
        </w:rPr>
        <w:t>）档案事物</w:t>
      </w:r>
      <w:r>
        <w:rPr>
          <w:rFonts w:hint="eastAsia" w:ascii="仿宋_GB2312" w:eastAsia="仿宋_GB2312"/>
          <w:color w:val="auto"/>
          <w:sz w:val="32"/>
          <w:szCs w:val="32"/>
          <w:highlight w:val="none"/>
        </w:rPr>
        <w:t>（</w:t>
      </w:r>
      <w:r>
        <w:rPr>
          <w:rFonts w:hint="eastAsia" w:ascii="仿宋_GB2312" w:eastAsia="仿宋_GB2312"/>
          <w:color w:val="auto"/>
          <w:sz w:val="32"/>
          <w:szCs w:val="32"/>
          <w:highlight w:val="none"/>
          <w:lang w:val="en-US" w:eastAsia="zh-CN"/>
        </w:rPr>
        <w:t>26</w:t>
      </w:r>
      <w:r>
        <w:rPr>
          <w:rFonts w:hint="eastAsia" w:ascii="仿宋_GB2312" w:eastAsia="仿宋_GB2312"/>
          <w:color w:val="auto"/>
          <w:sz w:val="32"/>
          <w:szCs w:val="32"/>
          <w:highlight w:val="none"/>
        </w:rPr>
        <w:t>款）</w:t>
      </w:r>
      <w:r>
        <w:rPr>
          <w:rFonts w:hint="eastAsia" w:ascii="仿宋_GB2312" w:eastAsia="仿宋_GB2312"/>
          <w:color w:val="auto"/>
          <w:sz w:val="32"/>
          <w:szCs w:val="32"/>
          <w:highlight w:val="none"/>
          <w:lang w:eastAsia="zh-CN"/>
        </w:rPr>
        <w:t>行政运行</w:t>
      </w:r>
      <w:r>
        <w:rPr>
          <w:rFonts w:hint="eastAsia" w:ascii="仿宋_GB2312" w:eastAsia="仿宋_GB2312"/>
          <w:color w:val="auto"/>
          <w:sz w:val="32"/>
          <w:szCs w:val="32"/>
          <w:highlight w:val="none"/>
        </w:rPr>
        <w:t>（</w:t>
      </w:r>
      <w:r>
        <w:rPr>
          <w:rFonts w:hint="eastAsia" w:ascii="仿宋_GB2312" w:eastAsia="仿宋_GB2312"/>
          <w:color w:val="auto"/>
          <w:sz w:val="32"/>
          <w:szCs w:val="32"/>
          <w:highlight w:val="none"/>
          <w:lang w:val="en-US" w:eastAsia="zh-CN"/>
        </w:rPr>
        <w:t>01</w:t>
      </w:r>
      <w:r>
        <w:rPr>
          <w:rFonts w:hint="eastAsia" w:ascii="仿宋_GB2312" w:eastAsia="仿宋_GB2312"/>
          <w:color w:val="auto"/>
          <w:sz w:val="32"/>
          <w:szCs w:val="32"/>
          <w:highlight w:val="none"/>
        </w:rPr>
        <w:t>项）：指</w:t>
      </w:r>
      <w:r>
        <w:rPr>
          <w:rFonts w:hint="eastAsia" w:ascii="仿宋_GB2312" w:eastAsia="仿宋_GB2312"/>
          <w:color w:val="auto"/>
          <w:sz w:val="32"/>
          <w:szCs w:val="32"/>
          <w:highlight w:val="none"/>
          <w:lang w:eastAsia="zh-CN"/>
        </w:rPr>
        <w:t>县档案馆人员经费支出和公用经费支出</w:t>
      </w:r>
      <w:r>
        <w:rPr>
          <w:rFonts w:hint="eastAsia" w:ascii="仿宋_GB2312" w:eastAsia="仿宋_GB2312"/>
          <w:color w:val="auto"/>
          <w:sz w:val="32"/>
          <w:szCs w:val="32"/>
          <w:highlight w:val="none"/>
        </w:rPr>
        <w:t>。</w:t>
      </w:r>
    </w:p>
    <w:p w14:paraId="1FFAE53A">
      <w:pPr>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10.</w:t>
      </w:r>
      <w:r>
        <w:rPr>
          <w:rFonts w:hint="eastAsia" w:ascii="仿宋_GB2312" w:eastAsia="仿宋_GB2312"/>
          <w:color w:val="auto"/>
          <w:sz w:val="32"/>
          <w:szCs w:val="32"/>
          <w:highlight w:val="none"/>
        </w:rPr>
        <w:t>一般公共服务（</w:t>
      </w:r>
      <w:r>
        <w:rPr>
          <w:rFonts w:hint="eastAsia" w:ascii="仿宋_GB2312" w:eastAsia="仿宋_GB2312"/>
          <w:color w:val="auto"/>
          <w:sz w:val="32"/>
          <w:szCs w:val="32"/>
          <w:highlight w:val="none"/>
          <w:lang w:val="en-US" w:eastAsia="zh-CN"/>
        </w:rPr>
        <w:t>201</w:t>
      </w:r>
      <w:r>
        <w:rPr>
          <w:rFonts w:hint="eastAsia" w:ascii="仿宋_GB2312" w:eastAsia="仿宋_GB2312"/>
          <w:color w:val="auto"/>
          <w:sz w:val="32"/>
          <w:szCs w:val="32"/>
          <w:highlight w:val="none"/>
        </w:rPr>
        <w:t>类</w:t>
      </w:r>
      <w:r>
        <w:rPr>
          <w:rFonts w:hint="eastAsia" w:ascii="仿宋_GB2312" w:eastAsia="仿宋_GB2312"/>
          <w:color w:val="auto"/>
          <w:sz w:val="32"/>
          <w:szCs w:val="32"/>
          <w:highlight w:val="none"/>
          <w:lang w:eastAsia="zh-CN"/>
        </w:rPr>
        <w:t>）档案事物</w:t>
      </w:r>
      <w:r>
        <w:rPr>
          <w:rFonts w:hint="eastAsia" w:ascii="仿宋_GB2312" w:eastAsia="仿宋_GB2312"/>
          <w:color w:val="auto"/>
          <w:sz w:val="32"/>
          <w:szCs w:val="32"/>
          <w:highlight w:val="none"/>
        </w:rPr>
        <w:t>（</w:t>
      </w:r>
      <w:r>
        <w:rPr>
          <w:rFonts w:hint="eastAsia" w:ascii="仿宋_GB2312" w:eastAsia="仿宋_GB2312"/>
          <w:color w:val="auto"/>
          <w:sz w:val="32"/>
          <w:szCs w:val="32"/>
          <w:highlight w:val="none"/>
          <w:lang w:val="en-US" w:eastAsia="zh-CN"/>
        </w:rPr>
        <w:t>26</w:t>
      </w:r>
      <w:r>
        <w:rPr>
          <w:rFonts w:hint="eastAsia" w:ascii="仿宋_GB2312" w:eastAsia="仿宋_GB2312"/>
          <w:color w:val="auto"/>
          <w:sz w:val="32"/>
          <w:szCs w:val="32"/>
          <w:highlight w:val="none"/>
        </w:rPr>
        <w:t>款）</w:t>
      </w:r>
      <w:r>
        <w:rPr>
          <w:rFonts w:hint="eastAsia" w:ascii="仿宋_GB2312" w:eastAsia="仿宋_GB2312"/>
          <w:color w:val="auto"/>
          <w:sz w:val="32"/>
          <w:szCs w:val="32"/>
          <w:highlight w:val="none"/>
          <w:lang w:eastAsia="zh-CN"/>
        </w:rPr>
        <w:t>行政运行</w:t>
      </w:r>
      <w:r>
        <w:rPr>
          <w:rFonts w:hint="eastAsia" w:ascii="仿宋_GB2312" w:eastAsia="仿宋_GB2312"/>
          <w:color w:val="auto"/>
          <w:sz w:val="32"/>
          <w:szCs w:val="32"/>
          <w:highlight w:val="none"/>
        </w:rPr>
        <w:t>（</w:t>
      </w:r>
      <w:r>
        <w:rPr>
          <w:rFonts w:hint="eastAsia" w:ascii="仿宋_GB2312" w:eastAsia="仿宋_GB2312"/>
          <w:color w:val="auto"/>
          <w:sz w:val="32"/>
          <w:szCs w:val="32"/>
          <w:highlight w:val="none"/>
          <w:lang w:val="en-US" w:eastAsia="zh-CN"/>
        </w:rPr>
        <w:t>04</w:t>
      </w:r>
      <w:r>
        <w:rPr>
          <w:rFonts w:hint="eastAsia" w:ascii="仿宋_GB2312" w:eastAsia="仿宋_GB2312"/>
          <w:color w:val="auto"/>
          <w:sz w:val="32"/>
          <w:szCs w:val="32"/>
          <w:highlight w:val="none"/>
        </w:rPr>
        <w:t>项）：指</w:t>
      </w:r>
      <w:r>
        <w:rPr>
          <w:rFonts w:hint="eastAsia" w:ascii="仿宋_GB2312" w:eastAsia="仿宋_GB2312"/>
          <w:color w:val="auto"/>
          <w:sz w:val="32"/>
          <w:szCs w:val="32"/>
          <w:highlight w:val="none"/>
          <w:lang w:eastAsia="zh-CN"/>
        </w:rPr>
        <w:t>县档案馆用于项目支出</w:t>
      </w:r>
      <w:r>
        <w:rPr>
          <w:rFonts w:hint="eastAsia" w:ascii="仿宋_GB2312" w:eastAsia="仿宋_GB2312"/>
          <w:color w:val="auto"/>
          <w:sz w:val="32"/>
          <w:szCs w:val="32"/>
          <w:highlight w:val="none"/>
        </w:rPr>
        <w:t>。</w:t>
      </w:r>
    </w:p>
    <w:p w14:paraId="331888F1">
      <w:pPr>
        <w:ind w:firstLine="640" w:firstLineChars="200"/>
        <w:rPr>
          <w:rFonts w:hint="default" w:ascii="仿宋_GB2312" w:eastAsia="仿宋_GB2312"/>
          <w:color w:val="auto"/>
          <w:sz w:val="32"/>
          <w:szCs w:val="32"/>
          <w:highlight w:val="none"/>
          <w:lang w:val="en-US" w:eastAsia="zh-CN"/>
        </w:rPr>
      </w:pPr>
    </w:p>
    <w:p w14:paraId="33F1DCB4">
      <w:pPr>
        <w:numPr>
          <w:ilvl w:val="0"/>
          <w:numId w:val="0"/>
        </w:numPr>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11.</w:t>
      </w:r>
      <w:r>
        <w:rPr>
          <w:rFonts w:hint="eastAsia" w:ascii="仿宋_GB2312" w:eastAsia="仿宋_GB2312"/>
          <w:color w:val="auto"/>
          <w:sz w:val="32"/>
          <w:szCs w:val="32"/>
          <w:highlight w:val="none"/>
        </w:rPr>
        <w:t>社会保障和就业（</w:t>
      </w:r>
      <w:r>
        <w:rPr>
          <w:rFonts w:hint="eastAsia" w:ascii="仿宋_GB2312" w:eastAsia="仿宋_GB2312"/>
          <w:color w:val="auto"/>
          <w:sz w:val="32"/>
          <w:szCs w:val="32"/>
          <w:highlight w:val="none"/>
          <w:lang w:val="en-US" w:eastAsia="zh-CN"/>
        </w:rPr>
        <w:t>208</w:t>
      </w:r>
      <w:r>
        <w:rPr>
          <w:rFonts w:hint="eastAsia" w:ascii="仿宋_GB2312" w:eastAsia="仿宋_GB2312"/>
          <w:color w:val="auto"/>
          <w:sz w:val="32"/>
          <w:szCs w:val="32"/>
          <w:highlight w:val="none"/>
        </w:rPr>
        <w:t>类）行政事业单位养老支出（</w:t>
      </w:r>
      <w:r>
        <w:rPr>
          <w:rFonts w:hint="eastAsia" w:ascii="仿宋_GB2312" w:eastAsia="仿宋_GB2312"/>
          <w:color w:val="auto"/>
          <w:sz w:val="32"/>
          <w:szCs w:val="32"/>
          <w:highlight w:val="none"/>
          <w:lang w:val="en-US" w:eastAsia="zh-CN"/>
        </w:rPr>
        <w:t>05</w:t>
      </w:r>
      <w:r>
        <w:rPr>
          <w:rFonts w:hint="eastAsia" w:ascii="仿宋_GB2312" w:eastAsia="仿宋_GB2312"/>
          <w:color w:val="auto"/>
          <w:sz w:val="32"/>
          <w:szCs w:val="32"/>
          <w:highlight w:val="none"/>
        </w:rPr>
        <w:t>款）机关事业单位基本养老保险缴费支出（</w:t>
      </w:r>
      <w:r>
        <w:rPr>
          <w:rFonts w:hint="eastAsia" w:ascii="仿宋_GB2312" w:eastAsia="仿宋_GB2312"/>
          <w:color w:val="auto"/>
          <w:sz w:val="32"/>
          <w:szCs w:val="32"/>
          <w:highlight w:val="none"/>
          <w:lang w:val="en-US" w:eastAsia="zh-CN"/>
        </w:rPr>
        <w:t>05</w:t>
      </w:r>
      <w:r>
        <w:rPr>
          <w:rFonts w:hint="eastAsia" w:ascii="仿宋_GB2312" w:eastAsia="仿宋_GB2312"/>
          <w:color w:val="auto"/>
          <w:sz w:val="32"/>
          <w:szCs w:val="32"/>
          <w:highlight w:val="none"/>
        </w:rPr>
        <w:t>项）：指</w:t>
      </w:r>
      <w:r>
        <w:rPr>
          <w:rFonts w:hint="eastAsia" w:ascii="仿宋_GB2312" w:eastAsia="仿宋_GB2312"/>
          <w:color w:val="auto"/>
          <w:sz w:val="32"/>
          <w:szCs w:val="32"/>
          <w:highlight w:val="none"/>
          <w:lang w:eastAsia="zh-CN"/>
        </w:rPr>
        <w:t>为在职人员缴纳的养老保险单位缴纳部分</w:t>
      </w:r>
      <w:r>
        <w:rPr>
          <w:rFonts w:hint="eastAsia" w:ascii="仿宋_GB2312" w:eastAsia="仿宋_GB2312"/>
          <w:color w:val="auto"/>
          <w:sz w:val="32"/>
          <w:szCs w:val="32"/>
          <w:highlight w:val="none"/>
        </w:rPr>
        <w:t>。</w:t>
      </w:r>
    </w:p>
    <w:p w14:paraId="3529B0CC">
      <w:pPr>
        <w:ind w:firstLine="640" w:firstLineChars="200"/>
        <w:rPr>
          <w:rFonts w:hint="eastAsia" w:ascii="仿宋_GB2312" w:eastAsia="仿宋_GB2312"/>
          <w:color w:val="auto"/>
          <w:sz w:val="32"/>
          <w:szCs w:val="32"/>
          <w:highlight w:val="none"/>
          <w:lang w:eastAsia="zh-CN"/>
        </w:rPr>
      </w:pPr>
      <w:r>
        <w:rPr>
          <w:rFonts w:hint="eastAsia" w:ascii="仿宋_GB2312" w:eastAsia="仿宋_GB2312"/>
          <w:color w:val="auto"/>
          <w:sz w:val="32"/>
          <w:szCs w:val="32"/>
          <w:highlight w:val="none"/>
          <w:lang w:val="en-US" w:eastAsia="zh-CN"/>
        </w:rPr>
        <w:t>12.</w:t>
      </w:r>
      <w:r>
        <w:rPr>
          <w:rFonts w:hint="eastAsia" w:ascii="仿宋_GB2312" w:eastAsia="仿宋_GB2312"/>
          <w:color w:val="auto"/>
          <w:sz w:val="32"/>
          <w:szCs w:val="32"/>
          <w:highlight w:val="none"/>
        </w:rPr>
        <w:t>社会保障和就业（</w:t>
      </w:r>
      <w:r>
        <w:rPr>
          <w:rFonts w:hint="eastAsia" w:ascii="仿宋_GB2312" w:eastAsia="仿宋_GB2312"/>
          <w:color w:val="auto"/>
          <w:sz w:val="32"/>
          <w:szCs w:val="32"/>
          <w:highlight w:val="none"/>
          <w:lang w:val="en-US" w:eastAsia="zh-CN"/>
        </w:rPr>
        <w:t>208</w:t>
      </w:r>
      <w:r>
        <w:rPr>
          <w:rFonts w:hint="eastAsia" w:ascii="仿宋_GB2312" w:eastAsia="仿宋_GB2312"/>
          <w:color w:val="auto"/>
          <w:sz w:val="32"/>
          <w:szCs w:val="32"/>
          <w:highlight w:val="none"/>
        </w:rPr>
        <w:t>类）行政事业单位养老支出（</w:t>
      </w:r>
      <w:r>
        <w:rPr>
          <w:rFonts w:hint="eastAsia" w:ascii="仿宋_GB2312" w:eastAsia="仿宋_GB2312"/>
          <w:color w:val="auto"/>
          <w:sz w:val="32"/>
          <w:szCs w:val="32"/>
          <w:highlight w:val="none"/>
          <w:lang w:val="en-US" w:eastAsia="zh-CN"/>
        </w:rPr>
        <w:t>05</w:t>
      </w:r>
      <w:r>
        <w:rPr>
          <w:rFonts w:hint="eastAsia" w:ascii="仿宋_GB2312" w:eastAsia="仿宋_GB2312"/>
          <w:color w:val="auto"/>
          <w:sz w:val="32"/>
          <w:szCs w:val="32"/>
          <w:highlight w:val="none"/>
        </w:rPr>
        <w:t>款）机关事业单位职业年金缴费支出（</w:t>
      </w:r>
      <w:r>
        <w:rPr>
          <w:rFonts w:hint="eastAsia" w:ascii="仿宋_GB2312" w:eastAsia="仿宋_GB2312"/>
          <w:color w:val="auto"/>
          <w:sz w:val="32"/>
          <w:szCs w:val="32"/>
          <w:highlight w:val="none"/>
          <w:lang w:val="en-US" w:eastAsia="zh-CN"/>
        </w:rPr>
        <w:t>06</w:t>
      </w:r>
      <w:r>
        <w:rPr>
          <w:rFonts w:hint="eastAsia" w:ascii="仿宋_GB2312" w:eastAsia="仿宋_GB2312"/>
          <w:color w:val="auto"/>
          <w:sz w:val="32"/>
          <w:szCs w:val="32"/>
          <w:highlight w:val="none"/>
        </w:rPr>
        <w:t>项）：指</w:t>
      </w:r>
      <w:r>
        <w:rPr>
          <w:rFonts w:hint="eastAsia" w:ascii="仿宋_GB2312" w:eastAsia="仿宋_GB2312"/>
          <w:color w:val="auto"/>
          <w:sz w:val="32"/>
          <w:szCs w:val="32"/>
          <w:highlight w:val="none"/>
          <w:lang w:eastAsia="zh-CN"/>
        </w:rPr>
        <w:t>为当年退休人员支付的职业年金支出。</w:t>
      </w:r>
    </w:p>
    <w:p w14:paraId="0A34F26C">
      <w:pPr>
        <w:pStyle w:val="6"/>
        <w:ind w:firstLine="640" w:firstLineChars="200"/>
        <w:rPr>
          <w:rFonts w:hint="default"/>
          <w:color w:val="auto"/>
          <w:lang w:val="en-US" w:eastAsia="zh-CN"/>
        </w:rPr>
      </w:pPr>
      <w:r>
        <w:rPr>
          <w:rFonts w:hint="eastAsia"/>
          <w:color w:val="auto"/>
          <w:sz w:val="32"/>
          <w:szCs w:val="32"/>
          <w:highlight w:val="none"/>
          <w:lang w:val="en-US" w:eastAsia="zh-CN"/>
        </w:rPr>
        <w:t>13.社会保障和就业（208）抚血（08）死亡抚血（01）死亡抚血金。</w:t>
      </w:r>
    </w:p>
    <w:p w14:paraId="73481641">
      <w:pPr>
        <w:ind w:firstLine="640" w:firstLineChars="200"/>
        <w:rPr>
          <w:rFonts w:hint="default" w:ascii="仿宋_GB2312" w:eastAsia="仿宋_GB2312"/>
          <w:color w:val="auto"/>
          <w:sz w:val="32"/>
          <w:szCs w:val="32"/>
          <w:highlight w:val="none"/>
          <w:lang w:val="en-US" w:eastAsia="zh-CN"/>
        </w:rPr>
      </w:pPr>
      <w:r>
        <w:rPr>
          <w:rFonts w:hint="eastAsia" w:ascii="仿宋_GB2312" w:eastAsia="仿宋_GB2312"/>
          <w:color w:val="auto"/>
          <w:sz w:val="32"/>
          <w:szCs w:val="32"/>
          <w:highlight w:val="none"/>
          <w:lang w:val="en-US" w:eastAsia="zh-CN"/>
        </w:rPr>
        <w:t>14.</w:t>
      </w:r>
      <w:r>
        <w:rPr>
          <w:rFonts w:hint="eastAsia" w:ascii="仿宋_GB2312" w:eastAsia="仿宋_GB2312"/>
          <w:color w:val="auto"/>
          <w:sz w:val="32"/>
          <w:szCs w:val="32"/>
          <w:highlight w:val="none"/>
        </w:rPr>
        <w:t>社会保障和就业（</w:t>
      </w:r>
      <w:r>
        <w:rPr>
          <w:rFonts w:hint="eastAsia" w:ascii="仿宋_GB2312" w:eastAsia="仿宋_GB2312"/>
          <w:color w:val="auto"/>
          <w:sz w:val="32"/>
          <w:szCs w:val="32"/>
          <w:highlight w:val="none"/>
          <w:lang w:val="en-US" w:eastAsia="zh-CN"/>
        </w:rPr>
        <w:t>208</w:t>
      </w:r>
      <w:r>
        <w:rPr>
          <w:rFonts w:hint="eastAsia" w:ascii="仿宋_GB2312" w:eastAsia="仿宋_GB2312"/>
          <w:color w:val="auto"/>
          <w:sz w:val="32"/>
          <w:szCs w:val="32"/>
          <w:highlight w:val="none"/>
        </w:rPr>
        <w:t>类）其他社会保障和就业支出（</w:t>
      </w:r>
      <w:r>
        <w:rPr>
          <w:rFonts w:hint="eastAsia" w:ascii="仿宋_GB2312" w:eastAsia="仿宋_GB2312"/>
          <w:color w:val="auto"/>
          <w:sz w:val="32"/>
          <w:szCs w:val="32"/>
          <w:highlight w:val="none"/>
          <w:lang w:val="en-US" w:eastAsia="zh-CN"/>
        </w:rPr>
        <w:t>99</w:t>
      </w:r>
      <w:r>
        <w:rPr>
          <w:rFonts w:hint="eastAsia" w:ascii="仿宋_GB2312" w:eastAsia="仿宋_GB2312"/>
          <w:color w:val="auto"/>
          <w:sz w:val="32"/>
          <w:szCs w:val="32"/>
          <w:highlight w:val="none"/>
        </w:rPr>
        <w:t>款）其他社会保障和就业支出（</w:t>
      </w:r>
      <w:r>
        <w:rPr>
          <w:rFonts w:hint="eastAsia" w:ascii="仿宋_GB2312" w:eastAsia="仿宋_GB2312"/>
          <w:color w:val="auto"/>
          <w:sz w:val="32"/>
          <w:szCs w:val="32"/>
          <w:highlight w:val="none"/>
          <w:lang w:val="en-US" w:eastAsia="zh-CN"/>
        </w:rPr>
        <w:t>99</w:t>
      </w:r>
      <w:r>
        <w:rPr>
          <w:rFonts w:hint="eastAsia" w:ascii="仿宋_GB2312" w:eastAsia="仿宋_GB2312"/>
          <w:color w:val="auto"/>
          <w:sz w:val="32"/>
          <w:szCs w:val="32"/>
          <w:highlight w:val="none"/>
        </w:rPr>
        <w:t>项）：指</w:t>
      </w:r>
      <w:r>
        <w:rPr>
          <w:rFonts w:hint="eastAsia" w:ascii="仿宋_GB2312" w:eastAsia="仿宋_GB2312"/>
          <w:color w:val="auto"/>
          <w:sz w:val="32"/>
          <w:szCs w:val="32"/>
          <w:highlight w:val="none"/>
          <w:lang w:eastAsia="zh-CN"/>
        </w:rPr>
        <w:t>为在职人员缴纳工伤保险。</w:t>
      </w:r>
    </w:p>
    <w:p w14:paraId="6286C350">
      <w:pPr>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1</w:t>
      </w:r>
      <w:r>
        <w:rPr>
          <w:rFonts w:hint="eastAsia" w:ascii="仿宋_GB2312" w:eastAsia="仿宋_GB2312"/>
          <w:color w:val="auto"/>
          <w:sz w:val="32"/>
          <w:szCs w:val="32"/>
          <w:highlight w:val="none"/>
          <w:lang w:val="en-US" w:eastAsia="zh-CN"/>
        </w:rPr>
        <w:t>5</w:t>
      </w:r>
      <w:r>
        <w:rPr>
          <w:rFonts w:ascii="仿宋_GB2312" w:eastAsia="仿宋_GB2312"/>
          <w:color w:val="auto"/>
          <w:sz w:val="32"/>
          <w:szCs w:val="32"/>
          <w:highlight w:val="none"/>
        </w:rPr>
        <w:t>.</w:t>
      </w:r>
      <w:r>
        <w:rPr>
          <w:rFonts w:hint="eastAsia" w:ascii="仿宋_GB2312" w:eastAsia="仿宋_GB2312"/>
          <w:color w:val="auto"/>
          <w:sz w:val="32"/>
          <w:szCs w:val="32"/>
          <w:highlight w:val="none"/>
          <w:lang w:eastAsia="zh-CN"/>
        </w:rPr>
        <w:t>卫生健康</w:t>
      </w:r>
      <w:r>
        <w:rPr>
          <w:rFonts w:hint="eastAsia" w:ascii="仿宋_GB2312" w:eastAsia="仿宋_GB2312"/>
          <w:color w:val="auto"/>
          <w:sz w:val="32"/>
          <w:szCs w:val="32"/>
          <w:highlight w:val="none"/>
        </w:rPr>
        <w:t>（</w:t>
      </w:r>
      <w:r>
        <w:rPr>
          <w:rFonts w:hint="eastAsia" w:ascii="仿宋_GB2312" w:eastAsia="仿宋_GB2312"/>
          <w:color w:val="auto"/>
          <w:sz w:val="32"/>
          <w:szCs w:val="32"/>
          <w:highlight w:val="none"/>
          <w:lang w:val="en-US" w:eastAsia="zh-CN"/>
        </w:rPr>
        <w:t>210</w:t>
      </w:r>
      <w:r>
        <w:rPr>
          <w:rFonts w:hint="eastAsia" w:ascii="仿宋_GB2312" w:eastAsia="仿宋_GB2312"/>
          <w:color w:val="auto"/>
          <w:sz w:val="32"/>
          <w:szCs w:val="32"/>
          <w:highlight w:val="none"/>
        </w:rPr>
        <w:t>类）行政事业单位医疗（</w:t>
      </w:r>
      <w:r>
        <w:rPr>
          <w:rFonts w:hint="eastAsia" w:ascii="仿宋_GB2312" w:eastAsia="仿宋_GB2312"/>
          <w:color w:val="auto"/>
          <w:sz w:val="32"/>
          <w:szCs w:val="32"/>
          <w:highlight w:val="none"/>
          <w:lang w:val="en-US" w:eastAsia="zh-CN"/>
        </w:rPr>
        <w:t>11</w:t>
      </w:r>
      <w:r>
        <w:rPr>
          <w:rFonts w:hint="eastAsia" w:ascii="仿宋_GB2312" w:eastAsia="仿宋_GB2312"/>
          <w:color w:val="auto"/>
          <w:sz w:val="32"/>
          <w:szCs w:val="32"/>
          <w:highlight w:val="none"/>
        </w:rPr>
        <w:t>款）行政单位医疗（</w:t>
      </w:r>
      <w:r>
        <w:rPr>
          <w:rFonts w:hint="eastAsia" w:ascii="仿宋_GB2312" w:eastAsia="仿宋_GB2312"/>
          <w:color w:val="auto"/>
          <w:sz w:val="32"/>
          <w:szCs w:val="32"/>
          <w:highlight w:val="none"/>
          <w:lang w:val="en-US" w:eastAsia="zh-CN"/>
        </w:rPr>
        <w:t>01</w:t>
      </w:r>
      <w:r>
        <w:rPr>
          <w:rFonts w:hint="eastAsia" w:ascii="仿宋_GB2312" w:eastAsia="仿宋_GB2312"/>
          <w:color w:val="auto"/>
          <w:sz w:val="32"/>
          <w:szCs w:val="32"/>
          <w:highlight w:val="none"/>
        </w:rPr>
        <w:t>项）：指</w:t>
      </w:r>
      <w:r>
        <w:rPr>
          <w:rFonts w:hint="eastAsia" w:ascii="仿宋_GB2312" w:eastAsia="仿宋_GB2312"/>
          <w:color w:val="auto"/>
          <w:sz w:val="32"/>
          <w:szCs w:val="32"/>
          <w:highlight w:val="none"/>
          <w:lang w:eastAsia="zh-CN"/>
        </w:rPr>
        <w:t>为在职人员缴纳的医疗保险单位部分</w:t>
      </w:r>
      <w:r>
        <w:rPr>
          <w:rFonts w:hint="eastAsia" w:ascii="仿宋_GB2312" w:eastAsia="仿宋_GB2312"/>
          <w:color w:val="auto"/>
          <w:sz w:val="32"/>
          <w:szCs w:val="32"/>
          <w:highlight w:val="none"/>
        </w:rPr>
        <w:t>。</w:t>
      </w:r>
    </w:p>
    <w:p w14:paraId="2FACF4A0">
      <w:pPr>
        <w:ind w:firstLine="640" w:firstLineChars="200"/>
        <w:rPr>
          <w:rFonts w:hint="default" w:ascii="仿宋_GB2312" w:eastAsia="仿宋_GB2312"/>
          <w:color w:val="auto"/>
          <w:sz w:val="32"/>
          <w:szCs w:val="32"/>
          <w:highlight w:val="none"/>
          <w:lang w:val="en-US" w:eastAsia="zh-CN"/>
        </w:rPr>
      </w:pPr>
      <w:r>
        <w:rPr>
          <w:rFonts w:hint="eastAsia" w:ascii="仿宋_GB2312" w:eastAsia="仿宋_GB2312"/>
          <w:color w:val="auto"/>
          <w:sz w:val="32"/>
          <w:szCs w:val="32"/>
          <w:highlight w:val="none"/>
          <w:lang w:val="en-US" w:eastAsia="zh-CN"/>
        </w:rPr>
        <w:t>16.</w:t>
      </w:r>
      <w:r>
        <w:rPr>
          <w:rFonts w:hint="eastAsia" w:ascii="仿宋_GB2312" w:eastAsia="仿宋_GB2312"/>
          <w:color w:val="auto"/>
          <w:sz w:val="32"/>
          <w:szCs w:val="32"/>
          <w:highlight w:val="none"/>
          <w:lang w:eastAsia="zh-CN"/>
        </w:rPr>
        <w:t>卫生健康</w:t>
      </w:r>
      <w:r>
        <w:rPr>
          <w:rFonts w:hint="eastAsia" w:ascii="仿宋_GB2312" w:eastAsia="仿宋_GB2312"/>
          <w:color w:val="auto"/>
          <w:sz w:val="32"/>
          <w:szCs w:val="32"/>
          <w:highlight w:val="none"/>
        </w:rPr>
        <w:t>（</w:t>
      </w:r>
      <w:r>
        <w:rPr>
          <w:rFonts w:hint="eastAsia" w:ascii="仿宋_GB2312" w:eastAsia="仿宋_GB2312"/>
          <w:color w:val="auto"/>
          <w:sz w:val="32"/>
          <w:szCs w:val="32"/>
          <w:highlight w:val="none"/>
          <w:lang w:val="en-US" w:eastAsia="zh-CN"/>
        </w:rPr>
        <w:t>210</w:t>
      </w:r>
      <w:r>
        <w:rPr>
          <w:rFonts w:hint="eastAsia" w:ascii="仿宋_GB2312" w:eastAsia="仿宋_GB2312"/>
          <w:color w:val="auto"/>
          <w:sz w:val="32"/>
          <w:szCs w:val="32"/>
          <w:highlight w:val="none"/>
        </w:rPr>
        <w:t>类）行政事业单位医疗（</w:t>
      </w:r>
      <w:r>
        <w:rPr>
          <w:rFonts w:hint="eastAsia" w:ascii="仿宋_GB2312" w:eastAsia="仿宋_GB2312"/>
          <w:color w:val="auto"/>
          <w:sz w:val="32"/>
          <w:szCs w:val="32"/>
          <w:highlight w:val="none"/>
          <w:lang w:val="en-US" w:eastAsia="zh-CN"/>
        </w:rPr>
        <w:t>11</w:t>
      </w:r>
      <w:r>
        <w:rPr>
          <w:rFonts w:hint="eastAsia" w:ascii="仿宋_GB2312" w:eastAsia="仿宋_GB2312"/>
          <w:color w:val="auto"/>
          <w:sz w:val="32"/>
          <w:szCs w:val="32"/>
          <w:highlight w:val="none"/>
        </w:rPr>
        <w:t>款） 公务员医疗补助（</w:t>
      </w:r>
      <w:r>
        <w:rPr>
          <w:rFonts w:hint="eastAsia" w:ascii="仿宋_GB2312" w:eastAsia="仿宋_GB2312"/>
          <w:color w:val="auto"/>
          <w:sz w:val="32"/>
          <w:szCs w:val="32"/>
          <w:highlight w:val="none"/>
          <w:lang w:val="en-US" w:eastAsia="zh-CN"/>
        </w:rPr>
        <w:t>03</w:t>
      </w:r>
      <w:r>
        <w:rPr>
          <w:rFonts w:hint="eastAsia" w:ascii="仿宋_GB2312" w:eastAsia="仿宋_GB2312"/>
          <w:color w:val="auto"/>
          <w:sz w:val="32"/>
          <w:szCs w:val="32"/>
          <w:highlight w:val="none"/>
        </w:rPr>
        <w:t>项）：指</w:t>
      </w:r>
      <w:r>
        <w:rPr>
          <w:rFonts w:hint="eastAsia" w:ascii="仿宋_GB2312" w:eastAsia="仿宋_GB2312"/>
          <w:color w:val="auto"/>
          <w:sz w:val="32"/>
          <w:szCs w:val="32"/>
          <w:highlight w:val="none"/>
          <w:lang w:eastAsia="zh-CN"/>
        </w:rPr>
        <w:t>为在职人员缴纳的公务员医疗补助。</w:t>
      </w:r>
    </w:p>
    <w:p w14:paraId="1242E86E">
      <w:pPr>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1</w:t>
      </w:r>
      <w:r>
        <w:rPr>
          <w:rFonts w:hint="eastAsia" w:ascii="仿宋_GB2312" w:eastAsia="仿宋_GB2312"/>
          <w:color w:val="auto"/>
          <w:sz w:val="32"/>
          <w:szCs w:val="32"/>
          <w:highlight w:val="none"/>
          <w:lang w:val="en-US" w:eastAsia="zh-CN"/>
        </w:rPr>
        <w:t>7</w:t>
      </w:r>
      <w:r>
        <w:rPr>
          <w:rFonts w:ascii="仿宋_GB2312" w:eastAsia="仿宋_GB2312"/>
          <w:color w:val="auto"/>
          <w:sz w:val="32"/>
          <w:szCs w:val="32"/>
          <w:highlight w:val="none"/>
        </w:rPr>
        <w:t>.</w:t>
      </w:r>
      <w:r>
        <w:rPr>
          <w:rFonts w:hint="eastAsia" w:ascii="仿宋_GB2312" w:eastAsia="仿宋_GB2312"/>
          <w:color w:val="auto"/>
          <w:sz w:val="32"/>
          <w:szCs w:val="32"/>
          <w:highlight w:val="none"/>
        </w:rPr>
        <w:t>农林水（</w:t>
      </w:r>
      <w:r>
        <w:rPr>
          <w:rFonts w:hint="eastAsia" w:ascii="仿宋_GB2312" w:eastAsia="仿宋_GB2312"/>
          <w:color w:val="auto"/>
          <w:sz w:val="32"/>
          <w:szCs w:val="32"/>
          <w:highlight w:val="none"/>
          <w:lang w:val="en-US" w:eastAsia="zh-CN"/>
        </w:rPr>
        <w:t>213</w:t>
      </w:r>
      <w:r>
        <w:rPr>
          <w:rFonts w:hint="eastAsia" w:ascii="仿宋_GB2312" w:eastAsia="仿宋_GB2312"/>
          <w:color w:val="auto"/>
          <w:sz w:val="32"/>
          <w:szCs w:val="32"/>
          <w:highlight w:val="none"/>
        </w:rPr>
        <w:t>类）</w:t>
      </w:r>
      <w:r>
        <w:rPr>
          <w:rFonts w:hint="eastAsia" w:ascii="仿宋_GB2312" w:eastAsia="仿宋_GB2312"/>
          <w:color w:val="auto"/>
          <w:sz w:val="32"/>
          <w:szCs w:val="32"/>
          <w:highlight w:val="none"/>
          <w:lang w:eastAsia="zh-CN"/>
        </w:rPr>
        <w:t>农业农村</w:t>
      </w:r>
      <w:r>
        <w:rPr>
          <w:rFonts w:hint="eastAsia" w:ascii="仿宋_GB2312" w:eastAsia="仿宋_GB2312"/>
          <w:color w:val="auto"/>
          <w:sz w:val="32"/>
          <w:szCs w:val="32"/>
          <w:highlight w:val="none"/>
        </w:rPr>
        <w:t>（</w:t>
      </w:r>
      <w:r>
        <w:rPr>
          <w:rFonts w:hint="eastAsia" w:ascii="仿宋_GB2312" w:eastAsia="仿宋_GB2312"/>
          <w:color w:val="auto"/>
          <w:sz w:val="32"/>
          <w:szCs w:val="32"/>
          <w:highlight w:val="none"/>
          <w:lang w:val="en-US" w:eastAsia="zh-CN"/>
        </w:rPr>
        <w:t>01</w:t>
      </w:r>
      <w:r>
        <w:rPr>
          <w:rFonts w:hint="eastAsia" w:ascii="仿宋_GB2312" w:eastAsia="仿宋_GB2312"/>
          <w:color w:val="auto"/>
          <w:sz w:val="32"/>
          <w:szCs w:val="32"/>
          <w:highlight w:val="none"/>
        </w:rPr>
        <w:t>款</w:t>
      </w:r>
      <w:r>
        <w:rPr>
          <w:rFonts w:hint="eastAsia" w:ascii="仿宋_GB2312" w:eastAsia="仿宋_GB2312"/>
          <w:color w:val="auto"/>
          <w:sz w:val="32"/>
          <w:szCs w:val="32"/>
          <w:highlight w:val="none"/>
          <w:lang w:eastAsia="zh-CN"/>
        </w:rPr>
        <w:t>）其他农业农村支出</w:t>
      </w:r>
      <w:r>
        <w:rPr>
          <w:rFonts w:hint="eastAsia" w:ascii="仿宋_GB2312" w:eastAsia="仿宋_GB2312"/>
          <w:color w:val="auto"/>
          <w:sz w:val="32"/>
          <w:szCs w:val="32"/>
          <w:highlight w:val="none"/>
        </w:rPr>
        <w:t>（</w:t>
      </w:r>
      <w:r>
        <w:rPr>
          <w:rFonts w:hint="eastAsia" w:ascii="仿宋_GB2312" w:eastAsia="仿宋_GB2312"/>
          <w:color w:val="auto"/>
          <w:sz w:val="32"/>
          <w:szCs w:val="32"/>
          <w:highlight w:val="none"/>
          <w:lang w:val="en-US" w:eastAsia="zh-CN"/>
        </w:rPr>
        <w:t>99</w:t>
      </w:r>
      <w:r>
        <w:rPr>
          <w:rFonts w:hint="eastAsia" w:ascii="仿宋_GB2312" w:eastAsia="仿宋_GB2312"/>
          <w:color w:val="auto"/>
          <w:sz w:val="32"/>
          <w:szCs w:val="32"/>
          <w:highlight w:val="none"/>
        </w:rPr>
        <w:t>项）：指</w:t>
      </w:r>
      <w:r>
        <w:rPr>
          <w:rFonts w:hint="eastAsia" w:ascii="仿宋_GB2312" w:eastAsia="仿宋_GB2312"/>
          <w:color w:val="auto"/>
          <w:sz w:val="32"/>
          <w:szCs w:val="32"/>
          <w:highlight w:val="none"/>
          <w:lang w:eastAsia="zh-CN"/>
        </w:rPr>
        <w:t>单位驻村队员补助支出</w:t>
      </w:r>
      <w:r>
        <w:rPr>
          <w:rFonts w:hint="eastAsia" w:ascii="仿宋_GB2312" w:eastAsia="仿宋_GB2312"/>
          <w:color w:val="auto"/>
          <w:sz w:val="32"/>
          <w:szCs w:val="32"/>
          <w:highlight w:val="none"/>
        </w:rPr>
        <w:t>。</w:t>
      </w:r>
    </w:p>
    <w:p w14:paraId="1400A728">
      <w:pPr>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18</w:t>
      </w:r>
      <w:r>
        <w:rPr>
          <w:rFonts w:ascii="仿宋_GB2312" w:eastAsia="仿宋_GB2312"/>
          <w:color w:val="auto"/>
          <w:sz w:val="32"/>
          <w:szCs w:val="32"/>
          <w:highlight w:val="none"/>
        </w:rPr>
        <w:t>.</w:t>
      </w:r>
      <w:r>
        <w:rPr>
          <w:rFonts w:hint="eastAsia" w:ascii="仿宋_GB2312" w:eastAsia="仿宋_GB2312"/>
          <w:color w:val="auto"/>
          <w:sz w:val="32"/>
          <w:szCs w:val="32"/>
          <w:highlight w:val="none"/>
        </w:rPr>
        <w:t>住房保障（</w:t>
      </w:r>
      <w:r>
        <w:rPr>
          <w:rFonts w:hint="eastAsia" w:ascii="仿宋_GB2312" w:eastAsia="仿宋_GB2312"/>
          <w:color w:val="auto"/>
          <w:sz w:val="32"/>
          <w:szCs w:val="32"/>
          <w:highlight w:val="none"/>
          <w:lang w:val="en-US" w:eastAsia="zh-CN"/>
        </w:rPr>
        <w:t>221</w:t>
      </w:r>
      <w:r>
        <w:rPr>
          <w:rFonts w:hint="eastAsia" w:ascii="仿宋_GB2312" w:eastAsia="仿宋_GB2312"/>
          <w:color w:val="auto"/>
          <w:sz w:val="32"/>
          <w:szCs w:val="32"/>
          <w:highlight w:val="none"/>
        </w:rPr>
        <w:t>类）</w:t>
      </w:r>
      <w:r>
        <w:rPr>
          <w:rFonts w:hint="eastAsia" w:ascii="仿宋_GB2312" w:eastAsia="仿宋_GB2312"/>
          <w:color w:val="auto"/>
          <w:sz w:val="32"/>
          <w:szCs w:val="32"/>
          <w:highlight w:val="none"/>
          <w:lang w:eastAsia="zh-CN"/>
        </w:rPr>
        <w:t>住房改革支出</w:t>
      </w:r>
      <w:r>
        <w:rPr>
          <w:rFonts w:hint="eastAsia" w:ascii="仿宋_GB2312" w:eastAsia="仿宋_GB2312"/>
          <w:color w:val="auto"/>
          <w:sz w:val="32"/>
          <w:szCs w:val="32"/>
          <w:highlight w:val="none"/>
        </w:rPr>
        <w:t>（</w:t>
      </w:r>
      <w:r>
        <w:rPr>
          <w:rFonts w:hint="eastAsia" w:ascii="仿宋_GB2312" w:eastAsia="仿宋_GB2312"/>
          <w:color w:val="auto"/>
          <w:sz w:val="32"/>
          <w:szCs w:val="32"/>
          <w:highlight w:val="none"/>
          <w:lang w:val="en-US" w:eastAsia="zh-CN"/>
        </w:rPr>
        <w:t>02</w:t>
      </w:r>
      <w:r>
        <w:rPr>
          <w:rFonts w:hint="eastAsia" w:ascii="仿宋_GB2312" w:eastAsia="仿宋_GB2312"/>
          <w:color w:val="auto"/>
          <w:sz w:val="32"/>
          <w:szCs w:val="32"/>
          <w:highlight w:val="none"/>
        </w:rPr>
        <w:t>款）</w:t>
      </w:r>
      <w:r>
        <w:rPr>
          <w:rFonts w:hint="eastAsia" w:ascii="仿宋_GB2312" w:eastAsia="仿宋_GB2312"/>
          <w:color w:val="auto"/>
          <w:sz w:val="32"/>
          <w:szCs w:val="32"/>
          <w:highlight w:val="none"/>
          <w:lang w:eastAsia="zh-CN"/>
        </w:rPr>
        <w:t>住房公积金</w:t>
      </w:r>
      <w:r>
        <w:rPr>
          <w:rFonts w:hint="eastAsia" w:ascii="仿宋_GB2312" w:eastAsia="仿宋_GB2312"/>
          <w:color w:val="auto"/>
          <w:sz w:val="32"/>
          <w:szCs w:val="32"/>
          <w:highlight w:val="none"/>
        </w:rPr>
        <w:t>（</w:t>
      </w:r>
      <w:r>
        <w:rPr>
          <w:rFonts w:hint="eastAsia" w:ascii="仿宋_GB2312" w:eastAsia="仿宋_GB2312"/>
          <w:color w:val="auto"/>
          <w:sz w:val="32"/>
          <w:szCs w:val="32"/>
          <w:highlight w:val="none"/>
          <w:lang w:val="en-US" w:eastAsia="zh-CN"/>
        </w:rPr>
        <w:t>01</w:t>
      </w:r>
      <w:r>
        <w:rPr>
          <w:rFonts w:hint="eastAsia" w:ascii="仿宋_GB2312" w:eastAsia="仿宋_GB2312"/>
          <w:color w:val="auto"/>
          <w:sz w:val="32"/>
          <w:szCs w:val="32"/>
          <w:highlight w:val="none"/>
        </w:rPr>
        <w:t>项）：指</w:t>
      </w:r>
      <w:r>
        <w:rPr>
          <w:rFonts w:hint="eastAsia" w:ascii="仿宋_GB2312" w:eastAsia="仿宋_GB2312"/>
          <w:color w:val="auto"/>
          <w:sz w:val="32"/>
          <w:szCs w:val="32"/>
          <w:highlight w:val="none"/>
          <w:lang w:eastAsia="zh-CN"/>
        </w:rPr>
        <w:t>单位为在职人员缴纳的住房公积金单位部分</w:t>
      </w:r>
      <w:r>
        <w:rPr>
          <w:rFonts w:hint="eastAsia" w:ascii="仿宋_GB2312" w:eastAsia="仿宋_GB2312"/>
          <w:color w:val="auto"/>
          <w:sz w:val="32"/>
          <w:szCs w:val="32"/>
          <w:highlight w:val="none"/>
        </w:rPr>
        <w:t>。</w:t>
      </w:r>
    </w:p>
    <w:p w14:paraId="6922205B">
      <w:pPr>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19</w:t>
      </w:r>
      <w:r>
        <w:rPr>
          <w:rFonts w:ascii="仿宋_GB2312" w:eastAsia="仿宋_GB2312"/>
          <w:color w:val="auto"/>
          <w:sz w:val="32"/>
          <w:szCs w:val="32"/>
          <w:highlight w:val="none"/>
        </w:rPr>
        <w:t>.</w:t>
      </w:r>
      <w:r>
        <w:rPr>
          <w:rFonts w:hint="eastAsia" w:ascii="仿宋_GB2312" w:eastAsia="仿宋_GB2312"/>
          <w:color w:val="auto"/>
          <w:sz w:val="32"/>
          <w:szCs w:val="32"/>
          <w:highlight w:val="none"/>
        </w:rPr>
        <w:t>基本支出：指为保障机构正常运转、完成日常工作任务而发生的人员支出和公用支出。</w:t>
      </w:r>
    </w:p>
    <w:p w14:paraId="25D30D7A">
      <w:pPr>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20</w:t>
      </w:r>
      <w:r>
        <w:rPr>
          <w:rFonts w:ascii="仿宋_GB2312" w:eastAsia="仿宋_GB2312"/>
          <w:color w:val="auto"/>
          <w:sz w:val="32"/>
          <w:szCs w:val="32"/>
          <w:highlight w:val="none"/>
        </w:rPr>
        <w:t>.</w:t>
      </w:r>
      <w:r>
        <w:rPr>
          <w:rFonts w:hint="eastAsia" w:ascii="仿宋_GB2312" w:eastAsia="仿宋_GB2312"/>
          <w:color w:val="auto"/>
          <w:sz w:val="32"/>
          <w:szCs w:val="32"/>
          <w:highlight w:val="none"/>
        </w:rPr>
        <w:t>项目支出：指在基本支出之外为完成特定行政任务和事业发展目标所发生的支出。</w:t>
      </w:r>
      <w:r>
        <w:rPr>
          <w:rFonts w:ascii="仿宋_GB2312" w:eastAsia="仿宋_GB2312"/>
          <w:color w:val="auto"/>
          <w:sz w:val="32"/>
          <w:szCs w:val="32"/>
          <w:highlight w:val="none"/>
        </w:rPr>
        <w:t xml:space="preserve"> </w:t>
      </w:r>
    </w:p>
    <w:p w14:paraId="15078FE6">
      <w:pPr>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2</w:t>
      </w:r>
      <w:r>
        <w:rPr>
          <w:rFonts w:hint="eastAsia" w:ascii="仿宋_GB2312" w:eastAsia="仿宋_GB2312"/>
          <w:color w:val="auto"/>
          <w:sz w:val="32"/>
          <w:szCs w:val="32"/>
          <w:highlight w:val="none"/>
          <w:lang w:val="en-US" w:eastAsia="zh-CN"/>
        </w:rPr>
        <w:t>1</w:t>
      </w:r>
      <w:r>
        <w:rPr>
          <w:rFonts w:ascii="仿宋_GB2312" w:eastAsia="仿宋_GB2312"/>
          <w:color w:val="auto"/>
          <w:sz w:val="32"/>
          <w:szCs w:val="32"/>
          <w:highlight w:val="none"/>
        </w:rPr>
        <w:t>.</w:t>
      </w:r>
      <w:r>
        <w:rPr>
          <w:rFonts w:hint="eastAsia" w:ascii="仿宋_GB2312" w:eastAsia="仿宋_GB2312"/>
          <w:color w:val="auto"/>
          <w:sz w:val="32"/>
          <w:szCs w:val="32"/>
          <w:highlight w:val="none"/>
        </w:rPr>
        <w:t>经营支出：指事业单位在专业业务活动及其辅助活动之外开展非独立核算经营活动发生的支出。</w:t>
      </w:r>
    </w:p>
    <w:p w14:paraId="5F7B6A8D">
      <w:pPr>
        <w:pStyle w:val="26"/>
        <w:spacing w:line="560" w:lineRule="exact"/>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22</w:t>
      </w:r>
      <w:r>
        <w:rPr>
          <w:rFonts w:ascii="仿宋_GB2312" w:eastAsia="仿宋_GB2312"/>
          <w:color w:val="auto"/>
          <w:sz w:val="32"/>
          <w:szCs w:val="32"/>
          <w:highlight w:val="none"/>
        </w:rPr>
        <w:t>.</w:t>
      </w:r>
      <w:r>
        <w:rPr>
          <w:rFonts w:hint="eastAsia" w:ascii="仿宋_GB2312" w:eastAsia="仿宋_GB2312"/>
          <w:color w:val="auto"/>
          <w:sz w:val="32"/>
          <w:szCs w:val="32"/>
          <w:highlight w:val="none"/>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61A4D5DA">
      <w:pPr>
        <w:pStyle w:val="26"/>
        <w:spacing w:line="560" w:lineRule="exact"/>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23</w:t>
      </w:r>
      <w:r>
        <w:rPr>
          <w:rFonts w:ascii="仿宋_GB2312" w:eastAsia="仿宋_GB2312"/>
          <w:color w:val="auto"/>
          <w:sz w:val="32"/>
          <w:szCs w:val="32"/>
          <w:highlight w:val="none"/>
        </w:rPr>
        <w:t>.</w:t>
      </w:r>
      <w:r>
        <w:rPr>
          <w:rFonts w:hint="eastAsia" w:ascii="仿宋_GB2312" w:eastAsia="仿宋_GB2312"/>
          <w:color w:val="auto"/>
          <w:sz w:val="32"/>
          <w:szCs w:val="32"/>
          <w:highlight w:val="none"/>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0C5299F6">
      <w:pPr>
        <w:spacing w:line="600" w:lineRule="exact"/>
        <w:jc w:val="center"/>
        <w:outlineLvl w:val="0"/>
        <w:rPr>
          <w:rStyle w:val="28"/>
          <w:rFonts w:hint="eastAsia" w:ascii="黑体" w:hAnsi="黑体" w:eastAsia="黑体"/>
          <w:b w:val="0"/>
          <w:color w:val="auto"/>
          <w:highlight w:val="none"/>
          <w:lang w:eastAsia="zh-CN"/>
        </w:rPr>
      </w:pPr>
      <w:bookmarkStart w:id="73" w:name="_Toc15377226"/>
      <w:r>
        <w:rPr>
          <w:rFonts w:ascii="宋体"/>
          <w:b/>
          <w:color w:val="auto"/>
          <w:sz w:val="44"/>
          <w:szCs w:val="44"/>
          <w:highlight w:val="none"/>
        </w:rPr>
        <w:br w:type="page"/>
      </w:r>
      <w:bookmarkStart w:id="74" w:name="_Toc15396614"/>
      <w:bookmarkStart w:id="75" w:name="_Toc2909"/>
      <w:r>
        <w:rPr>
          <w:rFonts w:hint="eastAsia" w:ascii="黑体" w:hAnsi="黑体" w:eastAsia="黑体"/>
          <w:color w:val="auto"/>
          <w:sz w:val="44"/>
          <w:szCs w:val="44"/>
          <w:highlight w:val="none"/>
        </w:rPr>
        <w:t>第</w:t>
      </w:r>
      <w:r>
        <w:rPr>
          <w:rStyle w:val="28"/>
          <w:rFonts w:hint="eastAsia" w:ascii="黑体" w:hAnsi="黑体" w:eastAsia="黑体"/>
          <w:b w:val="0"/>
          <w:color w:val="auto"/>
          <w:highlight w:val="none"/>
        </w:rPr>
        <w:t>四部分 附件</w:t>
      </w:r>
      <w:bookmarkEnd w:id="74"/>
      <w:bookmarkEnd w:id="75"/>
    </w:p>
    <w:p w14:paraId="6503B71B">
      <w:pPr>
        <w:keepNext w:val="0"/>
        <w:keepLines w:val="0"/>
        <w:pageBreakBefore w:val="0"/>
        <w:widowControl/>
        <w:kinsoku/>
        <w:wordWrap/>
        <w:overflowPunct/>
        <w:topLinePunct w:val="0"/>
        <w:autoSpaceDE/>
        <w:autoSpaceDN/>
        <w:bidi w:val="0"/>
        <w:spacing w:line="560" w:lineRule="exact"/>
        <w:contextualSpacing/>
        <w:jc w:val="center"/>
        <w:textAlignment w:val="auto"/>
        <w:rPr>
          <w:rFonts w:hint="eastAsia" w:ascii="宋体" w:hAnsi="宋体"/>
          <w:b/>
          <w:color w:val="auto"/>
          <w:sz w:val="32"/>
          <w:szCs w:val="32"/>
          <w:highlight w:val="none"/>
          <w:shd w:val="clear" w:color="auto" w:fill="FFFFFF"/>
          <w:lang w:eastAsia="zh-CN"/>
        </w:rPr>
      </w:pPr>
    </w:p>
    <w:p w14:paraId="12188771">
      <w:pPr>
        <w:keepNext w:val="0"/>
        <w:keepLines w:val="0"/>
        <w:pageBreakBefore w:val="0"/>
        <w:widowControl/>
        <w:kinsoku/>
        <w:wordWrap/>
        <w:overflowPunct/>
        <w:topLinePunct w:val="0"/>
        <w:autoSpaceDE/>
        <w:autoSpaceDN/>
        <w:bidi w:val="0"/>
        <w:spacing w:line="560" w:lineRule="exact"/>
        <w:contextualSpacing/>
        <w:jc w:val="center"/>
        <w:textAlignment w:val="auto"/>
        <w:rPr>
          <w:rFonts w:hint="eastAsia" w:ascii="宋体" w:hAnsi="宋体"/>
          <w:b/>
          <w:color w:val="auto"/>
          <w:sz w:val="32"/>
          <w:szCs w:val="32"/>
          <w:highlight w:val="none"/>
          <w:shd w:val="clear" w:color="auto" w:fill="FFFFFF"/>
          <w:lang w:eastAsia="zh-CN"/>
        </w:rPr>
      </w:pPr>
      <w:r>
        <w:rPr>
          <w:rFonts w:hint="eastAsia" w:ascii="宋体" w:hAnsi="宋体"/>
          <w:b/>
          <w:color w:val="auto"/>
          <w:sz w:val="32"/>
          <w:szCs w:val="32"/>
          <w:highlight w:val="none"/>
          <w:shd w:val="clear" w:color="auto" w:fill="FFFFFF"/>
          <w:lang w:eastAsia="zh-CN"/>
        </w:rPr>
        <w:t>马边彝族自治县档案馆</w:t>
      </w:r>
    </w:p>
    <w:p w14:paraId="19560978">
      <w:pPr>
        <w:keepNext w:val="0"/>
        <w:keepLines w:val="0"/>
        <w:pageBreakBefore w:val="0"/>
        <w:widowControl/>
        <w:kinsoku/>
        <w:wordWrap/>
        <w:overflowPunct/>
        <w:topLinePunct w:val="0"/>
        <w:autoSpaceDE/>
        <w:autoSpaceDN/>
        <w:bidi w:val="0"/>
        <w:spacing w:line="560" w:lineRule="exact"/>
        <w:contextualSpacing/>
        <w:jc w:val="center"/>
        <w:textAlignment w:val="auto"/>
        <w:rPr>
          <w:rFonts w:ascii="宋体" w:hAnsi="宋体" w:eastAsia="宋体"/>
          <w:b/>
          <w:color w:val="auto"/>
          <w:sz w:val="32"/>
          <w:szCs w:val="32"/>
          <w:highlight w:val="none"/>
          <w:shd w:val="clear" w:color="auto" w:fill="FFFFFF"/>
        </w:rPr>
      </w:pPr>
      <w:r>
        <w:rPr>
          <w:rFonts w:hint="eastAsia" w:ascii="宋体" w:hAnsi="宋体" w:eastAsia="宋体"/>
          <w:b/>
          <w:color w:val="auto"/>
          <w:sz w:val="32"/>
          <w:szCs w:val="32"/>
          <w:highlight w:val="none"/>
          <w:shd w:val="clear" w:color="auto" w:fill="FFFFFF"/>
        </w:rPr>
        <w:t>20</w:t>
      </w:r>
      <w:r>
        <w:rPr>
          <w:rFonts w:hint="eastAsia" w:ascii="宋体" w:hAnsi="宋体" w:eastAsia="宋体"/>
          <w:b/>
          <w:color w:val="auto"/>
          <w:sz w:val="32"/>
          <w:szCs w:val="32"/>
          <w:highlight w:val="none"/>
          <w:shd w:val="clear" w:color="auto" w:fill="FFFFFF"/>
          <w:lang w:val="en-US" w:eastAsia="zh-CN"/>
        </w:rPr>
        <w:t>2</w:t>
      </w:r>
      <w:r>
        <w:rPr>
          <w:rFonts w:hint="eastAsia" w:ascii="宋体" w:hAnsi="宋体"/>
          <w:b/>
          <w:color w:val="auto"/>
          <w:sz w:val="32"/>
          <w:szCs w:val="32"/>
          <w:highlight w:val="none"/>
          <w:shd w:val="clear" w:color="auto" w:fill="FFFFFF"/>
          <w:lang w:val="en-US" w:eastAsia="zh-CN"/>
        </w:rPr>
        <w:t>4</w:t>
      </w:r>
      <w:r>
        <w:rPr>
          <w:rFonts w:hint="eastAsia" w:ascii="宋体" w:hAnsi="宋体" w:eastAsia="宋体"/>
          <w:b/>
          <w:color w:val="auto"/>
          <w:sz w:val="32"/>
          <w:szCs w:val="32"/>
          <w:highlight w:val="none"/>
          <w:shd w:val="clear" w:color="auto" w:fill="FFFFFF"/>
        </w:rPr>
        <w:t>年</w:t>
      </w:r>
      <w:r>
        <w:rPr>
          <w:rFonts w:hint="eastAsia" w:ascii="宋体" w:hAnsi="宋体"/>
          <w:b/>
          <w:color w:val="auto"/>
          <w:sz w:val="32"/>
          <w:szCs w:val="32"/>
          <w:highlight w:val="none"/>
          <w:shd w:val="clear" w:color="auto" w:fill="FFFFFF"/>
          <w:lang w:eastAsia="zh-CN"/>
        </w:rPr>
        <w:t>单位</w:t>
      </w:r>
      <w:r>
        <w:rPr>
          <w:rFonts w:hint="eastAsia" w:ascii="宋体" w:hAnsi="宋体" w:eastAsia="宋体"/>
          <w:b/>
          <w:color w:val="auto"/>
          <w:sz w:val="32"/>
          <w:szCs w:val="32"/>
          <w:highlight w:val="none"/>
          <w:shd w:val="clear" w:color="auto" w:fill="FFFFFF"/>
        </w:rPr>
        <w:t>整体绩效评价报告</w:t>
      </w:r>
    </w:p>
    <w:p w14:paraId="73D655F1">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rPr>
          <w:rFonts w:ascii="黑体" w:hAnsi="宋体" w:eastAsia="黑体" w:cs="宋体"/>
          <w:color w:val="auto"/>
          <w:kern w:val="0"/>
          <w:sz w:val="32"/>
          <w:szCs w:val="32"/>
          <w:highlight w:val="none"/>
          <w:shd w:val="clear" w:color="auto" w:fill="FFFFFF"/>
        </w:rPr>
      </w:pPr>
    </w:p>
    <w:p w14:paraId="4AE1912A">
      <w:pPr>
        <w:keepNext w:val="0"/>
        <w:keepLines w:val="0"/>
        <w:pageBreakBefore w:val="0"/>
        <w:widowControl/>
        <w:numPr>
          <w:ilvl w:val="0"/>
          <w:numId w:val="4"/>
        </w:numPr>
        <w:kinsoku/>
        <w:wordWrap/>
        <w:overflowPunct/>
        <w:topLinePunct w:val="0"/>
        <w:autoSpaceDE/>
        <w:autoSpaceDN/>
        <w:bidi w:val="0"/>
        <w:adjustRightInd w:val="0"/>
        <w:snapToGrid w:val="0"/>
        <w:spacing w:line="560" w:lineRule="exact"/>
        <w:ind w:firstLine="640" w:firstLineChars="200"/>
        <w:contextualSpacing/>
        <w:jc w:val="left"/>
        <w:textAlignment w:val="auto"/>
        <w:rPr>
          <w:rFonts w:hint="eastAsia" w:ascii="黑体" w:hAnsi="宋体" w:eastAsia="黑体" w:cs="宋体"/>
          <w:color w:val="auto"/>
          <w:kern w:val="0"/>
          <w:sz w:val="32"/>
          <w:szCs w:val="32"/>
          <w:highlight w:val="none"/>
          <w:shd w:val="clear" w:color="auto" w:fill="FFFFFF"/>
          <w:lang w:val="zh-CN"/>
        </w:rPr>
      </w:pPr>
      <w:r>
        <w:rPr>
          <w:rFonts w:hint="eastAsia" w:ascii="黑体" w:hAnsi="宋体" w:eastAsia="黑体" w:cs="宋体"/>
          <w:color w:val="auto"/>
          <w:kern w:val="0"/>
          <w:sz w:val="32"/>
          <w:szCs w:val="32"/>
          <w:highlight w:val="none"/>
          <w:shd w:val="clear" w:color="auto" w:fill="FFFFFF"/>
          <w:lang w:val="zh-CN"/>
        </w:rPr>
        <w:t>单位基本情况</w:t>
      </w:r>
    </w:p>
    <w:p w14:paraId="3FFDE77F">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hint="eastAsia" w:ascii="楷体_GB2312" w:hAnsi="楷体_GB2312" w:eastAsia="楷体_GB2312" w:cs="楷体_GB2312"/>
          <w:b/>
          <w:bCs/>
          <w:color w:val="auto"/>
          <w:kern w:val="0"/>
          <w:sz w:val="32"/>
          <w:szCs w:val="32"/>
          <w:highlight w:val="none"/>
          <w:shd w:val="clear" w:color="auto" w:fill="FFFFFF"/>
          <w:lang w:val="zh-CN"/>
        </w:rPr>
      </w:pPr>
      <w:r>
        <w:rPr>
          <w:rFonts w:hint="eastAsia" w:ascii="楷体_GB2312" w:hAnsi="楷体_GB2312" w:eastAsia="楷体_GB2312" w:cs="楷体_GB2312"/>
          <w:b/>
          <w:bCs/>
          <w:color w:val="auto"/>
          <w:kern w:val="0"/>
          <w:sz w:val="32"/>
          <w:szCs w:val="32"/>
          <w:highlight w:val="none"/>
          <w:shd w:val="clear" w:color="auto" w:fill="FFFFFF"/>
          <w:lang w:val="zh-CN"/>
        </w:rPr>
        <w:t>（一）机构组成。</w:t>
      </w:r>
      <w:r>
        <w:rPr>
          <w:rFonts w:hint="eastAsia" w:ascii="仿宋_GB2312" w:hAnsi="仿宋_GB2312" w:eastAsia="仿宋_GB2312" w:cs="仿宋_GB2312"/>
          <w:color w:val="auto"/>
          <w:sz w:val="32"/>
          <w:szCs w:val="32"/>
        </w:rPr>
        <w:t>县档案馆</w:t>
      </w:r>
      <w:r>
        <w:rPr>
          <w:rFonts w:hint="eastAsia" w:ascii="仿宋_GB2312" w:hAnsi="仿宋_GB2312" w:eastAsia="仿宋_GB2312" w:cs="仿宋_GB2312"/>
          <w:color w:val="auto"/>
          <w:sz w:val="32"/>
          <w:szCs w:val="32"/>
          <w:lang w:val="en-US" w:eastAsia="zh-CN"/>
        </w:rPr>
        <w:t>属县委直属参公事业单位，县档案馆</w:t>
      </w:r>
      <w:r>
        <w:rPr>
          <w:rFonts w:hint="eastAsia" w:ascii="仿宋_GB2312" w:hAnsi="仿宋_GB2312" w:eastAsia="仿宋_GB2312" w:cs="仿宋_GB2312"/>
          <w:color w:val="auto"/>
          <w:sz w:val="32"/>
          <w:szCs w:val="32"/>
        </w:rPr>
        <w:t>预算单位 1 个，其中：行政单位 0 个，事业单位 1 个。县档案馆内设办公室、管理利用股、信息化和编研股三个股室</w:t>
      </w:r>
      <w:r>
        <w:rPr>
          <w:rFonts w:hint="eastAsia" w:ascii="仿宋_GB2312" w:hAnsi="仿宋_GB2312" w:eastAsia="仿宋_GB2312" w:cs="仿宋_GB2312"/>
          <w:color w:val="auto"/>
          <w:sz w:val="32"/>
          <w:szCs w:val="32"/>
          <w:lang w:eastAsia="zh-CN"/>
        </w:rPr>
        <w:t>。</w:t>
      </w:r>
    </w:p>
    <w:p w14:paraId="7392CE0F">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contextualSpacing/>
        <w:jc w:val="left"/>
        <w:textAlignment w:val="auto"/>
        <w:rPr>
          <w:rFonts w:hint="eastAsia" w:ascii="楷体_GB2312" w:hAnsi="楷体_GB2312" w:eastAsia="楷体_GB2312" w:cs="楷体_GB2312"/>
          <w:b/>
          <w:bCs/>
          <w:color w:val="auto"/>
          <w:kern w:val="0"/>
          <w:sz w:val="32"/>
          <w:szCs w:val="32"/>
          <w:highlight w:val="none"/>
          <w:shd w:val="clear" w:color="auto" w:fill="FFFFFF"/>
          <w:lang w:val="zh-CN"/>
        </w:rPr>
      </w:pPr>
      <w:r>
        <w:rPr>
          <w:rFonts w:hint="eastAsia" w:ascii="楷体_GB2312" w:hAnsi="楷体_GB2312" w:eastAsia="楷体_GB2312" w:cs="楷体_GB2312"/>
          <w:b/>
          <w:bCs/>
          <w:color w:val="auto"/>
          <w:kern w:val="0"/>
          <w:sz w:val="32"/>
          <w:szCs w:val="32"/>
          <w:highlight w:val="none"/>
          <w:shd w:val="clear" w:color="auto" w:fill="FFFFFF"/>
          <w:lang w:val="zh-CN"/>
        </w:rPr>
        <w:t>（二）机构职能和人员概况</w:t>
      </w:r>
    </w:p>
    <w:p w14:paraId="7A1529CC">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b/>
          <w:bCs/>
          <w:color w:val="auto"/>
          <w:sz w:val="32"/>
          <w:szCs w:val="32"/>
          <w:lang w:val="en-US" w:eastAsia="zh-CN"/>
        </w:rPr>
        <w:t>1.机构职能。</w:t>
      </w:r>
      <w:r>
        <w:rPr>
          <w:rFonts w:hint="eastAsia" w:ascii="仿宋_GB2312" w:hAnsi="仿宋_GB2312" w:eastAsia="仿宋_GB2312" w:cs="仿宋_GB2312"/>
          <w:color w:val="auto"/>
          <w:sz w:val="32"/>
          <w:szCs w:val="32"/>
        </w:rPr>
        <w:t>贯彻执行国家、省、市有关档案工作的法 律法规和方针政策；拟定县档案馆发展规划、年度计划和规范性文件并组织实施；负责收集和接收保管全县范围内对国家和社会有保存价值的档案，承担全县自然、政治、社会、经济、文化等方面历史与现状资料的收集、整理、抢救、保护和编纂、出版工作；按照规定整理和保管档案、资料，承担县档案馆馆藏档案、资料的安全责任；按规定组织开发利用档案，按规定发布档案信息</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为社会利用档案提供服务；收集政府公开文件，依法为公民、法人或者其他组织提供政府公开信息服务，配合有关门开展相关社会教育服务工作；拟定县档案馆档案信息化和数字档案馆建设规划，管理档案信息资源库，负责全县电子档案的接收和管理工作；承担职责范围内的安全生产和职业健康、生态环境保护等工作；承办县委、县政府和上级业务部门交办的其他事项</w:t>
      </w:r>
      <w:r>
        <w:rPr>
          <w:rFonts w:hint="eastAsia" w:ascii="仿宋_GB2312" w:hAnsi="仿宋_GB2312" w:eastAsia="仿宋_GB2312" w:cs="仿宋_GB2312"/>
          <w:color w:val="auto"/>
          <w:sz w:val="32"/>
          <w:szCs w:val="32"/>
          <w:lang w:eastAsia="zh-CN"/>
        </w:rPr>
        <w:t>。</w:t>
      </w:r>
    </w:p>
    <w:p w14:paraId="654BBB64">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hint="eastAsia" w:ascii="仿宋_GB2312" w:hAnsi="仿宋_GB2312" w:eastAsia="仿宋_GB2312" w:cs="仿宋_GB2312"/>
          <w:color w:val="auto"/>
          <w:sz w:val="32"/>
          <w:szCs w:val="32"/>
        </w:rPr>
      </w:pPr>
      <w:r>
        <w:rPr>
          <w:rFonts w:hint="eastAsia" w:ascii="楷体_GB2312" w:hAnsi="楷体_GB2312" w:eastAsia="楷体_GB2312" w:cs="楷体_GB2312"/>
          <w:b/>
          <w:bCs/>
          <w:color w:val="auto"/>
          <w:kern w:val="0"/>
          <w:sz w:val="32"/>
          <w:szCs w:val="32"/>
          <w:highlight w:val="none"/>
          <w:shd w:val="clear" w:color="auto" w:fill="FFFFFF"/>
          <w:lang w:val="en-US" w:eastAsia="zh-CN"/>
        </w:rPr>
        <w:t>2.人员概况。</w:t>
      </w:r>
      <w:r>
        <w:rPr>
          <w:rFonts w:hint="eastAsia" w:ascii="仿宋_GB2312" w:hAnsi="仿宋_GB2312" w:eastAsia="仿宋_GB2312" w:cs="仿宋_GB2312"/>
          <w:color w:val="auto"/>
          <w:sz w:val="32"/>
          <w:szCs w:val="32"/>
        </w:rPr>
        <w:t>县档案馆总编制 8 名，其中：行政编制 0 名， 工勤编制 0 名，事业编制 7 名，临时人员编制 1 名</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实际</w:t>
      </w:r>
      <w:r>
        <w:rPr>
          <w:rFonts w:hint="eastAsia" w:ascii="仿宋_GB2312" w:hAnsi="仿宋_GB2312" w:eastAsia="仿宋_GB2312" w:cs="仿宋_GB2312"/>
          <w:color w:val="auto"/>
          <w:sz w:val="32"/>
          <w:szCs w:val="32"/>
        </w:rPr>
        <w:t>在职人员总数</w:t>
      </w:r>
      <w:r>
        <w:rPr>
          <w:rFonts w:hint="eastAsia" w:ascii="仿宋_GB2312" w:hAnsi="仿宋_GB2312" w:eastAsia="仿宋_GB2312" w:cs="仿宋_GB2312"/>
          <w:color w:val="auto"/>
          <w:sz w:val="32"/>
          <w:szCs w:val="32"/>
          <w:lang w:val="en-US" w:eastAsia="zh-CN"/>
        </w:rPr>
        <w:t>8</w:t>
      </w:r>
      <w:r>
        <w:rPr>
          <w:rFonts w:hint="eastAsia" w:ascii="仿宋_GB2312" w:hAnsi="仿宋_GB2312" w:eastAsia="仿宋_GB2312" w:cs="仿宋_GB2312"/>
          <w:color w:val="auto"/>
          <w:sz w:val="32"/>
          <w:szCs w:val="32"/>
        </w:rPr>
        <w:t xml:space="preserve">名，其中：行政 0 名，工勤 0 名，事业 </w:t>
      </w:r>
      <w:r>
        <w:rPr>
          <w:rFonts w:hint="eastAsia" w:ascii="仿宋_GB2312" w:hAnsi="仿宋_GB2312" w:eastAsia="仿宋_GB2312" w:cs="仿宋_GB2312"/>
          <w:color w:val="auto"/>
          <w:sz w:val="32"/>
          <w:szCs w:val="32"/>
          <w:lang w:val="en-US" w:eastAsia="zh-CN"/>
        </w:rPr>
        <w:t>7</w:t>
      </w:r>
      <w:r>
        <w:rPr>
          <w:rFonts w:hint="eastAsia" w:ascii="仿宋_GB2312" w:hAnsi="仿宋_GB2312" w:eastAsia="仿宋_GB2312" w:cs="仿宋_GB2312"/>
          <w:color w:val="auto"/>
          <w:sz w:val="32"/>
          <w:szCs w:val="32"/>
        </w:rPr>
        <w:t>名，临时人员 1 名。</w:t>
      </w:r>
    </w:p>
    <w:p w14:paraId="64F864DA">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楷体_GB2312" w:hAnsi="楷体_GB2312" w:eastAsia="楷体_GB2312" w:cs="楷体_GB2312"/>
          <w:b w:val="0"/>
          <w:bCs w:val="0"/>
          <w:color w:val="auto"/>
          <w:kern w:val="0"/>
          <w:sz w:val="32"/>
          <w:szCs w:val="32"/>
          <w:highlight w:val="none"/>
          <w:shd w:val="clear" w:color="auto" w:fill="FFFFFF"/>
          <w:lang w:val="zh-CN"/>
        </w:rPr>
        <w:t>（三）年度主要工作任务</w:t>
      </w:r>
    </w:p>
    <w:p w14:paraId="48553E6F">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1.强档案安全管理工作。</w:t>
      </w:r>
      <w:r>
        <w:rPr>
          <w:rFonts w:hint="eastAsia" w:ascii="仿宋_GB2312" w:hAnsi="仿宋_GB2312" w:eastAsia="仿宋_GB2312" w:cs="仿宋_GB2312"/>
          <w:color w:val="auto"/>
          <w:sz w:val="32"/>
          <w:szCs w:val="32"/>
          <w:lang w:val="en-US" w:eastAsia="zh-CN"/>
        </w:rPr>
        <w:t>对档案库房进行定期或不定期的安全检查，做到档案库房“八防”措施，确保馆藏档案的安全。</w:t>
      </w:r>
    </w:p>
    <w:p w14:paraId="33B079EA">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2.做好档案查阅利用服务工作。</w:t>
      </w:r>
      <w:r>
        <w:rPr>
          <w:rFonts w:hint="eastAsia" w:ascii="仿宋_GB2312" w:hAnsi="仿宋_GB2312" w:eastAsia="仿宋_GB2312" w:cs="仿宋_GB2312"/>
          <w:color w:val="auto"/>
          <w:sz w:val="32"/>
          <w:szCs w:val="32"/>
          <w:lang w:val="en-US" w:eastAsia="zh-CN"/>
        </w:rPr>
        <w:t>严格按照档案查阅利用的流程，做到“认真负责、积极主动、热情耐心、细致周到、文明礼貌”优良的服务态度，使来查阅档案的人感到亲切、热情、朴实、真诚感。</w:t>
      </w:r>
    </w:p>
    <w:p w14:paraId="133BD38A">
      <w:pPr>
        <w:keepNext w:val="0"/>
        <w:keepLines w:val="0"/>
        <w:pageBreakBefore w:val="0"/>
        <w:kinsoku/>
        <w:wordWrap/>
        <w:overflowPunct/>
        <w:topLinePunct w:val="0"/>
        <w:autoSpaceDE/>
        <w:autoSpaceDN/>
        <w:bidi w:val="0"/>
        <w:adjustRightInd/>
        <w:snapToGrid/>
        <w:spacing w:line="520" w:lineRule="exact"/>
        <w:ind w:firstLine="643" w:firstLineChars="200"/>
        <w:rPr>
          <w:rFonts w:hint="eastAsia" w:ascii="仿宋_GB2312" w:eastAsia="仿宋_GB2312"/>
          <w:color w:val="auto"/>
          <w:sz w:val="32"/>
          <w:szCs w:val="32"/>
          <w:lang w:val="en-US" w:eastAsia="zh-CN"/>
        </w:rPr>
      </w:pPr>
      <w:r>
        <w:rPr>
          <w:rFonts w:hint="eastAsia" w:ascii="仿宋_GB2312" w:eastAsia="仿宋_GB2312"/>
          <w:b/>
          <w:color w:val="auto"/>
          <w:sz w:val="32"/>
          <w:szCs w:val="32"/>
          <w:lang w:val="en-US" w:eastAsia="zh-CN"/>
        </w:rPr>
        <w:t>3.</w:t>
      </w:r>
      <w:r>
        <w:rPr>
          <w:rFonts w:hint="eastAsia" w:ascii="仿宋_GB2312" w:eastAsia="仿宋_GB2312"/>
          <w:b/>
          <w:color w:val="auto"/>
          <w:sz w:val="32"/>
          <w:szCs w:val="32"/>
        </w:rPr>
        <w:t>加大档案业务指导，确保</w:t>
      </w:r>
      <w:r>
        <w:rPr>
          <w:rFonts w:hint="eastAsia" w:ascii="仿宋_GB2312" w:eastAsia="仿宋_GB2312"/>
          <w:b/>
          <w:color w:val="auto"/>
          <w:sz w:val="32"/>
          <w:szCs w:val="32"/>
          <w:lang w:eastAsia="zh-CN"/>
        </w:rPr>
        <w:t>各类档案应收尽收</w:t>
      </w:r>
      <w:r>
        <w:rPr>
          <w:rFonts w:hint="eastAsia" w:ascii="仿宋_GB2312" w:eastAsia="仿宋_GB2312"/>
          <w:b/>
          <w:color w:val="auto"/>
          <w:sz w:val="32"/>
          <w:szCs w:val="32"/>
        </w:rPr>
        <w:t>。</w:t>
      </w:r>
      <w:r>
        <w:rPr>
          <w:rFonts w:hint="eastAsia" w:ascii="仿宋_GB2312" w:eastAsia="仿宋_GB2312"/>
          <w:color w:val="auto"/>
          <w:sz w:val="32"/>
          <w:szCs w:val="32"/>
        </w:rPr>
        <w:t>继续加大到期档案</w:t>
      </w:r>
      <w:r>
        <w:rPr>
          <w:rFonts w:hint="eastAsia" w:ascii="仿宋_GB2312" w:eastAsia="仿宋_GB2312"/>
          <w:color w:val="auto"/>
          <w:sz w:val="32"/>
          <w:szCs w:val="32"/>
          <w:lang w:eastAsia="zh-CN"/>
        </w:rPr>
        <w:t>和两类档案（脱贫攻坚档案和新冠肺炎疫情防控档案）</w:t>
      </w:r>
      <w:r>
        <w:rPr>
          <w:rFonts w:hint="eastAsia" w:ascii="仿宋_GB2312" w:eastAsia="仿宋_GB2312"/>
          <w:color w:val="auto"/>
          <w:sz w:val="32"/>
          <w:szCs w:val="32"/>
        </w:rPr>
        <w:t>接收进馆工作的指导和督促力度，</w:t>
      </w:r>
      <w:r>
        <w:rPr>
          <w:rFonts w:hint="eastAsia" w:ascii="仿宋_GB2312" w:eastAsia="仿宋_GB2312"/>
          <w:color w:val="auto"/>
          <w:sz w:val="32"/>
          <w:szCs w:val="32"/>
          <w:shd w:val="clear" w:color="auto" w:fill="FFFFFF"/>
        </w:rPr>
        <w:t>严格按照进馆要求做好档案接收工作，</w:t>
      </w:r>
      <w:r>
        <w:rPr>
          <w:rFonts w:hint="eastAsia" w:ascii="仿宋_GB2312" w:eastAsia="仿宋_GB2312"/>
          <w:color w:val="auto"/>
          <w:sz w:val="32"/>
          <w:szCs w:val="32"/>
          <w:shd w:val="clear" w:color="auto" w:fill="FFFFFF"/>
          <w:lang w:eastAsia="zh-CN"/>
        </w:rPr>
        <w:t>确保</w:t>
      </w:r>
      <w:r>
        <w:rPr>
          <w:rFonts w:hint="eastAsia" w:ascii="仿宋_GB2312" w:eastAsia="仿宋_GB2312"/>
          <w:color w:val="auto"/>
          <w:sz w:val="32"/>
          <w:szCs w:val="32"/>
          <w:lang w:eastAsia="zh-CN"/>
        </w:rPr>
        <w:t>各类档案</w:t>
      </w:r>
      <w:r>
        <w:rPr>
          <w:rFonts w:hint="eastAsia" w:ascii="仿宋_GB2312" w:eastAsia="仿宋_GB2312"/>
          <w:color w:val="auto"/>
          <w:sz w:val="32"/>
          <w:szCs w:val="32"/>
        </w:rPr>
        <w:t>接收工作的全面完成。</w:t>
      </w:r>
    </w:p>
    <w:p w14:paraId="73BDB404">
      <w:pPr>
        <w:pStyle w:val="13"/>
        <w:keepNext w:val="0"/>
        <w:keepLines w:val="0"/>
        <w:pageBreakBefore w:val="0"/>
        <w:shd w:val="clear" w:color="auto" w:fill="FFFFFF"/>
        <w:kinsoku/>
        <w:wordWrap/>
        <w:overflowPunct/>
        <w:topLinePunct w:val="0"/>
        <w:autoSpaceDE/>
        <w:autoSpaceDN/>
        <w:bidi w:val="0"/>
        <w:adjustRightInd/>
        <w:snapToGrid/>
        <w:spacing w:before="0" w:beforeAutospacing="0" w:after="30" w:afterAutospacing="0" w:line="520" w:lineRule="exact"/>
        <w:ind w:firstLine="643" w:firstLineChars="200"/>
        <w:rPr>
          <w:rFonts w:hint="eastAsia" w:ascii="仿宋_GB2312" w:hAnsi="仿宋_GB2312" w:eastAsia="仿宋_GB2312" w:cs="仿宋_GB2312"/>
          <w:color w:val="auto"/>
          <w:sz w:val="32"/>
          <w:szCs w:val="32"/>
          <w:lang w:eastAsia="zh-CN"/>
        </w:rPr>
      </w:pPr>
      <w:r>
        <w:rPr>
          <w:rFonts w:hint="eastAsia" w:ascii="仿宋_GB2312" w:hAnsi="黑体" w:eastAsia="仿宋_GB2312"/>
          <w:b/>
          <w:color w:val="auto"/>
          <w:sz w:val="32"/>
          <w:szCs w:val="32"/>
          <w:lang w:val="en-US" w:eastAsia="zh-CN"/>
        </w:rPr>
        <w:t>4.</w:t>
      </w:r>
      <w:r>
        <w:rPr>
          <w:rFonts w:hint="eastAsia" w:ascii="仿宋_GB2312" w:hAnsi="黑体" w:eastAsia="仿宋_GB2312"/>
          <w:b/>
          <w:color w:val="auto"/>
          <w:sz w:val="32"/>
          <w:szCs w:val="32"/>
        </w:rPr>
        <w:t>继续抓好馆藏档案数字化加工。</w:t>
      </w:r>
      <w:r>
        <w:rPr>
          <w:rFonts w:hint="eastAsia" w:ascii="仿宋_GB2312" w:hAnsi="黑体" w:eastAsia="仿宋_GB2312"/>
          <w:color w:val="auto"/>
          <w:sz w:val="32"/>
          <w:szCs w:val="32"/>
        </w:rPr>
        <w:t>按照《数字化档案馆（室）建设指南》的要求，统筹分步，积极推进数字档案馆的建设。</w:t>
      </w:r>
    </w:p>
    <w:p w14:paraId="21A398C6">
      <w:pPr>
        <w:keepNext w:val="0"/>
        <w:keepLines w:val="0"/>
        <w:pageBreakBefore w:val="0"/>
        <w:numPr>
          <w:ilvl w:val="0"/>
          <w:numId w:val="0"/>
        </w:numPr>
        <w:kinsoku/>
        <w:wordWrap/>
        <w:overflowPunct/>
        <w:topLinePunct w:val="0"/>
        <w:autoSpaceDE/>
        <w:autoSpaceDN/>
        <w:bidi w:val="0"/>
        <w:adjustRightInd/>
        <w:snapToGrid/>
        <w:spacing w:line="520" w:lineRule="exact"/>
        <w:ind w:firstLine="643" w:firstLineChars="200"/>
        <w:rPr>
          <w:rFonts w:hint="eastAsia" w:ascii="楷体_GB2312" w:hAnsi="楷体_GB2312" w:eastAsia="楷体_GB2312" w:cs="楷体_GB2312"/>
          <w:b/>
          <w:bCs/>
          <w:color w:val="auto"/>
          <w:kern w:val="0"/>
          <w:sz w:val="32"/>
          <w:szCs w:val="32"/>
          <w:highlight w:val="none"/>
          <w:shd w:val="clear" w:color="auto" w:fill="FFFFFF"/>
          <w:lang w:val="zh-CN"/>
        </w:rPr>
      </w:pPr>
      <w:r>
        <w:rPr>
          <w:rFonts w:hint="eastAsia" w:ascii="仿宋_GB2312" w:hAnsi="仿宋_GB2312" w:eastAsia="仿宋_GB2312" w:cs="仿宋_GB2312"/>
          <w:b/>
          <w:bCs/>
          <w:color w:val="auto"/>
          <w:sz w:val="32"/>
          <w:szCs w:val="32"/>
          <w:lang w:val="en-US" w:eastAsia="zh-CN"/>
        </w:rPr>
        <w:t>5.扎实开展档案编研工作。</w:t>
      </w:r>
      <w:r>
        <w:rPr>
          <w:rFonts w:hint="eastAsia" w:ascii="仿宋_GB2312" w:hAnsi="仿宋_GB2312" w:eastAsia="仿宋_GB2312" w:cs="仿宋_GB2312"/>
          <w:color w:val="auto"/>
          <w:sz w:val="32"/>
          <w:szCs w:val="32"/>
          <w:lang w:val="en-US" w:eastAsia="zh-CN"/>
        </w:rPr>
        <w:t>深入挖掘地方特色文化内涵，提炼历史文化精髓，开放馆藏优质资源，积极开展档案史料整理研究，编纂出版具有地方特色、档案历史价值、良好社会影响的档案文化作品。完善</w:t>
      </w:r>
      <w:r>
        <w:rPr>
          <w:rFonts w:hint="eastAsia" w:ascii="仿宋_GB2312" w:hAnsi="仿宋_GB2312" w:eastAsia="仿宋_GB2312" w:cs="仿宋_GB2312"/>
          <w:color w:val="auto"/>
          <w:sz w:val="32"/>
          <w:szCs w:val="32"/>
          <w:lang w:eastAsia="zh-CN"/>
        </w:rPr>
        <w:t>《档案资料汇编》(第1期)资料数据和图片，力争</w:t>
      </w:r>
      <w:r>
        <w:rPr>
          <w:rFonts w:hint="eastAsia" w:ascii="仿宋_GB2312" w:hAnsi="仿宋_GB2312" w:eastAsia="仿宋_GB2312" w:cs="仿宋_GB2312"/>
          <w:color w:val="auto"/>
          <w:sz w:val="32"/>
          <w:szCs w:val="32"/>
          <w:lang w:val="en-US" w:eastAsia="zh-CN"/>
        </w:rPr>
        <w:t>2024年12月</w:t>
      </w:r>
      <w:r>
        <w:rPr>
          <w:rFonts w:hint="eastAsia" w:ascii="仿宋_GB2312" w:hAnsi="仿宋_GB2312" w:eastAsia="仿宋_GB2312" w:cs="仿宋_GB2312"/>
          <w:color w:val="auto"/>
          <w:sz w:val="32"/>
          <w:szCs w:val="32"/>
          <w:lang w:eastAsia="zh-CN"/>
        </w:rPr>
        <w:t>底前印刷出版。</w:t>
      </w:r>
    </w:p>
    <w:p w14:paraId="7C273BF3">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contextualSpacing/>
        <w:jc w:val="left"/>
        <w:textAlignment w:val="auto"/>
        <w:rPr>
          <w:rFonts w:hint="eastAsia" w:ascii="楷体_GB2312" w:hAnsi="楷体_GB2312" w:eastAsia="楷体_GB2312" w:cs="楷体_GB2312"/>
          <w:b/>
          <w:bCs/>
          <w:color w:val="auto"/>
          <w:kern w:val="0"/>
          <w:sz w:val="32"/>
          <w:szCs w:val="32"/>
          <w:highlight w:val="none"/>
          <w:shd w:val="clear" w:color="auto" w:fill="FFFFFF"/>
          <w:lang w:val="zh-CN"/>
        </w:rPr>
      </w:pPr>
      <w:r>
        <w:rPr>
          <w:rFonts w:hint="eastAsia" w:ascii="楷体_GB2312" w:hAnsi="楷体_GB2312" w:eastAsia="楷体_GB2312" w:cs="楷体_GB2312"/>
          <w:b/>
          <w:bCs/>
          <w:color w:val="auto"/>
          <w:kern w:val="0"/>
          <w:sz w:val="32"/>
          <w:szCs w:val="32"/>
          <w:highlight w:val="none"/>
          <w:shd w:val="clear" w:color="auto" w:fill="FFFFFF"/>
          <w:lang w:val="zh-CN"/>
        </w:rPr>
        <w:t>（</w:t>
      </w:r>
      <w:r>
        <w:rPr>
          <w:rFonts w:hint="eastAsia" w:ascii="楷体_GB2312" w:hAnsi="楷体_GB2312" w:eastAsia="楷体_GB2312" w:cs="楷体_GB2312"/>
          <w:b w:val="0"/>
          <w:bCs w:val="0"/>
          <w:color w:val="auto"/>
          <w:kern w:val="0"/>
          <w:sz w:val="32"/>
          <w:szCs w:val="32"/>
          <w:highlight w:val="none"/>
          <w:shd w:val="clear" w:color="auto" w:fill="FFFFFF"/>
          <w:lang w:val="zh-CN"/>
        </w:rPr>
        <w:t>四）单位整体支出绩效目标</w:t>
      </w:r>
    </w:p>
    <w:p w14:paraId="2F8BADB8">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eastAsia"/>
          <w:color w:val="auto"/>
          <w:lang w:val="zh-CN"/>
        </w:rPr>
      </w:pPr>
      <w:r>
        <w:rPr>
          <w:rFonts w:hint="eastAsia" w:ascii="仿宋_GB2312" w:hAnsi="仿宋_GB2312" w:eastAsia="仿宋_GB2312" w:cs="仿宋_GB2312"/>
          <w:color w:val="auto"/>
          <w:sz w:val="32"/>
          <w:szCs w:val="32"/>
        </w:rPr>
        <w:t>202</w:t>
      </w: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rPr>
        <w:t>年档案工作将以全面贯彻落实习近平新时代中国特色社会主义思想为指引，认真贯彻落实全国档案工作会议精神，围绕中心、服务大局，进一步聚焦主责主业，健全“三个体系”建设，突出五项基本功能，不断提高档案保管利用能力，努力发挥档案工作的基础性、支撑性作用，为我县经济建设和社会发展提供更好地服务。</w:t>
      </w:r>
      <w:r>
        <w:rPr>
          <w:rFonts w:hint="eastAsia" w:ascii="仿宋_GB2312" w:hAnsi="仿宋_GB2312" w:eastAsia="仿宋_GB2312" w:cs="仿宋_GB2312"/>
          <w:color w:val="auto"/>
          <w:sz w:val="32"/>
          <w:szCs w:val="32"/>
          <w:lang w:val="en-US" w:eastAsia="zh-CN"/>
        </w:rPr>
        <w:t>2024年计划完成馆藏档案数字化1000卷，编辑出版馆藏档案编研材料1部。</w:t>
      </w:r>
    </w:p>
    <w:p w14:paraId="3A8F72C1">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rPr>
          <w:rFonts w:ascii="黑体" w:hAnsi="宋体" w:eastAsia="黑体" w:cs="宋体"/>
          <w:color w:val="auto"/>
          <w:kern w:val="0"/>
          <w:sz w:val="32"/>
          <w:szCs w:val="32"/>
          <w:highlight w:val="none"/>
          <w:shd w:val="clear" w:color="auto" w:fill="FFFFFF"/>
        </w:rPr>
      </w:pPr>
      <w:r>
        <w:rPr>
          <w:rFonts w:hint="eastAsia" w:ascii="黑体" w:hAnsi="宋体" w:eastAsia="黑体" w:cs="宋体"/>
          <w:color w:val="auto"/>
          <w:kern w:val="0"/>
          <w:sz w:val="32"/>
          <w:szCs w:val="32"/>
          <w:highlight w:val="none"/>
          <w:shd w:val="clear" w:color="auto" w:fill="FFFFFF"/>
        </w:rPr>
        <w:t>二、</w:t>
      </w:r>
      <w:r>
        <w:rPr>
          <w:rFonts w:hint="eastAsia" w:ascii="黑体" w:hAnsi="宋体" w:eastAsia="黑体" w:cs="宋体"/>
          <w:color w:val="auto"/>
          <w:kern w:val="0"/>
          <w:sz w:val="32"/>
          <w:szCs w:val="32"/>
          <w:highlight w:val="none"/>
          <w:shd w:val="clear" w:color="auto" w:fill="FFFFFF"/>
          <w:lang w:eastAsia="zh-CN"/>
        </w:rPr>
        <w:t>单位</w:t>
      </w:r>
      <w:r>
        <w:rPr>
          <w:rFonts w:hint="eastAsia" w:ascii="黑体" w:hAnsi="宋体" w:eastAsia="黑体" w:cs="宋体"/>
          <w:color w:val="auto"/>
          <w:kern w:val="0"/>
          <w:sz w:val="32"/>
          <w:szCs w:val="32"/>
          <w:highlight w:val="none"/>
          <w:shd w:val="clear" w:color="auto" w:fill="FFFFFF"/>
        </w:rPr>
        <w:t>资金收支情况</w:t>
      </w:r>
    </w:p>
    <w:p w14:paraId="76A4158D">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rPr>
          <w:rFonts w:hint="eastAsia" w:ascii="楷体_GB2312" w:hAnsi="楷体_GB2312" w:eastAsia="楷体_GB2312" w:cs="楷体_GB2312"/>
          <w:b w:val="0"/>
          <w:bCs w:val="0"/>
          <w:color w:val="auto"/>
          <w:kern w:val="0"/>
          <w:sz w:val="32"/>
          <w:szCs w:val="32"/>
          <w:highlight w:val="none"/>
          <w:shd w:val="clear" w:color="auto" w:fill="FFFFFF"/>
          <w:lang w:val="zh-CN"/>
        </w:rPr>
      </w:pPr>
      <w:r>
        <w:rPr>
          <w:rFonts w:hint="eastAsia" w:ascii="楷体_GB2312" w:hAnsi="楷体_GB2312" w:eastAsia="楷体_GB2312" w:cs="楷体_GB2312"/>
          <w:b w:val="0"/>
          <w:bCs w:val="0"/>
          <w:color w:val="auto"/>
          <w:kern w:val="0"/>
          <w:sz w:val="32"/>
          <w:szCs w:val="32"/>
          <w:highlight w:val="none"/>
          <w:shd w:val="clear" w:color="auto" w:fill="FFFFFF"/>
          <w:lang w:val="zh-CN"/>
        </w:rPr>
        <w:t>（一）单位总体收支情况</w:t>
      </w:r>
    </w:p>
    <w:p w14:paraId="49CA1DA2">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contextualSpacing/>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kern w:val="0"/>
          <w:sz w:val="32"/>
          <w:szCs w:val="32"/>
          <w:highlight w:val="none"/>
          <w:shd w:val="clear" w:color="auto" w:fill="FFFFFF"/>
          <w:lang w:val="en-US" w:eastAsia="zh-CN"/>
        </w:rPr>
        <w:t>1.单位总体收入情况。</w:t>
      </w:r>
      <w:r>
        <w:rPr>
          <w:rFonts w:hint="eastAsia" w:ascii="仿宋_GB2312" w:hAnsi="仿宋_GB2312" w:eastAsia="仿宋_GB2312" w:cs="仿宋_GB2312"/>
          <w:color w:val="auto"/>
          <w:sz w:val="32"/>
          <w:szCs w:val="32"/>
        </w:rPr>
        <w:t>202</w:t>
      </w: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rPr>
        <w:t>年，县档案馆部门预算收入</w:t>
      </w:r>
      <w:r>
        <w:rPr>
          <w:rFonts w:hint="eastAsia" w:ascii="仿宋_GB2312" w:hAnsi="仿宋_GB2312" w:eastAsia="仿宋_GB2312" w:cs="仿宋_GB2312"/>
          <w:color w:val="auto"/>
          <w:sz w:val="32"/>
          <w:szCs w:val="32"/>
          <w:lang w:val="en-US" w:eastAsia="zh-CN"/>
        </w:rPr>
        <w:t>164.85</w:t>
      </w:r>
      <w:r>
        <w:rPr>
          <w:rFonts w:hint="eastAsia" w:ascii="仿宋_GB2312" w:hAnsi="仿宋_GB2312" w:eastAsia="仿宋_GB2312" w:cs="仿宋_GB2312"/>
          <w:color w:val="auto"/>
          <w:sz w:val="32"/>
          <w:szCs w:val="32"/>
        </w:rPr>
        <w:t>万元，其中基本支出预算收入</w:t>
      </w:r>
      <w:r>
        <w:rPr>
          <w:rFonts w:hint="eastAsia" w:ascii="仿宋_GB2312" w:hAnsi="仿宋_GB2312" w:eastAsia="仿宋_GB2312" w:cs="仿宋_GB2312"/>
          <w:color w:val="auto"/>
          <w:sz w:val="32"/>
          <w:szCs w:val="32"/>
          <w:lang w:val="en-US" w:eastAsia="zh-CN"/>
        </w:rPr>
        <w:t>141.20</w:t>
      </w:r>
      <w:r>
        <w:rPr>
          <w:rFonts w:hint="eastAsia" w:ascii="仿宋_GB2312" w:hAnsi="仿宋_GB2312" w:eastAsia="仿宋_GB2312" w:cs="仿宋_GB2312"/>
          <w:color w:val="auto"/>
          <w:sz w:val="32"/>
          <w:szCs w:val="32"/>
        </w:rPr>
        <w:t>万元，项目支出预算收入</w:t>
      </w:r>
      <w:r>
        <w:rPr>
          <w:rFonts w:hint="eastAsia" w:ascii="仿宋_GB2312" w:hAnsi="仿宋_GB2312" w:eastAsia="仿宋_GB2312" w:cs="仿宋_GB2312"/>
          <w:color w:val="auto"/>
          <w:sz w:val="32"/>
          <w:szCs w:val="32"/>
          <w:lang w:val="en-US" w:eastAsia="zh-CN"/>
        </w:rPr>
        <w:t>23.65</w:t>
      </w:r>
      <w:r>
        <w:rPr>
          <w:rFonts w:hint="eastAsia" w:ascii="仿宋_GB2312" w:hAnsi="仿宋_GB2312" w:eastAsia="仿宋_GB2312" w:cs="仿宋_GB2312"/>
          <w:color w:val="auto"/>
          <w:sz w:val="32"/>
          <w:szCs w:val="32"/>
        </w:rPr>
        <w:t>万元。</w:t>
      </w:r>
    </w:p>
    <w:p w14:paraId="19C75932">
      <w:pPr>
        <w:pStyle w:val="6"/>
        <w:rPr>
          <w:rFonts w:hint="eastAsia" w:ascii="仿宋_GB2312" w:hAnsi="仿宋_GB2312" w:eastAsia="仿宋_GB2312" w:cs="仿宋_GB2312"/>
          <w:b w:val="0"/>
          <w:bCs w:val="0"/>
          <w:color w:val="auto"/>
          <w:kern w:val="0"/>
          <w:sz w:val="32"/>
          <w:szCs w:val="32"/>
          <w:highlight w:val="none"/>
          <w:shd w:val="clear" w:color="auto" w:fill="FFFFFF"/>
          <w:lang w:val="en-US" w:eastAsia="zh-CN"/>
        </w:rPr>
      </w:pPr>
      <w:r>
        <w:rPr>
          <w:rFonts w:hint="eastAsia" w:hAnsi="仿宋_GB2312" w:cs="仿宋_GB2312"/>
          <w:color w:val="auto"/>
          <w:sz w:val="32"/>
          <w:szCs w:val="32"/>
          <w:lang w:val="en-US" w:eastAsia="zh-CN"/>
        </w:rPr>
        <w:t xml:space="preserve">    </w:t>
      </w:r>
      <w:r>
        <w:rPr>
          <w:rFonts w:hint="eastAsia" w:hAnsi="仿宋_GB2312" w:cs="仿宋_GB2312"/>
          <w:b/>
          <w:bCs/>
          <w:color w:val="auto"/>
          <w:sz w:val="32"/>
          <w:szCs w:val="32"/>
          <w:lang w:val="en-US" w:eastAsia="zh-CN"/>
        </w:rPr>
        <w:t>2.单位总</w:t>
      </w:r>
      <w:r>
        <w:rPr>
          <w:rFonts w:hint="eastAsia" w:ascii="楷体" w:hAnsi="楷体" w:eastAsia="楷体" w:cs="楷体"/>
          <w:b/>
          <w:bCs/>
          <w:color w:val="auto"/>
          <w:kern w:val="0"/>
          <w:sz w:val="32"/>
          <w:szCs w:val="32"/>
          <w:highlight w:val="none"/>
          <w:shd w:val="clear" w:color="auto" w:fill="FFFFFF"/>
          <w:lang w:val="en-US" w:eastAsia="zh-CN"/>
        </w:rPr>
        <w:t>体支出情况。</w:t>
      </w:r>
      <w:r>
        <w:rPr>
          <w:rFonts w:hint="eastAsia" w:ascii="仿宋_GB2312" w:hAnsi="仿宋_GB2312" w:eastAsia="仿宋_GB2312" w:cs="仿宋_GB2312"/>
          <w:color w:val="auto"/>
          <w:sz w:val="32"/>
          <w:szCs w:val="32"/>
        </w:rPr>
        <w:t>202</w:t>
      </w:r>
      <w:r>
        <w:rPr>
          <w:rFonts w:hint="eastAsia" w:hAnsi="仿宋_GB2312" w:cs="仿宋_GB2312"/>
          <w:color w:val="auto"/>
          <w:sz w:val="32"/>
          <w:szCs w:val="32"/>
          <w:lang w:val="en-US" w:eastAsia="zh-CN"/>
        </w:rPr>
        <w:t>4</w:t>
      </w:r>
      <w:r>
        <w:rPr>
          <w:rFonts w:hint="eastAsia" w:ascii="仿宋_GB2312" w:hAnsi="仿宋_GB2312" w:eastAsia="仿宋_GB2312" w:cs="仿宋_GB2312"/>
          <w:color w:val="auto"/>
          <w:sz w:val="32"/>
          <w:szCs w:val="32"/>
        </w:rPr>
        <w:t>年，县档案馆部门财政预算支出</w:t>
      </w:r>
      <w:r>
        <w:rPr>
          <w:rFonts w:hint="eastAsia" w:hAnsi="仿宋_GB2312" w:cs="仿宋_GB2312"/>
          <w:color w:val="auto"/>
          <w:sz w:val="32"/>
          <w:szCs w:val="32"/>
          <w:lang w:val="en-US" w:eastAsia="zh-CN"/>
        </w:rPr>
        <w:t>164.85</w:t>
      </w:r>
      <w:r>
        <w:rPr>
          <w:rFonts w:hint="eastAsia" w:ascii="仿宋_GB2312" w:hAnsi="仿宋_GB2312" w:eastAsia="仿宋_GB2312" w:cs="仿宋_GB2312"/>
          <w:color w:val="auto"/>
          <w:sz w:val="32"/>
          <w:szCs w:val="32"/>
        </w:rPr>
        <w:t>万元，其中基本支出</w:t>
      </w:r>
      <w:r>
        <w:rPr>
          <w:rFonts w:hint="eastAsia" w:hAnsi="仿宋_GB2312" w:cs="仿宋_GB2312"/>
          <w:color w:val="auto"/>
          <w:sz w:val="32"/>
          <w:szCs w:val="32"/>
          <w:lang w:val="en-US" w:eastAsia="zh-CN"/>
        </w:rPr>
        <w:t>141.20</w:t>
      </w:r>
      <w:r>
        <w:rPr>
          <w:rFonts w:hint="eastAsia" w:ascii="仿宋_GB2312" w:hAnsi="仿宋_GB2312" w:eastAsia="仿宋_GB2312" w:cs="仿宋_GB2312"/>
          <w:color w:val="auto"/>
          <w:sz w:val="32"/>
          <w:szCs w:val="32"/>
        </w:rPr>
        <w:t>万元，项目支出</w:t>
      </w:r>
      <w:r>
        <w:rPr>
          <w:rFonts w:hint="eastAsia" w:hAnsi="仿宋_GB2312" w:cs="仿宋_GB2312"/>
          <w:color w:val="auto"/>
          <w:sz w:val="32"/>
          <w:szCs w:val="32"/>
          <w:lang w:val="en-US" w:eastAsia="zh-CN"/>
        </w:rPr>
        <w:t>23.65</w:t>
      </w:r>
      <w:r>
        <w:rPr>
          <w:rFonts w:hint="eastAsia" w:ascii="仿宋_GB2312" w:hAnsi="仿宋_GB2312" w:eastAsia="仿宋_GB2312" w:cs="仿宋_GB2312"/>
          <w:color w:val="auto"/>
          <w:sz w:val="32"/>
          <w:szCs w:val="32"/>
        </w:rPr>
        <w:t>万元。</w:t>
      </w:r>
    </w:p>
    <w:p w14:paraId="1AE1437E">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hint="eastAsia" w:ascii="仿宋_GB2312" w:hAnsi="仿宋_GB2312" w:eastAsia="仿宋_GB2312" w:cs="仿宋_GB2312"/>
          <w:b w:val="0"/>
          <w:bCs w:val="0"/>
          <w:color w:val="auto"/>
          <w:kern w:val="0"/>
          <w:sz w:val="32"/>
          <w:szCs w:val="32"/>
          <w:highlight w:val="none"/>
          <w:shd w:val="clear" w:color="auto" w:fill="FFFFFF"/>
          <w:lang w:val="en-US" w:eastAsia="zh-CN"/>
        </w:rPr>
      </w:pPr>
      <w:r>
        <w:rPr>
          <w:rFonts w:hint="eastAsia" w:ascii="仿宋_GB2312" w:hAnsi="仿宋_GB2312" w:eastAsia="仿宋_GB2312" w:cs="仿宋_GB2312"/>
          <w:b/>
          <w:bCs/>
          <w:color w:val="auto"/>
          <w:kern w:val="0"/>
          <w:sz w:val="32"/>
          <w:szCs w:val="32"/>
          <w:highlight w:val="none"/>
          <w:shd w:val="clear" w:color="auto" w:fill="FFFFFF"/>
          <w:lang w:val="en-US" w:eastAsia="zh-CN"/>
        </w:rPr>
        <w:t>3.单位总体结转结余情况。</w:t>
      </w:r>
      <w:r>
        <w:rPr>
          <w:rFonts w:hint="eastAsia" w:ascii="仿宋_GB2312" w:hAnsi="仿宋_GB2312" w:eastAsia="仿宋_GB2312" w:cs="仿宋_GB2312"/>
          <w:color w:val="auto"/>
          <w:sz w:val="32"/>
          <w:szCs w:val="32"/>
        </w:rPr>
        <w:t>202</w:t>
      </w: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rPr>
        <w:t>年，县档案馆财政资金结转结余资金0万元。</w:t>
      </w:r>
    </w:p>
    <w:p w14:paraId="44F5736C">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contextualSpacing/>
        <w:jc w:val="left"/>
        <w:textAlignment w:val="auto"/>
        <w:rPr>
          <w:rFonts w:hint="eastAsia" w:ascii="楷体_GB2312" w:hAnsi="楷体_GB2312" w:eastAsia="楷体_GB2312" w:cs="楷体_GB2312"/>
          <w:b/>
          <w:bCs/>
          <w:color w:val="auto"/>
          <w:kern w:val="0"/>
          <w:sz w:val="32"/>
          <w:szCs w:val="32"/>
          <w:highlight w:val="none"/>
          <w:shd w:val="clear" w:color="auto" w:fill="FFFFFF"/>
          <w:lang w:val="zh-CN"/>
        </w:rPr>
      </w:pPr>
      <w:r>
        <w:rPr>
          <w:rFonts w:hint="eastAsia" w:ascii="楷体_GB2312" w:hAnsi="楷体_GB2312" w:eastAsia="楷体_GB2312" w:cs="楷体_GB2312"/>
          <w:b/>
          <w:bCs/>
          <w:color w:val="auto"/>
          <w:kern w:val="0"/>
          <w:sz w:val="32"/>
          <w:szCs w:val="32"/>
          <w:highlight w:val="none"/>
          <w:shd w:val="clear" w:color="auto" w:fill="FFFFFF"/>
          <w:lang w:val="zh-CN"/>
        </w:rPr>
        <w:t>（二）单位财政拨款收支情况。</w:t>
      </w:r>
    </w:p>
    <w:p w14:paraId="182FA116">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contextualSpacing/>
        <w:jc w:val="left"/>
        <w:textAlignment w:val="auto"/>
        <w:rPr>
          <w:rFonts w:hint="eastAsia" w:ascii="仿宋_GB2312" w:hAnsi="仿宋_GB2312" w:eastAsia="仿宋_GB2312" w:cs="仿宋_GB2312"/>
          <w:b w:val="0"/>
          <w:bCs w:val="0"/>
          <w:color w:val="auto"/>
          <w:kern w:val="0"/>
          <w:sz w:val="32"/>
          <w:szCs w:val="32"/>
          <w:highlight w:val="none"/>
          <w:shd w:val="clear" w:color="auto" w:fill="FFFFFF"/>
          <w:lang w:val="en-US" w:eastAsia="zh-CN"/>
        </w:rPr>
      </w:pPr>
      <w:r>
        <w:rPr>
          <w:rFonts w:hint="eastAsia" w:ascii="仿宋_GB2312" w:hAnsi="仿宋_GB2312" w:eastAsia="仿宋_GB2312" w:cs="仿宋_GB2312"/>
          <w:b/>
          <w:bCs/>
          <w:color w:val="auto"/>
          <w:kern w:val="0"/>
          <w:sz w:val="32"/>
          <w:szCs w:val="32"/>
          <w:highlight w:val="none"/>
          <w:shd w:val="clear" w:color="auto" w:fill="FFFFFF"/>
          <w:lang w:val="en-US" w:eastAsia="zh-CN"/>
        </w:rPr>
        <w:t>1.单位财政拨款收入情况。</w:t>
      </w:r>
      <w:r>
        <w:rPr>
          <w:rFonts w:hint="eastAsia" w:ascii="仿宋_GB2312" w:hAnsi="仿宋_GB2312" w:eastAsia="仿宋_GB2312" w:cs="仿宋_GB2312"/>
          <w:color w:val="auto"/>
          <w:sz w:val="32"/>
          <w:szCs w:val="32"/>
        </w:rPr>
        <w:t>202</w:t>
      </w: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rPr>
        <w:t>年，县档案馆部门预算收入</w:t>
      </w:r>
      <w:r>
        <w:rPr>
          <w:rFonts w:hint="eastAsia" w:ascii="仿宋_GB2312" w:hAnsi="仿宋_GB2312" w:eastAsia="仿宋_GB2312" w:cs="仿宋_GB2312"/>
          <w:color w:val="auto"/>
          <w:sz w:val="32"/>
          <w:szCs w:val="32"/>
          <w:lang w:val="en-US" w:eastAsia="zh-CN"/>
        </w:rPr>
        <w:t>164.85</w:t>
      </w:r>
      <w:r>
        <w:rPr>
          <w:rFonts w:hint="eastAsia" w:ascii="仿宋_GB2312" w:hAnsi="仿宋_GB2312" w:eastAsia="仿宋_GB2312" w:cs="仿宋_GB2312"/>
          <w:color w:val="auto"/>
          <w:sz w:val="32"/>
          <w:szCs w:val="32"/>
        </w:rPr>
        <w:t>万元，其中基本支出预算收入</w:t>
      </w:r>
      <w:r>
        <w:rPr>
          <w:rFonts w:hint="eastAsia" w:ascii="仿宋_GB2312" w:hAnsi="仿宋_GB2312" w:eastAsia="仿宋_GB2312" w:cs="仿宋_GB2312"/>
          <w:color w:val="auto"/>
          <w:sz w:val="32"/>
          <w:szCs w:val="32"/>
          <w:lang w:val="en-US" w:eastAsia="zh-CN"/>
        </w:rPr>
        <w:t>141.2</w:t>
      </w:r>
      <w:r>
        <w:rPr>
          <w:rFonts w:hint="eastAsia" w:ascii="仿宋_GB2312" w:hAnsi="仿宋_GB2312" w:eastAsia="仿宋_GB2312" w:cs="仿宋_GB2312"/>
          <w:color w:val="auto"/>
          <w:sz w:val="32"/>
          <w:szCs w:val="32"/>
        </w:rPr>
        <w:t>万元，项目支出预算收入</w:t>
      </w:r>
      <w:r>
        <w:rPr>
          <w:rFonts w:hint="eastAsia" w:ascii="仿宋_GB2312" w:hAnsi="仿宋_GB2312" w:eastAsia="仿宋_GB2312" w:cs="仿宋_GB2312"/>
          <w:color w:val="auto"/>
          <w:sz w:val="32"/>
          <w:szCs w:val="32"/>
          <w:lang w:val="en-US" w:eastAsia="zh-CN"/>
        </w:rPr>
        <w:t>23.65</w:t>
      </w:r>
      <w:r>
        <w:rPr>
          <w:rFonts w:hint="eastAsia" w:ascii="仿宋_GB2312" w:hAnsi="仿宋_GB2312" w:eastAsia="仿宋_GB2312" w:cs="仿宋_GB2312"/>
          <w:color w:val="auto"/>
          <w:sz w:val="32"/>
          <w:szCs w:val="32"/>
        </w:rPr>
        <w:t>万元。</w:t>
      </w:r>
    </w:p>
    <w:p w14:paraId="65438922">
      <w:pPr>
        <w:pStyle w:val="6"/>
        <w:ind w:firstLine="643" w:firstLineChars="200"/>
        <w:rPr>
          <w:rFonts w:hint="eastAsia" w:ascii="仿宋_GB2312" w:hAnsi="仿宋_GB2312" w:eastAsia="仿宋_GB2312" w:cs="仿宋_GB2312"/>
          <w:b w:val="0"/>
          <w:bCs w:val="0"/>
          <w:color w:val="auto"/>
          <w:kern w:val="0"/>
          <w:sz w:val="32"/>
          <w:szCs w:val="32"/>
          <w:highlight w:val="none"/>
          <w:shd w:val="clear" w:color="auto" w:fill="FFFFFF"/>
          <w:lang w:val="en-US" w:eastAsia="zh-CN"/>
        </w:rPr>
      </w:pPr>
      <w:r>
        <w:rPr>
          <w:rFonts w:hint="eastAsia" w:ascii="仿宋_GB2312" w:hAnsi="仿宋_GB2312" w:eastAsia="仿宋_GB2312" w:cs="仿宋_GB2312"/>
          <w:b/>
          <w:bCs/>
          <w:color w:val="auto"/>
          <w:kern w:val="0"/>
          <w:sz w:val="32"/>
          <w:szCs w:val="32"/>
          <w:highlight w:val="none"/>
          <w:shd w:val="clear" w:color="auto" w:fill="FFFFFF"/>
          <w:lang w:val="en-US" w:eastAsia="zh-CN"/>
        </w:rPr>
        <w:t>2.</w:t>
      </w:r>
      <w:r>
        <w:rPr>
          <w:rFonts w:hint="eastAsia" w:hAnsi="仿宋_GB2312" w:cs="仿宋_GB2312"/>
          <w:b/>
          <w:bCs/>
          <w:color w:val="auto"/>
          <w:kern w:val="0"/>
          <w:sz w:val="32"/>
          <w:szCs w:val="32"/>
          <w:highlight w:val="none"/>
          <w:shd w:val="clear" w:color="auto" w:fill="FFFFFF"/>
          <w:lang w:val="en-US" w:eastAsia="zh-CN"/>
        </w:rPr>
        <w:t>单位</w:t>
      </w:r>
      <w:r>
        <w:rPr>
          <w:rFonts w:hint="eastAsia" w:ascii="仿宋_GB2312" w:hAnsi="仿宋_GB2312" w:eastAsia="仿宋_GB2312" w:cs="仿宋_GB2312"/>
          <w:b/>
          <w:bCs/>
          <w:color w:val="auto"/>
          <w:kern w:val="0"/>
          <w:sz w:val="32"/>
          <w:szCs w:val="32"/>
          <w:highlight w:val="none"/>
          <w:shd w:val="clear" w:color="auto" w:fill="FFFFFF"/>
          <w:lang w:val="en-US" w:eastAsia="zh-CN"/>
        </w:rPr>
        <w:t>财政拨款支出情况。</w:t>
      </w:r>
      <w:r>
        <w:rPr>
          <w:rFonts w:hint="eastAsia" w:ascii="仿宋_GB2312" w:hAnsi="仿宋_GB2312" w:eastAsia="仿宋_GB2312" w:cs="仿宋_GB2312"/>
          <w:color w:val="auto"/>
          <w:sz w:val="32"/>
          <w:szCs w:val="32"/>
        </w:rPr>
        <w:t>202</w:t>
      </w:r>
      <w:r>
        <w:rPr>
          <w:rFonts w:hint="eastAsia" w:hAnsi="仿宋_GB2312" w:cs="仿宋_GB2312"/>
          <w:color w:val="auto"/>
          <w:sz w:val="32"/>
          <w:szCs w:val="32"/>
          <w:lang w:val="en-US" w:eastAsia="zh-CN"/>
        </w:rPr>
        <w:t>4</w:t>
      </w:r>
      <w:r>
        <w:rPr>
          <w:rFonts w:hint="eastAsia" w:ascii="仿宋_GB2312" w:hAnsi="仿宋_GB2312" w:eastAsia="仿宋_GB2312" w:cs="仿宋_GB2312"/>
          <w:color w:val="auto"/>
          <w:sz w:val="32"/>
          <w:szCs w:val="32"/>
        </w:rPr>
        <w:t>年，县档案馆部门财政预算支出</w:t>
      </w:r>
      <w:r>
        <w:rPr>
          <w:rFonts w:hint="eastAsia" w:hAnsi="仿宋_GB2312" w:cs="仿宋_GB2312"/>
          <w:color w:val="auto"/>
          <w:sz w:val="32"/>
          <w:szCs w:val="32"/>
          <w:lang w:val="en-US" w:eastAsia="zh-CN"/>
        </w:rPr>
        <w:t>164.85</w:t>
      </w:r>
      <w:r>
        <w:rPr>
          <w:rFonts w:hint="eastAsia" w:ascii="仿宋_GB2312" w:hAnsi="仿宋_GB2312" w:eastAsia="仿宋_GB2312" w:cs="仿宋_GB2312"/>
          <w:color w:val="auto"/>
          <w:sz w:val="32"/>
          <w:szCs w:val="32"/>
        </w:rPr>
        <w:t>万元，其中基本支出</w:t>
      </w:r>
      <w:r>
        <w:rPr>
          <w:rFonts w:hint="eastAsia" w:hAnsi="仿宋_GB2312" w:cs="仿宋_GB2312"/>
          <w:color w:val="auto"/>
          <w:sz w:val="32"/>
          <w:szCs w:val="32"/>
          <w:lang w:val="en-US" w:eastAsia="zh-CN"/>
        </w:rPr>
        <w:t>141.20</w:t>
      </w:r>
      <w:r>
        <w:rPr>
          <w:rFonts w:hint="eastAsia" w:ascii="仿宋_GB2312" w:hAnsi="仿宋_GB2312" w:eastAsia="仿宋_GB2312" w:cs="仿宋_GB2312"/>
          <w:color w:val="auto"/>
          <w:sz w:val="32"/>
          <w:szCs w:val="32"/>
        </w:rPr>
        <w:t>万元，项目支出</w:t>
      </w:r>
      <w:r>
        <w:rPr>
          <w:rFonts w:hint="eastAsia" w:hAnsi="仿宋_GB2312" w:cs="仿宋_GB2312"/>
          <w:color w:val="auto"/>
          <w:sz w:val="32"/>
          <w:szCs w:val="32"/>
          <w:lang w:val="en-US" w:eastAsia="zh-CN"/>
        </w:rPr>
        <w:t>23.65</w:t>
      </w:r>
      <w:r>
        <w:rPr>
          <w:rFonts w:hint="eastAsia" w:ascii="仿宋_GB2312" w:hAnsi="仿宋_GB2312" w:eastAsia="仿宋_GB2312" w:cs="仿宋_GB2312"/>
          <w:color w:val="auto"/>
          <w:sz w:val="32"/>
          <w:szCs w:val="32"/>
        </w:rPr>
        <w:t>万元。</w:t>
      </w:r>
    </w:p>
    <w:p w14:paraId="6B02E923">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hint="eastAsia" w:ascii="仿宋_GB2312" w:hAnsi="仿宋_GB2312" w:eastAsia="仿宋_GB2312" w:cs="仿宋_GB2312"/>
          <w:b w:val="0"/>
          <w:bCs w:val="0"/>
          <w:color w:val="auto"/>
          <w:kern w:val="0"/>
          <w:sz w:val="32"/>
          <w:szCs w:val="32"/>
          <w:highlight w:val="none"/>
          <w:shd w:val="clear" w:color="auto" w:fill="FFFFFF"/>
          <w:lang w:val="en-US" w:eastAsia="zh-CN"/>
        </w:rPr>
      </w:pPr>
      <w:r>
        <w:rPr>
          <w:rFonts w:hint="eastAsia" w:ascii="仿宋_GB2312" w:hAnsi="仿宋_GB2312" w:eastAsia="仿宋_GB2312" w:cs="仿宋_GB2312"/>
          <w:b/>
          <w:bCs/>
          <w:color w:val="auto"/>
          <w:kern w:val="0"/>
          <w:sz w:val="32"/>
          <w:szCs w:val="32"/>
          <w:highlight w:val="none"/>
          <w:shd w:val="clear" w:color="auto" w:fill="FFFFFF"/>
          <w:lang w:val="en-US" w:eastAsia="zh-CN"/>
        </w:rPr>
        <w:t>3.单位财政拨款结转结余情况。</w:t>
      </w:r>
      <w:r>
        <w:rPr>
          <w:rFonts w:hint="eastAsia" w:ascii="仿宋_GB2312" w:hAnsi="仿宋_GB2312" w:eastAsia="仿宋_GB2312" w:cs="仿宋_GB2312"/>
          <w:color w:val="auto"/>
          <w:sz w:val="32"/>
          <w:szCs w:val="32"/>
        </w:rPr>
        <w:t>202</w:t>
      </w: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rPr>
        <w:t>年，县档案馆财政资金结转结余资金0万元。</w:t>
      </w:r>
    </w:p>
    <w:p w14:paraId="0FA54C7C">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rPr>
          <w:rFonts w:hint="default" w:ascii="仿宋_GB2312" w:hAnsi="仿宋_GB2312" w:eastAsia="仿宋_GB2312" w:cs="仿宋_GB2312"/>
          <w:b w:val="0"/>
          <w:bCs w:val="0"/>
          <w:color w:val="auto"/>
          <w:kern w:val="0"/>
          <w:sz w:val="32"/>
          <w:szCs w:val="32"/>
          <w:highlight w:val="none"/>
          <w:shd w:val="clear" w:color="auto" w:fill="FFFFFF"/>
          <w:lang w:val="en-US" w:eastAsia="zh-CN"/>
        </w:rPr>
      </w:pPr>
    </w:p>
    <w:p w14:paraId="785B32B8">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rPr>
          <w:rFonts w:ascii="黑体" w:hAnsi="宋体" w:eastAsia="黑体" w:cs="宋体"/>
          <w:color w:val="auto"/>
          <w:kern w:val="0"/>
          <w:sz w:val="32"/>
          <w:szCs w:val="32"/>
          <w:highlight w:val="none"/>
          <w:shd w:val="clear" w:color="auto" w:fill="FFFFFF"/>
        </w:rPr>
      </w:pPr>
      <w:r>
        <w:rPr>
          <w:rFonts w:hint="eastAsia" w:ascii="黑体" w:hAnsi="宋体" w:eastAsia="黑体" w:cs="宋体"/>
          <w:color w:val="auto"/>
          <w:kern w:val="0"/>
          <w:sz w:val="32"/>
          <w:szCs w:val="32"/>
          <w:highlight w:val="none"/>
          <w:shd w:val="clear" w:color="auto" w:fill="FFFFFF"/>
        </w:rPr>
        <w:t>三、</w:t>
      </w:r>
      <w:r>
        <w:rPr>
          <w:rFonts w:hint="eastAsia" w:ascii="黑体" w:hAnsi="宋体" w:eastAsia="黑体" w:cs="宋体"/>
          <w:color w:val="auto"/>
          <w:kern w:val="0"/>
          <w:sz w:val="32"/>
          <w:szCs w:val="32"/>
          <w:highlight w:val="none"/>
          <w:shd w:val="clear" w:color="auto" w:fill="FFFFFF"/>
          <w:lang w:eastAsia="zh-CN"/>
        </w:rPr>
        <w:t>单位</w:t>
      </w:r>
      <w:r>
        <w:rPr>
          <w:rFonts w:hint="eastAsia" w:ascii="黑体" w:hAnsi="宋体" w:eastAsia="黑体" w:cs="宋体"/>
          <w:color w:val="auto"/>
          <w:kern w:val="0"/>
          <w:sz w:val="32"/>
          <w:szCs w:val="32"/>
          <w:highlight w:val="none"/>
          <w:u w:val="none"/>
          <w:shd w:val="clear" w:color="auto" w:fill="FFFFFF"/>
        </w:rPr>
        <w:t>整体绩效</w:t>
      </w:r>
      <w:r>
        <w:rPr>
          <w:rFonts w:hint="eastAsia" w:ascii="黑体" w:hAnsi="宋体" w:eastAsia="黑体" w:cs="宋体"/>
          <w:color w:val="auto"/>
          <w:kern w:val="0"/>
          <w:sz w:val="32"/>
          <w:szCs w:val="32"/>
          <w:highlight w:val="none"/>
          <w:u w:val="none"/>
          <w:shd w:val="clear" w:color="auto" w:fill="FFFFFF"/>
          <w:lang w:eastAsia="zh-CN"/>
        </w:rPr>
        <w:t>分析</w:t>
      </w:r>
    </w:p>
    <w:p w14:paraId="46FFAA69">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rPr>
          <w:rFonts w:hint="eastAsia" w:ascii="仿宋_GB2312" w:hAnsi="仿宋_GB2312" w:eastAsia="仿宋_GB2312" w:cs="仿宋_GB2312"/>
          <w:b w:val="0"/>
          <w:bCs w:val="0"/>
          <w:color w:val="auto"/>
          <w:kern w:val="0"/>
          <w:sz w:val="32"/>
          <w:szCs w:val="32"/>
          <w:highlight w:val="none"/>
          <w:shd w:val="clear" w:color="auto" w:fill="FFFFFF"/>
          <w:lang w:val="zh-CN" w:eastAsia="zh-CN"/>
        </w:rPr>
      </w:pPr>
      <w:r>
        <w:rPr>
          <w:rFonts w:hint="eastAsia" w:ascii="楷体_GB2312" w:hAnsi="楷体_GB2312" w:eastAsia="楷体_GB2312" w:cs="楷体_GB2312"/>
          <w:b w:val="0"/>
          <w:bCs w:val="0"/>
          <w:color w:val="auto"/>
          <w:kern w:val="0"/>
          <w:sz w:val="32"/>
          <w:szCs w:val="32"/>
          <w:highlight w:val="none"/>
          <w:shd w:val="clear" w:color="auto" w:fill="FFFFFF"/>
          <w:lang w:val="zh-CN"/>
        </w:rPr>
        <w:t>（一）单位预算项目绩效分析</w:t>
      </w:r>
    </w:p>
    <w:p w14:paraId="1046C795">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contextualSpacing/>
        <w:jc w:val="left"/>
        <w:textAlignment w:val="auto"/>
        <w:rPr>
          <w:rFonts w:hint="default" w:ascii="仿宋_GB2312" w:hAnsi="仿宋_GB2312" w:eastAsia="仿宋_GB2312" w:cs="仿宋_GB2312"/>
          <w:b w:val="0"/>
          <w:bCs w:val="0"/>
          <w:color w:val="auto"/>
          <w:kern w:val="0"/>
          <w:sz w:val="32"/>
          <w:szCs w:val="32"/>
          <w:highlight w:val="none"/>
          <w:shd w:val="clear" w:color="auto" w:fill="FFFFFF"/>
          <w:lang w:val="en-US" w:eastAsia="zh-CN"/>
        </w:rPr>
      </w:pPr>
      <w:r>
        <w:rPr>
          <w:rFonts w:hint="eastAsia" w:ascii="仿宋_GB2312" w:hAnsi="仿宋_GB2312" w:eastAsia="仿宋_GB2312" w:cs="仿宋_GB2312"/>
          <w:b/>
          <w:bCs/>
          <w:color w:val="auto"/>
          <w:kern w:val="0"/>
          <w:sz w:val="32"/>
          <w:szCs w:val="32"/>
          <w:highlight w:val="none"/>
          <w:shd w:val="clear" w:color="auto" w:fill="FFFFFF"/>
          <w:lang w:val="en-US" w:eastAsia="zh-CN"/>
        </w:rPr>
        <w:t>1.人员类项目绩效分析。</w:t>
      </w:r>
      <w:r>
        <w:rPr>
          <w:rFonts w:hint="eastAsia" w:ascii="仿宋_GB2312" w:hAnsi="仿宋_GB2312" w:eastAsia="仿宋_GB2312" w:cs="仿宋_GB2312"/>
          <w:b w:val="0"/>
          <w:bCs w:val="0"/>
          <w:color w:val="auto"/>
          <w:kern w:val="0"/>
          <w:sz w:val="32"/>
          <w:szCs w:val="32"/>
          <w:highlight w:val="none"/>
          <w:shd w:val="clear" w:color="auto" w:fill="FFFFFF"/>
          <w:lang w:val="en-US" w:eastAsia="zh-CN"/>
        </w:rPr>
        <w:t>2024年县档案馆基本支出经费预算141.20万元，其中人员经费预算125.57万元，公用经费支出预算15.62万元，实际完成人员经费支出125.57万元，公用经费支出决算15.62万元，完成年初预算数的100%。在人员类项目经费预算、支出过程中没有发生违规违纪的现象。</w:t>
      </w:r>
    </w:p>
    <w:p w14:paraId="07767C98">
      <w:pPr>
        <w:widowControl/>
        <w:adjustRightInd w:val="0"/>
        <w:snapToGrid w:val="0"/>
        <w:spacing w:line="580" w:lineRule="exact"/>
        <w:ind w:firstLine="643" w:firstLineChars="200"/>
        <w:contextualSpacing/>
        <w:jc w:val="left"/>
        <w:rPr>
          <w:rFonts w:hint="eastAsia" w:ascii="仿宋_GB2312" w:hAnsi="仿宋_GB2312" w:eastAsia="仿宋_GB2312" w:cs="仿宋_GB2312"/>
          <w:b/>
          <w:bCs/>
          <w:color w:val="auto"/>
          <w:kern w:val="0"/>
          <w:sz w:val="32"/>
          <w:szCs w:val="32"/>
          <w:highlight w:val="none"/>
          <w:shd w:val="clear" w:color="auto" w:fill="FFFFFF"/>
          <w:lang w:val="en-US" w:eastAsia="zh-CN"/>
        </w:rPr>
      </w:pPr>
      <w:r>
        <w:rPr>
          <w:rFonts w:hint="eastAsia" w:ascii="仿宋_GB2312" w:hAnsi="仿宋_GB2312" w:eastAsia="仿宋_GB2312" w:cs="仿宋_GB2312"/>
          <w:b/>
          <w:bCs/>
          <w:color w:val="auto"/>
          <w:kern w:val="0"/>
          <w:sz w:val="32"/>
          <w:szCs w:val="32"/>
          <w:highlight w:val="none"/>
          <w:shd w:val="clear" w:color="auto" w:fill="FFFFFF"/>
          <w:lang w:val="en-US" w:eastAsia="zh-CN"/>
        </w:rPr>
        <w:t>2.运转类项目绩效分析。</w:t>
      </w:r>
      <w:r>
        <w:rPr>
          <w:rFonts w:hint="eastAsia" w:ascii="仿宋_GB2312" w:hAnsi="宋体" w:eastAsia="仿宋_GB2312" w:cs="宋体"/>
          <w:color w:val="auto"/>
          <w:kern w:val="0"/>
          <w:sz w:val="32"/>
          <w:szCs w:val="32"/>
          <w:shd w:val="clear" w:color="auto" w:fill="FFFFFF"/>
          <w:lang w:val="en-US" w:eastAsia="zh-CN"/>
        </w:rPr>
        <w:t>2024年，县档案馆实施项目4个，其中特定项目3个，总预算资金23.65万元，实际完成23.65万元，项目资金执行率100%。2024年，县档案馆开展档案业务指导63人次、馆藏档案数字化1764卷、完成了</w:t>
      </w:r>
      <w:r>
        <w:rPr>
          <w:rFonts w:hint="eastAsia" w:ascii="仿宋_GB2312" w:eastAsia="仿宋_GB2312"/>
          <w:color w:val="auto"/>
          <w:sz w:val="32"/>
          <w:szCs w:val="32"/>
          <w:lang w:eastAsia="zh-CN"/>
        </w:rPr>
        <w:t>《马边档案—自治县成立40周年大事记》，</w:t>
      </w:r>
      <w:r>
        <w:rPr>
          <w:rFonts w:hint="eastAsia" w:ascii="仿宋_GB2312" w:hAnsi="仿宋_GB2312" w:eastAsia="仿宋_GB2312" w:cs="仿宋_GB2312"/>
          <w:color w:val="auto"/>
          <w:kern w:val="0"/>
          <w:sz w:val="32"/>
          <w:szCs w:val="32"/>
          <w:shd w:val="clear" w:color="auto" w:fill="FFFFFF"/>
          <w:lang w:val="en-US" w:eastAsia="zh-CN"/>
        </w:rPr>
        <w:t>计划开展帮扶乡村慰问活动2次，实际完成3次。</w:t>
      </w:r>
    </w:p>
    <w:p w14:paraId="2FE0FC84">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b w:val="0"/>
          <w:bCs w:val="0"/>
          <w:color w:val="auto"/>
          <w:kern w:val="0"/>
          <w:sz w:val="32"/>
          <w:szCs w:val="32"/>
          <w:highlight w:val="none"/>
          <w:shd w:val="clear" w:color="auto" w:fill="FFFFFF"/>
          <w:lang w:val="en-US" w:eastAsia="zh-CN"/>
        </w:rPr>
      </w:pPr>
      <w:r>
        <w:rPr>
          <w:rFonts w:hint="eastAsia" w:ascii="仿宋_GB2312" w:hAnsi="仿宋_GB2312" w:eastAsia="仿宋_GB2312" w:cs="仿宋_GB2312"/>
          <w:b w:val="0"/>
          <w:bCs w:val="0"/>
          <w:color w:val="auto"/>
          <w:kern w:val="0"/>
          <w:sz w:val="32"/>
          <w:szCs w:val="32"/>
          <w:highlight w:val="none"/>
          <w:shd w:val="clear" w:color="auto" w:fill="FFFFFF"/>
          <w:lang w:val="en-US" w:eastAsia="zh-CN"/>
        </w:rPr>
        <w:t>3.特定目标类项目绩效分析</w:t>
      </w:r>
    </w:p>
    <w:p w14:paraId="1BD3106F">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kern w:val="0"/>
          <w:sz w:val="32"/>
          <w:szCs w:val="32"/>
          <w:shd w:val="clear" w:color="auto" w:fill="FFFFFF"/>
          <w:lang w:val="en-US" w:eastAsia="zh-CN"/>
        </w:rPr>
      </w:pPr>
      <w:r>
        <w:rPr>
          <w:rFonts w:hint="eastAsia" w:ascii="仿宋_GB2312" w:hAnsi="仿宋_GB2312" w:eastAsia="仿宋_GB2312" w:cs="仿宋_GB2312"/>
          <w:b w:val="0"/>
          <w:bCs w:val="0"/>
          <w:color w:val="auto"/>
          <w:sz w:val="32"/>
          <w:szCs w:val="32"/>
        </w:rPr>
        <w:t>①</w:t>
      </w:r>
      <w:r>
        <w:rPr>
          <w:rFonts w:hint="eastAsia" w:ascii="仿宋_GB2312" w:hAnsi="仿宋_GB2312" w:eastAsia="仿宋_GB2312" w:cs="仿宋_GB2312"/>
          <w:b w:val="0"/>
          <w:bCs w:val="0"/>
          <w:color w:val="auto"/>
          <w:kern w:val="0"/>
          <w:sz w:val="32"/>
          <w:szCs w:val="32"/>
          <w:shd w:val="clear" w:color="auto" w:fill="FFFFFF"/>
          <w:lang w:val="zh-CN"/>
        </w:rPr>
        <w:t>档案馆运行。</w:t>
      </w:r>
      <w:r>
        <w:rPr>
          <w:rFonts w:hint="eastAsia" w:ascii="仿宋_GB2312" w:hAnsi="仿宋_GB2312" w:eastAsia="仿宋_GB2312" w:cs="仿宋_GB2312"/>
          <w:b w:val="0"/>
          <w:bCs w:val="0"/>
          <w:color w:val="auto"/>
          <w:kern w:val="0"/>
          <w:sz w:val="32"/>
          <w:szCs w:val="32"/>
          <w:shd w:val="clear" w:color="auto" w:fill="FFFFFF"/>
          <w:lang w:val="en-US" w:eastAsia="zh-CN"/>
        </w:rPr>
        <w:t>2024年项目预算资金9.99万元，实际完成9.99万元，计划完成档案业务指导24人次，实际完成63人次，计划完成档案查阅利用服务80人次，实际完成120人次</w:t>
      </w:r>
      <w:r>
        <w:rPr>
          <w:rFonts w:hint="eastAsia" w:ascii="仿宋_GB2312" w:hAnsi="仿宋_GB2312" w:eastAsia="仿宋_GB2312" w:cs="仿宋_GB2312"/>
          <w:color w:val="auto"/>
          <w:kern w:val="0"/>
          <w:sz w:val="32"/>
          <w:szCs w:val="32"/>
          <w:shd w:val="clear" w:color="auto" w:fill="FFFFFF"/>
          <w:lang w:val="en-US" w:eastAsia="zh-CN"/>
        </w:rPr>
        <w:t>。</w:t>
      </w:r>
    </w:p>
    <w:p w14:paraId="7D5AD0A6">
      <w:pPr>
        <w:widowControl/>
        <w:adjustRightInd w:val="0"/>
        <w:snapToGrid w:val="0"/>
        <w:spacing w:line="580" w:lineRule="exact"/>
        <w:ind w:firstLine="640" w:firstLineChars="200"/>
        <w:contextualSpacing/>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b w:val="0"/>
          <w:bCs w:val="0"/>
          <w:color w:val="auto"/>
          <w:sz w:val="32"/>
          <w:szCs w:val="32"/>
        </w:rPr>
        <w:t>②档案数字化</w:t>
      </w:r>
      <w:r>
        <w:rPr>
          <w:rFonts w:hint="eastAsia" w:ascii="仿宋_GB2312" w:hAnsi="仿宋_GB2312" w:eastAsia="仿宋_GB2312" w:cs="仿宋_GB2312"/>
          <w:b w:val="0"/>
          <w:bCs w:val="0"/>
          <w:color w:val="auto"/>
          <w:sz w:val="32"/>
          <w:szCs w:val="32"/>
          <w:lang w:val="en-US" w:eastAsia="zh-CN"/>
        </w:rPr>
        <w:t>项目</w:t>
      </w:r>
      <w:r>
        <w:rPr>
          <w:rFonts w:hint="eastAsia" w:ascii="仿宋_GB2312" w:hAnsi="仿宋_GB2312" w:eastAsia="仿宋_GB2312" w:cs="仿宋_GB2312"/>
          <w:b/>
          <w:bCs/>
          <w:color w:val="auto"/>
          <w:sz w:val="32"/>
          <w:szCs w:val="32"/>
        </w:rPr>
        <w:t>。</w:t>
      </w:r>
      <w:r>
        <w:rPr>
          <w:rFonts w:hint="eastAsia" w:ascii="仿宋_GB2312" w:hAnsi="仿宋_GB2312" w:eastAsia="仿宋_GB2312" w:cs="仿宋_GB2312"/>
          <w:color w:val="auto"/>
          <w:kern w:val="0"/>
          <w:sz w:val="32"/>
          <w:szCs w:val="32"/>
          <w:shd w:val="clear" w:color="auto" w:fill="FFFFFF"/>
          <w:lang w:val="en-US" w:eastAsia="zh-CN"/>
        </w:rPr>
        <w:t>2024项目预算资金10万元，实际完成10万元，计划完成馆藏档案数字化1300卷，实际完成了</w:t>
      </w:r>
      <w:r>
        <w:rPr>
          <w:rFonts w:hint="eastAsia" w:ascii="仿宋_GB2312" w:eastAsia="仿宋_GB2312"/>
          <w:color w:val="auto"/>
          <w:sz w:val="32"/>
          <w:szCs w:val="32"/>
          <w:lang w:val="en-US" w:eastAsia="zh-CN"/>
        </w:rPr>
        <w:t>县财政局、县农业农村局、县人民医院、撤销机构县百货公司、农土公司、水碾坝乡、县自然资源局</w:t>
      </w:r>
      <w:r>
        <w:rPr>
          <w:rFonts w:hint="eastAsia" w:ascii="仿宋_GB2312" w:eastAsia="仿宋_GB2312"/>
          <w:color w:val="auto"/>
          <w:sz w:val="32"/>
          <w:szCs w:val="32"/>
          <w:lang w:eastAsia="zh-CN"/>
        </w:rPr>
        <w:t>馆藏纸质档案</w:t>
      </w:r>
      <w:r>
        <w:rPr>
          <w:rFonts w:hint="eastAsia" w:ascii="仿宋_GB2312" w:eastAsia="仿宋_GB2312"/>
          <w:color w:val="auto"/>
          <w:sz w:val="32"/>
          <w:szCs w:val="32"/>
          <w:lang w:val="en-US" w:eastAsia="zh-CN"/>
        </w:rPr>
        <w:t>1764卷</w:t>
      </w:r>
      <w:r>
        <w:rPr>
          <w:rFonts w:hint="eastAsia" w:ascii="仿宋_GB2312" w:eastAsia="仿宋_GB2312"/>
          <w:color w:val="auto"/>
          <w:sz w:val="32"/>
          <w:szCs w:val="32"/>
          <w:lang w:eastAsia="zh-CN"/>
        </w:rPr>
        <w:t>。</w:t>
      </w:r>
    </w:p>
    <w:p w14:paraId="4FDC6ADC">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b w:val="0"/>
          <w:bCs w:val="0"/>
          <w:color w:val="auto"/>
          <w:sz w:val="32"/>
          <w:szCs w:val="32"/>
        </w:rPr>
        <w:t>③馆藏档案编研。</w:t>
      </w:r>
      <w:r>
        <w:rPr>
          <w:rFonts w:hint="eastAsia" w:ascii="仿宋_GB2312" w:hAnsi="仿宋_GB2312" w:eastAsia="仿宋_GB2312" w:cs="仿宋_GB2312"/>
          <w:color w:val="auto"/>
          <w:kern w:val="0"/>
          <w:sz w:val="32"/>
          <w:szCs w:val="32"/>
          <w:shd w:val="clear" w:color="auto" w:fill="FFFFFF"/>
          <w:lang w:val="en-US" w:eastAsia="zh-CN"/>
        </w:rPr>
        <w:t>2024年档案编研项目资金预算2万元，实际完成2万元，计划完成出版印刷编研产品1部，实际完成</w:t>
      </w:r>
      <w:r>
        <w:rPr>
          <w:rFonts w:hint="eastAsia" w:ascii="仿宋_GB2312" w:eastAsia="仿宋_GB2312"/>
          <w:color w:val="auto"/>
          <w:sz w:val="32"/>
          <w:szCs w:val="32"/>
          <w:lang w:eastAsia="zh-CN"/>
        </w:rPr>
        <w:t>收集全县自然、政治、经济、文化等方面历史与现状的图片</w:t>
      </w:r>
      <w:r>
        <w:rPr>
          <w:rFonts w:hint="eastAsia" w:ascii="仿宋_GB2312" w:eastAsia="仿宋_GB2312"/>
          <w:color w:val="auto"/>
          <w:sz w:val="32"/>
          <w:szCs w:val="32"/>
          <w:lang w:val="en-US" w:eastAsia="zh-CN"/>
        </w:rPr>
        <w:t>200张。</w:t>
      </w:r>
      <w:r>
        <w:rPr>
          <w:rFonts w:hint="eastAsia" w:ascii="仿宋_GB2312" w:eastAsia="仿宋_GB2312"/>
          <w:color w:val="auto"/>
          <w:sz w:val="32"/>
          <w:szCs w:val="32"/>
          <w:lang w:eastAsia="zh-CN"/>
        </w:rPr>
        <w:t>撰写档案编研材料《马边档案—自治县成立40周年大事记》</w:t>
      </w:r>
      <w:r>
        <w:rPr>
          <w:rFonts w:hint="eastAsia" w:ascii="仿宋_GB2312" w:eastAsia="仿宋_GB2312"/>
          <w:color w:val="auto"/>
          <w:sz w:val="32"/>
          <w:szCs w:val="32"/>
          <w:lang w:val="en-US" w:eastAsia="zh-CN"/>
        </w:rPr>
        <w:t>。</w:t>
      </w:r>
    </w:p>
    <w:p w14:paraId="3F3B7B03">
      <w:pPr>
        <w:widowControl/>
        <w:adjustRightInd w:val="0"/>
        <w:snapToGrid w:val="0"/>
        <w:spacing w:line="580" w:lineRule="exact"/>
        <w:ind w:firstLine="640" w:firstLineChars="200"/>
        <w:contextualSpacing/>
        <w:jc w:val="left"/>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④</w:t>
      </w:r>
      <w:r>
        <w:rPr>
          <w:rFonts w:hint="eastAsia" w:ascii="仿宋_GB2312" w:hAnsi="仿宋_GB2312" w:eastAsia="仿宋_GB2312" w:cs="仿宋_GB2312"/>
          <w:b w:val="0"/>
          <w:bCs w:val="0"/>
          <w:color w:val="auto"/>
          <w:kern w:val="0"/>
          <w:sz w:val="32"/>
          <w:szCs w:val="32"/>
          <w:shd w:val="clear" w:color="auto" w:fill="FFFFFF"/>
          <w:lang w:val="zh-CN"/>
        </w:rPr>
        <w:t>驻村工作队补助。</w:t>
      </w:r>
      <w:r>
        <w:rPr>
          <w:rFonts w:hint="eastAsia" w:ascii="仿宋_GB2312" w:hAnsi="仿宋_GB2312" w:eastAsia="仿宋_GB2312" w:cs="仿宋_GB2312"/>
          <w:b w:val="0"/>
          <w:bCs w:val="0"/>
          <w:color w:val="auto"/>
          <w:kern w:val="0"/>
          <w:sz w:val="32"/>
          <w:szCs w:val="32"/>
          <w:shd w:val="clear" w:color="auto" w:fill="FFFFFF"/>
          <w:lang w:val="en-US" w:eastAsia="zh-CN"/>
        </w:rPr>
        <w:t>2024年驻村工作队补助预算1.65万元，实际完成1.65万元，安排1名中层干部长期驻村开展工作，计划开展入户走访100人次，实际完成200余人次，计划开展慰问活动2次，实际开展慰问活动3次，</w:t>
      </w:r>
      <w:r>
        <w:rPr>
          <w:rFonts w:hint="eastAsia" w:ascii="仿宋_GB2312" w:hAnsi="仿宋_GB2312" w:eastAsia="仿宋_GB2312" w:cs="仿宋_GB2312"/>
          <w:color w:val="auto"/>
          <w:sz w:val="32"/>
          <w:szCs w:val="32"/>
          <w:lang w:val="en-US" w:eastAsia="zh-CN"/>
        </w:rPr>
        <w:t>为老鸦营幼儿园39名学生送去节日礼物，为庄家坝村“两委”及35户联系户开展新年慰问，送去大米、食用油等物资折合7630元。</w:t>
      </w:r>
    </w:p>
    <w:p w14:paraId="4D804332">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rPr>
          <w:rFonts w:hint="eastAsia" w:ascii="楷体_GB2312" w:hAnsi="楷体_GB2312" w:eastAsia="楷体_GB2312" w:cs="楷体_GB2312"/>
          <w:b w:val="0"/>
          <w:bCs w:val="0"/>
          <w:color w:val="auto"/>
          <w:kern w:val="0"/>
          <w:sz w:val="32"/>
          <w:szCs w:val="32"/>
          <w:highlight w:val="none"/>
          <w:shd w:val="clear" w:color="auto" w:fill="FFFFFF"/>
          <w:lang w:val="zh-CN"/>
        </w:rPr>
      </w:pPr>
      <w:r>
        <w:rPr>
          <w:rFonts w:hint="eastAsia" w:ascii="楷体_GB2312" w:hAnsi="楷体_GB2312" w:eastAsia="楷体_GB2312" w:cs="楷体_GB2312"/>
          <w:b w:val="0"/>
          <w:bCs w:val="0"/>
          <w:color w:val="auto"/>
          <w:kern w:val="0"/>
          <w:sz w:val="32"/>
          <w:szCs w:val="32"/>
          <w:highlight w:val="none"/>
          <w:shd w:val="clear" w:color="auto" w:fill="FFFFFF"/>
          <w:lang w:val="zh-CN"/>
        </w:rPr>
        <w:t>（二）单位整体履职绩效分析</w:t>
      </w:r>
    </w:p>
    <w:p w14:paraId="0D912B4E">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rPr>
          <w:rFonts w:hint="eastAsia" w:ascii="仿宋_GB2312" w:hAnsi="仿宋_GB2312" w:eastAsia="仿宋_GB2312" w:cs="仿宋_GB2312"/>
          <w:b w:val="0"/>
          <w:bCs w:val="0"/>
          <w:color w:val="auto"/>
          <w:kern w:val="0"/>
          <w:sz w:val="32"/>
          <w:szCs w:val="32"/>
          <w:highlight w:val="none"/>
          <w:shd w:val="clear" w:color="auto" w:fill="FFFFFF"/>
          <w:lang w:val="zh-CN" w:eastAsia="zh-CN"/>
        </w:rPr>
      </w:pPr>
      <w:r>
        <w:rPr>
          <w:rFonts w:hint="eastAsia" w:ascii="仿宋_GB2312" w:hAnsi="仿宋_GB2312" w:eastAsia="仿宋_GB2312" w:cs="仿宋_GB2312"/>
          <w:b w:val="0"/>
          <w:bCs w:val="0"/>
          <w:color w:val="auto"/>
          <w:kern w:val="0"/>
          <w:sz w:val="32"/>
          <w:szCs w:val="32"/>
          <w:highlight w:val="none"/>
          <w:shd w:val="clear" w:color="auto" w:fill="FFFFFF"/>
          <w:lang w:val="zh-CN" w:eastAsia="zh-CN"/>
        </w:rPr>
        <w:t>围绕单位整体绩效目标完成情况和部门履职情况进行绩效分析。</w:t>
      </w:r>
    </w:p>
    <w:p w14:paraId="096BCBA5">
      <w:pPr>
        <w:widowControl/>
        <w:adjustRightInd w:val="0"/>
        <w:snapToGrid w:val="0"/>
        <w:spacing w:line="580" w:lineRule="exact"/>
        <w:ind w:firstLine="640" w:firstLineChars="200"/>
        <w:contextualSpacing/>
        <w:jc w:val="left"/>
        <w:rPr>
          <w:rFonts w:hint="eastAsia" w:ascii="仿宋_GB2312" w:hAnsi="仿宋_GB2312" w:eastAsia="仿宋_GB2312" w:cs="仿宋_GB2312"/>
          <w:color w:val="auto"/>
          <w:kern w:val="0"/>
          <w:sz w:val="32"/>
          <w:szCs w:val="32"/>
          <w:shd w:val="clear" w:color="auto" w:fill="FFFFFF"/>
          <w:lang w:val="en-US" w:eastAsia="zh-CN"/>
        </w:rPr>
      </w:pPr>
      <w:r>
        <w:rPr>
          <w:rFonts w:hint="eastAsia" w:ascii="楷体_GB2312" w:hAnsi="楷体_GB2312" w:eastAsia="楷体_GB2312" w:cs="楷体_GB2312"/>
          <w:b w:val="0"/>
          <w:bCs w:val="0"/>
          <w:color w:val="auto"/>
          <w:kern w:val="0"/>
          <w:sz w:val="32"/>
          <w:szCs w:val="32"/>
          <w:highlight w:val="none"/>
          <w:shd w:val="clear" w:color="auto" w:fill="FFFFFF"/>
          <w:lang w:val="zh-CN"/>
        </w:rPr>
        <w:t>（三）结果应用情况。</w:t>
      </w:r>
      <w:r>
        <w:rPr>
          <w:rFonts w:hint="eastAsia" w:ascii="仿宋_GB2312" w:hAnsi="仿宋_GB2312" w:eastAsia="仿宋_GB2312" w:cs="仿宋_GB2312"/>
          <w:color w:val="auto"/>
          <w:kern w:val="0"/>
          <w:sz w:val="32"/>
          <w:szCs w:val="32"/>
          <w:shd w:val="clear" w:color="auto" w:fill="FFFFFF"/>
          <w:lang w:val="en-US" w:eastAsia="zh-CN"/>
        </w:rPr>
        <w:t>2024年，</w:t>
      </w:r>
      <w:r>
        <w:rPr>
          <w:rFonts w:hint="eastAsia" w:ascii="仿宋_GB2312" w:hAnsi="仿宋_GB2312" w:eastAsia="仿宋_GB2312" w:cs="仿宋_GB2312"/>
          <w:color w:val="auto"/>
          <w:kern w:val="0"/>
          <w:sz w:val="32"/>
          <w:szCs w:val="32"/>
          <w:shd w:val="clear" w:color="auto" w:fill="FFFFFF"/>
          <w:lang w:val="zh-CN"/>
        </w:rPr>
        <w:t>县档案馆修改完善了预算绩效管理制定，年初制定了部门整体绩效目标</w:t>
      </w:r>
      <w:r>
        <w:rPr>
          <w:rFonts w:hint="eastAsia" w:ascii="仿宋_GB2312" w:hAnsi="仿宋_GB2312" w:eastAsia="仿宋_GB2312" w:cs="仿宋_GB2312"/>
          <w:color w:val="auto"/>
          <w:kern w:val="0"/>
          <w:sz w:val="32"/>
          <w:szCs w:val="32"/>
          <w:shd w:val="clear" w:color="auto" w:fill="FFFFFF"/>
          <w:lang w:val="en-US" w:eastAsia="zh-CN"/>
        </w:rPr>
        <w:t>1个、</w:t>
      </w:r>
      <w:r>
        <w:rPr>
          <w:rFonts w:hint="eastAsia" w:ascii="仿宋_GB2312" w:hAnsi="仿宋_GB2312" w:eastAsia="仿宋_GB2312" w:cs="仿宋_GB2312"/>
          <w:color w:val="auto"/>
          <w:kern w:val="0"/>
          <w:sz w:val="32"/>
          <w:szCs w:val="32"/>
          <w:shd w:val="clear" w:color="auto" w:fill="FFFFFF"/>
          <w:lang w:val="zh-CN"/>
        </w:rPr>
        <w:t>项目绩效目标</w:t>
      </w:r>
      <w:r>
        <w:rPr>
          <w:rFonts w:hint="eastAsia" w:ascii="仿宋_GB2312" w:hAnsi="仿宋_GB2312" w:eastAsia="仿宋_GB2312" w:cs="仿宋_GB2312"/>
          <w:color w:val="auto"/>
          <w:kern w:val="0"/>
          <w:sz w:val="32"/>
          <w:szCs w:val="32"/>
          <w:shd w:val="clear" w:color="auto" w:fill="FFFFFF"/>
          <w:lang w:val="en-US" w:eastAsia="zh-CN"/>
        </w:rPr>
        <w:t>3个</w:t>
      </w:r>
      <w:r>
        <w:rPr>
          <w:rFonts w:hint="eastAsia" w:ascii="仿宋_GB2312" w:hAnsi="仿宋_GB2312" w:eastAsia="仿宋_GB2312" w:cs="仿宋_GB2312"/>
          <w:color w:val="auto"/>
          <w:kern w:val="0"/>
          <w:sz w:val="32"/>
          <w:szCs w:val="32"/>
          <w:shd w:val="clear" w:color="auto" w:fill="FFFFFF"/>
          <w:lang w:val="zh-CN"/>
        </w:rPr>
        <w:t>，并与预算一同在政务公开平台进行了公开，开展预算绩效事前、事中、事后考核工作，考核结果作为预算调整的重要依据，全年调剂预算资金</w:t>
      </w:r>
      <w:r>
        <w:rPr>
          <w:rFonts w:hint="eastAsia" w:ascii="仿宋_GB2312" w:hAnsi="仿宋_GB2312" w:eastAsia="仿宋_GB2312" w:cs="仿宋_GB2312"/>
          <w:color w:val="auto"/>
          <w:kern w:val="0"/>
          <w:sz w:val="32"/>
          <w:szCs w:val="32"/>
          <w:shd w:val="clear" w:color="auto" w:fill="FFFFFF"/>
          <w:lang w:val="en-US" w:eastAsia="zh-CN"/>
        </w:rPr>
        <w:t>0.75万元。2024年，县档案馆没有审计部门、财政部门反馈需要整改的预算绩效问题。</w:t>
      </w:r>
    </w:p>
    <w:p w14:paraId="56877637">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rPr>
          <w:rFonts w:hint="eastAsia" w:ascii="仿宋_GB2312" w:hAnsi="仿宋_GB2312" w:eastAsia="仿宋_GB2312" w:cs="仿宋_GB2312"/>
          <w:b w:val="0"/>
          <w:bCs w:val="0"/>
          <w:color w:val="auto"/>
          <w:kern w:val="0"/>
          <w:sz w:val="32"/>
          <w:szCs w:val="32"/>
          <w:highlight w:val="none"/>
          <w:shd w:val="clear" w:color="auto" w:fill="FFFFFF"/>
          <w:lang w:val="en-US" w:eastAsia="zh-CN"/>
        </w:rPr>
      </w:pPr>
      <w:r>
        <w:rPr>
          <w:rFonts w:hint="eastAsia" w:ascii="楷体_GB2312" w:hAnsi="楷体_GB2312" w:eastAsia="楷体_GB2312" w:cs="楷体_GB2312"/>
          <w:b w:val="0"/>
          <w:bCs w:val="0"/>
          <w:color w:val="auto"/>
          <w:kern w:val="0"/>
          <w:sz w:val="32"/>
          <w:szCs w:val="32"/>
          <w:highlight w:val="none"/>
          <w:shd w:val="clear" w:color="auto" w:fill="FFFFFF"/>
          <w:lang w:val="zh-CN"/>
        </w:rPr>
        <w:t>（</w:t>
      </w:r>
      <w:r>
        <w:rPr>
          <w:rFonts w:hint="eastAsia" w:ascii="楷体_GB2312" w:hAnsi="楷体_GB2312" w:eastAsia="楷体_GB2312" w:cs="楷体_GB2312"/>
          <w:b w:val="0"/>
          <w:bCs w:val="0"/>
          <w:color w:val="auto"/>
          <w:kern w:val="0"/>
          <w:sz w:val="32"/>
          <w:szCs w:val="32"/>
          <w:highlight w:val="none"/>
          <w:shd w:val="clear" w:color="auto" w:fill="FFFFFF"/>
          <w:lang w:val="en-US" w:eastAsia="zh-CN"/>
        </w:rPr>
        <w:t>四</w:t>
      </w:r>
      <w:r>
        <w:rPr>
          <w:rFonts w:hint="eastAsia" w:ascii="楷体_GB2312" w:hAnsi="楷体_GB2312" w:eastAsia="楷体_GB2312" w:cs="楷体_GB2312"/>
          <w:b w:val="0"/>
          <w:bCs w:val="0"/>
          <w:color w:val="auto"/>
          <w:kern w:val="0"/>
          <w:sz w:val="32"/>
          <w:szCs w:val="32"/>
          <w:highlight w:val="none"/>
          <w:shd w:val="clear" w:color="auto" w:fill="FFFFFF"/>
          <w:lang w:val="zh-CN"/>
        </w:rPr>
        <w:t>）自评质量。</w:t>
      </w:r>
      <w:r>
        <w:rPr>
          <w:rFonts w:hint="eastAsia" w:ascii="仿宋_GB2312" w:hAnsi="仿宋_GB2312" w:eastAsia="仿宋_GB2312" w:cs="仿宋_GB2312"/>
          <w:b w:val="0"/>
          <w:bCs w:val="0"/>
          <w:color w:val="auto"/>
          <w:kern w:val="0"/>
          <w:sz w:val="32"/>
          <w:szCs w:val="32"/>
          <w:highlight w:val="none"/>
          <w:shd w:val="clear" w:color="auto" w:fill="FFFFFF"/>
          <w:lang w:val="en-US" w:eastAsia="zh-CN"/>
        </w:rPr>
        <w:t>县档案馆在项目绩效自评过程中按照相关规定严格进行，自评程序合规合法，达到预期质量目标。</w:t>
      </w:r>
    </w:p>
    <w:p w14:paraId="51E3E6AF">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rPr>
          <w:rFonts w:ascii="黑体" w:hAnsi="宋体" w:eastAsia="黑体" w:cs="宋体"/>
          <w:color w:val="auto"/>
          <w:kern w:val="0"/>
          <w:sz w:val="32"/>
          <w:szCs w:val="32"/>
          <w:highlight w:val="none"/>
          <w:shd w:val="clear" w:color="auto" w:fill="FFFFFF"/>
        </w:rPr>
      </w:pPr>
      <w:r>
        <w:rPr>
          <w:rFonts w:hint="eastAsia" w:ascii="黑体" w:hAnsi="宋体" w:eastAsia="黑体" w:cs="宋体"/>
          <w:color w:val="auto"/>
          <w:kern w:val="0"/>
          <w:sz w:val="32"/>
          <w:szCs w:val="32"/>
          <w:highlight w:val="none"/>
          <w:shd w:val="clear" w:color="auto" w:fill="FFFFFF"/>
        </w:rPr>
        <w:t>四、评价结论及建议</w:t>
      </w:r>
    </w:p>
    <w:p w14:paraId="63FBDDFF">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rPr>
          <w:rFonts w:hint="eastAsia" w:ascii="楷体_GB2312" w:hAnsi="楷体_GB2312" w:eastAsia="楷体_GB2312" w:cs="楷体_GB2312"/>
          <w:b/>
          <w:bCs/>
          <w:color w:val="auto"/>
          <w:kern w:val="0"/>
          <w:sz w:val="32"/>
          <w:szCs w:val="32"/>
          <w:highlight w:val="none"/>
          <w:shd w:val="clear" w:color="auto" w:fill="FFFFFF"/>
          <w:lang w:val="zh-CN"/>
        </w:rPr>
      </w:pPr>
      <w:r>
        <w:rPr>
          <w:rFonts w:hint="eastAsia" w:ascii="楷体_GB2312" w:hAnsi="楷体_GB2312" w:eastAsia="楷体_GB2312" w:cs="楷体_GB2312"/>
          <w:b w:val="0"/>
          <w:bCs w:val="0"/>
          <w:color w:val="auto"/>
          <w:kern w:val="0"/>
          <w:sz w:val="32"/>
          <w:szCs w:val="32"/>
          <w:highlight w:val="none"/>
          <w:shd w:val="clear" w:color="auto" w:fill="FFFFFF"/>
          <w:lang w:val="zh-CN"/>
        </w:rPr>
        <w:t>（一）评价结论。</w:t>
      </w:r>
      <w:r>
        <w:rPr>
          <w:rFonts w:hint="eastAsia" w:ascii="仿宋_GB2312" w:hAnsi="仿宋_GB2312" w:eastAsia="仿宋_GB2312" w:cs="仿宋_GB2312"/>
          <w:color w:val="auto"/>
          <w:sz w:val="32"/>
          <w:szCs w:val="32"/>
        </w:rPr>
        <w:t>通过自评，202</w:t>
      </w: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rPr>
        <w:t>年县档案馆整体支出绩效自评为优、项目支出绩效自评为优</w:t>
      </w:r>
      <w:r>
        <w:rPr>
          <w:rFonts w:hint="eastAsia" w:ascii="仿宋_GB2312" w:hAnsi="仿宋_GB2312" w:eastAsia="仿宋_GB2312" w:cs="仿宋_GB2312"/>
          <w:b w:val="0"/>
          <w:bCs w:val="0"/>
          <w:color w:val="auto"/>
          <w:kern w:val="0"/>
          <w:sz w:val="32"/>
          <w:szCs w:val="32"/>
          <w:highlight w:val="none"/>
          <w:shd w:val="clear" w:color="auto" w:fill="FFFFFF"/>
          <w:lang w:val="en-US" w:eastAsia="zh-CN"/>
        </w:rPr>
        <w:t>。</w:t>
      </w:r>
    </w:p>
    <w:p w14:paraId="5C1AB2F9">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楷体_GB2312" w:hAnsi="楷体_GB2312" w:eastAsia="楷体_GB2312" w:cs="楷体_GB2312"/>
          <w:b/>
          <w:bCs/>
          <w:color w:val="auto"/>
          <w:kern w:val="0"/>
          <w:sz w:val="32"/>
          <w:szCs w:val="32"/>
          <w:highlight w:val="none"/>
          <w:shd w:val="clear" w:color="auto" w:fill="FFFFFF"/>
          <w:lang w:val="zh-CN"/>
        </w:rPr>
      </w:pPr>
      <w:r>
        <w:rPr>
          <w:rFonts w:hint="eastAsia" w:ascii="楷体_GB2312" w:hAnsi="楷体_GB2312" w:eastAsia="楷体_GB2312" w:cs="楷体_GB2312"/>
          <w:b w:val="0"/>
          <w:bCs w:val="0"/>
          <w:color w:val="auto"/>
          <w:kern w:val="0"/>
          <w:sz w:val="32"/>
          <w:szCs w:val="32"/>
          <w:highlight w:val="none"/>
          <w:shd w:val="clear" w:color="auto" w:fill="FFFFFF"/>
          <w:lang w:val="zh-CN"/>
        </w:rPr>
        <w:t>（二）存在问题。</w:t>
      </w:r>
      <w:r>
        <w:rPr>
          <w:rFonts w:hint="eastAsia" w:ascii="仿宋_GB2312" w:hAnsi="仿宋_GB2312" w:eastAsia="仿宋_GB2312" w:cs="仿宋_GB2312"/>
          <w:b w:val="0"/>
          <w:bCs w:val="0"/>
          <w:color w:val="auto"/>
          <w:kern w:val="0"/>
          <w:sz w:val="32"/>
          <w:szCs w:val="32"/>
          <w:highlight w:val="none"/>
          <w:shd w:val="clear" w:color="auto" w:fill="FFFFFF"/>
          <w:lang w:val="en-US" w:eastAsia="zh-CN"/>
        </w:rPr>
        <w:t>一是</w:t>
      </w:r>
      <w:r>
        <w:rPr>
          <w:rFonts w:hint="eastAsia" w:ascii="仿宋_GB2312" w:hAnsi="仿宋_GB2312" w:eastAsia="仿宋_GB2312" w:cs="仿宋_GB2312"/>
          <w:b w:val="0"/>
          <w:bCs w:val="0"/>
          <w:color w:val="auto"/>
          <w:sz w:val="32"/>
          <w:szCs w:val="32"/>
        </w:rPr>
        <w:t>虽然制定了预算绩效管理制度体系，但相关工作流程和操作细节需进一</w:t>
      </w:r>
      <w:r>
        <w:rPr>
          <w:rFonts w:hint="eastAsia" w:ascii="仿宋_GB2312" w:hAnsi="仿宋_GB2312" w:eastAsia="仿宋_GB2312" w:cs="仿宋_GB2312"/>
          <w:color w:val="auto"/>
          <w:sz w:val="32"/>
          <w:szCs w:val="32"/>
        </w:rPr>
        <w:t>步规范。</w:t>
      </w:r>
      <w:r>
        <w:rPr>
          <w:rFonts w:hint="eastAsia" w:ascii="仿宋_GB2312" w:hAnsi="仿宋_GB2312" w:eastAsia="仿宋_GB2312" w:cs="仿宋_GB2312"/>
          <w:color w:val="auto"/>
          <w:sz w:val="32"/>
          <w:szCs w:val="32"/>
          <w:lang w:val="en-US" w:eastAsia="zh-CN"/>
        </w:rPr>
        <w:t>二是</w:t>
      </w:r>
      <w:r>
        <w:rPr>
          <w:rFonts w:hint="eastAsia" w:ascii="仿宋_GB2312" w:hAnsi="仿宋_GB2312" w:eastAsia="仿宋_GB2312" w:cs="仿宋_GB2312"/>
          <w:color w:val="auto"/>
          <w:sz w:val="32"/>
          <w:szCs w:val="32"/>
        </w:rPr>
        <w:t>全面推进预算绩效管理工作待于进一步加强。</w:t>
      </w:r>
    </w:p>
    <w:p w14:paraId="298EA363">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楷体_GB2312" w:hAnsi="楷体_GB2312" w:eastAsia="楷体_GB2312" w:cs="楷体_GB2312"/>
          <w:b/>
          <w:bCs/>
          <w:color w:val="auto"/>
          <w:kern w:val="0"/>
          <w:sz w:val="32"/>
          <w:szCs w:val="32"/>
          <w:highlight w:val="none"/>
          <w:shd w:val="clear" w:color="auto" w:fill="FFFFFF"/>
          <w:lang w:val="zh-CN"/>
        </w:rPr>
      </w:pPr>
      <w:r>
        <w:rPr>
          <w:rFonts w:hint="eastAsia" w:ascii="楷体_GB2312" w:hAnsi="楷体_GB2312" w:eastAsia="楷体_GB2312" w:cs="楷体_GB2312"/>
          <w:b w:val="0"/>
          <w:bCs w:val="0"/>
          <w:color w:val="auto"/>
          <w:kern w:val="0"/>
          <w:sz w:val="32"/>
          <w:szCs w:val="32"/>
          <w:highlight w:val="none"/>
          <w:shd w:val="clear" w:color="auto" w:fill="FFFFFF"/>
          <w:lang w:val="zh-CN"/>
        </w:rPr>
        <w:t>（三）改进建议。</w:t>
      </w:r>
      <w:r>
        <w:rPr>
          <w:rFonts w:hint="eastAsia" w:ascii="仿宋_GB2312" w:hAnsi="仿宋_GB2312" w:eastAsia="仿宋_GB2312" w:cs="仿宋_GB2312"/>
          <w:b w:val="0"/>
          <w:bCs w:val="0"/>
          <w:color w:val="auto"/>
          <w:kern w:val="0"/>
          <w:sz w:val="32"/>
          <w:szCs w:val="32"/>
          <w:highlight w:val="none"/>
          <w:shd w:val="clear" w:color="auto" w:fill="FFFFFF"/>
          <w:lang w:val="en-US" w:eastAsia="zh-CN"/>
        </w:rPr>
        <w:t>一是</w:t>
      </w:r>
      <w:r>
        <w:rPr>
          <w:rFonts w:hint="eastAsia" w:ascii="仿宋_GB2312" w:hAnsi="仿宋_GB2312" w:eastAsia="仿宋_GB2312" w:cs="仿宋_GB2312"/>
          <w:b w:val="0"/>
          <w:bCs w:val="0"/>
          <w:color w:val="auto"/>
          <w:sz w:val="32"/>
          <w:szCs w:val="32"/>
        </w:rPr>
        <w:t>加强领导，精心组织，实现预算绩效目标全覆盖。</w:t>
      </w:r>
      <w:r>
        <w:rPr>
          <w:rFonts w:hint="eastAsia" w:ascii="仿宋_GB2312" w:hAnsi="仿宋_GB2312" w:eastAsia="仿宋_GB2312" w:cs="仿宋_GB2312"/>
          <w:b w:val="0"/>
          <w:bCs w:val="0"/>
          <w:color w:val="auto"/>
          <w:sz w:val="32"/>
          <w:szCs w:val="32"/>
          <w:lang w:val="en-US" w:eastAsia="zh-CN"/>
        </w:rPr>
        <w:t>二是</w:t>
      </w:r>
      <w:r>
        <w:rPr>
          <w:rFonts w:hint="eastAsia" w:ascii="仿宋_GB2312" w:hAnsi="仿宋_GB2312" w:eastAsia="仿宋_GB2312" w:cs="仿宋_GB2312"/>
          <w:b w:val="0"/>
          <w:bCs w:val="0"/>
          <w:color w:val="auto"/>
          <w:sz w:val="32"/>
          <w:szCs w:val="32"/>
        </w:rPr>
        <w:t>继续积极开展绩效自评工作，积极运用评价结果，提高资金使用效率。</w:t>
      </w:r>
      <w:r>
        <w:rPr>
          <w:rFonts w:hint="eastAsia" w:ascii="仿宋_GB2312" w:hAnsi="仿宋_GB2312" w:eastAsia="仿宋_GB2312" w:cs="仿宋_GB2312"/>
          <w:b w:val="0"/>
          <w:bCs w:val="0"/>
          <w:color w:val="auto"/>
          <w:sz w:val="32"/>
          <w:szCs w:val="32"/>
          <w:lang w:val="en-US" w:eastAsia="zh-CN"/>
        </w:rPr>
        <w:t>三是</w:t>
      </w:r>
      <w:r>
        <w:rPr>
          <w:rFonts w:hint="eastAsia" w:ascii="仿宋_GB2312" w:hAnsi="仿宋_GB2312" w:eastAsia="仿宋_GB2312" w:cs="仿宋_GB2312"/>
          <w:b w:val="0"/>
          <w:bCs w:val="0"/>
          <w:color w:val="auto"/>
          <w:sz w:val="32"/>
          <w:szCs w:val="32"/>
        </w:rPr>
        <w:t>进一步修订完善相关制度，推进制度落实。</w:t>
      </w:r>
      <w:r>
        <w:rPr>
          <w:rFonts w:hint="eastAsia" w:ascii="仿宋_GB2312" w:hAnsi="仿宋_GB2312" w:eastAsia="仿宋_GB2312" w:cs="仿宋_GB2312"/>
          <w:b w:val="0"/>
          <w:bCs w:val="0"/>
          <w:color w:val="auto"/>
          <w:sz w:val="32"/>
          <w:szCs w:val="32"/>
          <w:lang w:val="en-US" w:eastAsia="zh-CN"/>
        </w:rPr>
        <w:t>四是</w:t>
      </w:r>
      <w:r>
        <w:rPr>
          <w:rFonts w:hint="eastAsia" w:ascii="仿宋_GB2312" w:hAnsi="仿宋_GB2312" w:eastAsia="仿宋_GB2312" w:cs="仿宋_GB2312"/>
          <w:b w:val="0"/>
          <w:bCs w:val="0"/>
          <w:color w:val="auto"/>
          <w:sz w:val="32"/>
          <w:szCs w:val="32"/>
        </w:rPr>
        <w:t>积极同财政部门沟通，寻求预算绩效管理工作业务指导和技术支撑。</w:t>
      </w:r>
    </w:p>
    <w:p w14:paraId="2BD72317">
      <w:pPr>
        <w:pStyle w:val="14"/>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auto"/>
          <w:sz w:val="32"/>
          <w:szCs w:val="32"/>
          <w:highlight w:val="none"/>
          <w:lang w:val="zh-CN" w:eastAsia="zh-CN"/>
        </w:rPr>
      </w:pPr>
    </w:p>
    <w:p w14:paraId="7DD95DC8">
      <w:pPr>
        <w:pStyle w:val="14"/>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auto"/>
          <w:sz w:val="32"/>
          <w:szCs w:val="32"/>
          <w:highlight w:val="none"/>
          <w:lang w:val="zh-CN" w:eastAsia="zh-CN"/>
        </w:rPr>
      </w:pPr>
      <w:r>
        <w:rPr>
          <w:rFonts w:hint="eastAsia" w:ascii="仿宋_GB2312" w:hAnsi="仿宋_GB2312" w:eastAsia="仿宋_GB2312" w:cs="仿宋_GB2312"/>
          <w:color w:val="auto"/>
          <w:sz w:val="32"/>
          <w:szCs w:val="32"/>
          <w:highlight w:val="none"/>
          <w:lang w:val="zh-CN" w:eastAsia="zh-CN"/>
        </w:rPr>
        <w:t>附表：</w:t>
      </w:r>
      <w:r>
        <w:rPr>
          <w:rFonts w:hint="eastAsia" w:hAnsi="仿宋_GB2312" w:eastAsia="仿宋_GB2312" w:cs="仿宋_GB2312"/>
          <w:color w:val="auto"/>
          <w:sz w:val="32"/>
          <w:szCs w:val="32"/>
          <w:highlight w:val="none"/>
          <w:lang w:val="zh-CN" w:eastAsia="zh-CN"/>
        </w:rPr>
        <w:t>单位</w:t>
      </w:r>
      <w:r>
        <w:rPr>
          <w:rFonts w:hint="eastAsia" w:ascii="仿宋_GB2312" w:hAnsi="仿宋_GB2312" w:eastAsia="仿宋_GB2312" w:cs="仿宋_GB2312"/>
          <w:color w:val="auto"/>
          <w:sz w:val="32"/>
          <w:szCs w:val="32"/>
          <w:highlight w:val="none"/>
          <w:lang w:val="en-US" w:eastAsia="zh-CN"/>
        </w:rPr>
        <w:t>预算项目支出绩效自评表（202</w:t>
      </w:r>
      <w:r>
        <w:rPr>
          <w:rFonts w:hint="eastAsia"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lang w:val="en-US" w:eastAsia="zh-CN"/>
        </w:rPr>
        <w:t>年度）</w:t>
      </w:r>
    </w:p>
    <w:p w14:paraId="07D3F668">
      <w:pPr>
        <w:spacing w:line="580" w:lineRule="exact"/>
        <w:rPr>
          <w:rStyle w:val="28"/>
          <w:rFonts w:ascii="黑体" w:hAnsi="黑体" w:eastAsia="黑体"/>
          <w:b w:val="0"/>
          <w:color w:val="auto"/>
          <w:highlight w:val="none"/>
        </w:rPr>
      </w:pPr>
    </w:p>
    <w:p w14:paraId="5FDB7720">
      <w:pPr>
        <w:widowControl/>
        <w:jc w:val="left"/>
        <w:rPr>
          <w:rStyle w:val="28"/>
          <w:rFonts w:ascii="黑体" w:hAnsi="黑体" w:eastAsia="黑体"/>
          <w:b w:val="0"/>
          <w:color w:val="auto"/>
          <w:highlight w:val="none"/>
        </w:rPr>
      </w:pPr>
      <w:r>
        <w:rPr>
          <w:rStyle w:val="28"/>
          <w:rFonts w:ascii="黑体" w:hAnsi="黑体" w:eastAsia="黑体"/>
          <w:b w:val="0"/>
          <w:color w:val="auto"/>
          <w:highlight w:val="none"/>
        </w:rPr>
        <w:br w:type="page"/>
      </w:r>
    </w:p>
    <w:p w14:paraId="67784631">
      <w:pPr>
        <w:spacing w:line="600" w:lineRule="exact"/>
        <w:jc w:val="center"/>
        <w:outlineLvl w:val="0"/>
        <w:rPr>
          <w:rFonts w:hint="eastAsia" w:ascii="仿宋" w:hAnsi="仿宋" w:eastAsia="仿宋"/>
          <w:b w:val="0"/>
          <w:color w:val="auto"/>
          <w:highlight w:val="none"/>
        </w:rPr>
      </w:pPr>
      <w:bookmarkStart w:id="76" w:name="_Toc15396618"/>
      <w:bookmarkStart w:id="77" w:name="_Toc17882"/>
      <w:r>
        <w:rPr>
          <w:rFonts w:hint="eastAsia" w:ascii="黑体" w:hAnsi="黑体" w:eastAsia="黑体"/>
          <w:color w:val="auto"/>
          <w:sz w:val="44"/>
          <w:szCs w:val="44"/>
          <w:highlight w:val="none"/>
        </w:rPr>
        <w:t>第</w:t>
      </w:r>
      <w:r>
        <w:rPr>
          <w:rStyle w:val="28"/>
          <w:rFonts w:hint="eastAsia" w:ascii="黑体" w:hAnsi="黑体" w:eastAsia="黑体"/>
          <w:b w:val="0"/>
          <w:color w:val="auto"/>
          <w:highlight w:val="none"/>
        </w:rPr>
        <w:t>五部分 附表</w:t>
      </w:r>
      <w:bookmarkEnd w:id="73"/>
      <w:bookmarkEnd w:id="76"/>
      <w:bookmarkEnd w:id="77"/>
      <w:bookmarkStart w:id="78" w:name="_Toc15396619"/>
    </w:p>
    <w:p w14:paraId="29703721">
      <w:pPr>
        <w:pStyle w:val="4"/>
        <w:rPr>
          <w:rFonts w:ascii="仿宋" w:hAnsi="仿宋" w:eastAsia="仿宋"/>
          <w:color w:val="auto"/>
          <w:highlight w:val="none"/>
        </w:rPr>
      </w:pPr>
      <w:bookmarkStart w:id="79" w:name="_Toc2748"/>
      <w:r>
        <w:rPr>
          <w:rFonts w:hint="eastAsia" w:ascii="仿宋" w:hAnsi="仿宋" w:eastAsia="仿宋"/>
          <w:b w:val="0"/>
          <w:color w:val="auto"/>
          <w:highlight w:val="none"/>
        </w:rPr>
        <w:t>一、收</w:t>
      </w:r>
      <w:r>
        <w:rPr>
          <w:rStyle w:val="29"/>
          <w:rFonts w:hint="eastAsia" w:ascii="仿宋" w:hAnsi="仿宋" w:eastAsia="仿宋"/>
          <w:b w:val="0"/>
          <w:bCs w:val="0"/>
          <w:color w:val="auto"/>
          <w:highlight w:val="none"/>
        </w:rPr>
        <w:t>入支出决算总表</w:t>
      </w:r>
      <w:bookmarkEnd w:id="78"/>
      <w:bookmarkEnd w:id="79"/>
    </w:p>
    <w:p w14:paraId="2DEAAF9E">
      <w:pPr>
        <w:pStyle w:val="4"/>
        <w:rPr>
          <w:rFonts w:ascii="仿宋" w:hAnsi="仿宋" w:eastAsia="仿宋"/>
          <w:color w:val="auto"/>
          <w:highlight w:val="none"/>
        </w:rPr>
      </w:pPr>
      <w:bookmarkStart w:id="80" w:name="_Toc15396620"/>
      <w:bookmarkStart w:id="81" w:name="_Toc13204"/>
      <w:r>
        <w:rPr>
          <w:rFonts w:hint="eastAsia" w:ascii="仿宋" w:hAnsi="仿宋" w:eastAsia="仿宋"/>
          <w:b w:val="0"/>
          <w:color w:val="auto"/>
          <w:highlight w:val="none"/>
        </w:rPr>
        <w:t>二、收</w:t>
      </w:r>
      <w:r>
        <w:rPr>
          <w:rStyle w:val="29"/>
          <w:rFonts w:hint="eastAsia" w:ascii="仿宋" w:hAnsi="仿宋" w:eastAsia="仿宋"/>
          <w:b w:val="0"/>
          <w:bCs w:val="0"/>
          <w:color w:val="auto"/>
          <w:highlight w:val="none"/>
        </w:rPr>
        <w:t>入决算表</w:t>
      </w:r>
      <w:bookmarkEnd w:id="80"/>
      <w:bookmarkEnd w:id="81"/>
    </w:p>
    <w:p w14:paraId="77D24CC4">
      <w:pPr>
        <w:pStyle w:val="4"/>
        <w:rPr>
          <w:rFonts w:ascii="仿宋" w:hAnsi="仿宋" w:eastAsia="仿宋"/>
          <w:color w:val="auto"/>
          <w:highlight w:val="none"/>
        </w:rPr>
      </w:pPr>
      <w:bookmarkStart w:id="82" w:name="_Toc15396621"/>
      <w:bookmarkStart w:id="83" w:name="_Toc5699"/>
      <w:r>
        <w:rPr>
          <w:rStyle w:val="29"/>
          <w:rFonts w:hint="eastAsia" w:ascii="仿宋" w:hAnsi="仿宋" w:eastAsia="仿宋"/>
          <w:b w:val="0"/>
          <w:bCs w:val="0"/>
          <w:color w:val="auto"/>
          <w:highlight w:val="none"/>
        </w:rPr>
        <w:t>三、</w:t>
      </w:r>
      <w:r>
        <w:rPr>
          <w:rFonts w:hint="eastAsia" w:ascii="仿宋" w:hAnsi="仿宋" w:eastAsia="仿宋"/>
          <w:b w:val="0"/>
          <w:color w:val="auto"/>
          <w:highlight w:val="none"/>
        </w:rPr>
        <w:t>支</w:t>
      </w:r>
      <w:r>
        <w:rPr>
          <w:rStyle w:val="29"/>
          <w:rFonts w:hint="eastAsia" w:ascii="仿宋" w:hAnsi="仿宋" w:eastAsia="仿宋"/>
          <w:b w:val="0"/>
          <w:bCs w:val="0"/>
          <w:color w:val="auto"/>
          <w:highlight w:val="none"/>
        </w:rPr>
        <w:t>出决算表</w:t>
      </w:r>
      <w:bookmarkEnd w:id="82"/>
      <w:bookmarkEnd w:id="83"/>
    </w:p>
    <w:p w14:paraId="0137DAB5">
      <w:pPr>
        <w:pStyle w:val="4"/>
        <w:rPr>
          <w:rFonts w:ascii="仿宋" w:hAnsi="仿宋" w:eastAsia="仿宋"/>
          <w:b w:val="0"/>
          <w:color w:val="auto"/>
          <w:highlight w:val="none"/>
        </w:rPr>
      </w:pPr>
      <w:bookmarkStart w:id="84" w:name="_Toc15396622"/>
      <w:bookmarkStart w:id="85" w:name="_Toc19326"/>
      <w:r>
        <w:rPr>
          <w:rStyle w:val="29"/>
          <w:rFonts w:hint="eastAsia" w:ascii="仿宋" w:hAnsi="仿宋" w:eastAsia="仿宋"/>
          <w:b w:val="0"/>
          <w:bCs w:val="0"/>
          <w:color w:val="auto"/>
          <w:highlight w:val="none"/>
        </w:rPr>
        <w:t>四、</w:t>
      </w:r>
      <w:r>
        <w:rPr>
          <w:rFonts w:hint="eastAsia" w:ascii="仿宋" w:hAnsi="仿宋" w:eastAsia="仿宋"/>
          <w:b w:val="0"/>
          <w:color w:val="auto"/>
          <w:highlight w:val="none"/>
        </w:rPr>
        <w:t>财</w:t>
      </w:r>
      <w:r>
        <w:rPr>
          <w:rStyle w:val="29"/>
          <w:rFonts w:hint="eastAsia" w:ascii="仿宋" w:hAnsi="仿宋" w:eastAsia="仿宋"/>
          <w:b w:val="0"/>
          <w:bCs w:val="0"/>
          <w:color w:val="auto"/>
          <w:highlight w:val="none"/>
        </w:rPr>
        <w:t>政拨款收入支出决算总表</w:t>
      </w:r>
      <w:bookmarkEnd w:id="84"/>
      <w:bookmarkEnd w:id="85"/>
    </w:p>
    <w:p w14:paraId="362F1CE7">
      <w:pPr>
        <w:pStyle w:val="4"/>
        <w:rPr>
          <w:rStyle w:val="29"/>
          <w:rFonts w:ascii="仿宋" w:hAnsi="仿宋" w:eastAsia="仿宋"/>
          <w:b w:val="0"/>
          <w:bCs w:val="0"/>
          <w:color w:val="auto"/>
          <w:highlight w:val="none"/>
        </w:rPr>
      </w:pPr>
      <w:bookmarkStart w:id="86" w:name="_Toc15396623"/>
      <w:bookmarkStart w:id="87" w:name="_Toc29994"/>
      <w:r>
        <w:rPr>
          <w:rStyle w:val="29"/>
          <w:rFonts w:hint="eastAsia" w:ascii="仿宋" w:hAnsi="仿宋" w:eastAsia="仿宋"/>
          <w:b w:val="0"/>
          <w:bCs w:val="0"/>
          <w:color w:val="auto"/>
          <w:highlight w:val="none"/>
        </w:rPr>
        <w:t>五、</w:t>
      </w:r>
      <w:r>
        <w:rPr>
          <w:rFonts w:hint="eastAsia" w:ascii="仿宋" w:hAnsi="仿宋" w:eastAsia="仿宋"/>
          <w:b w:val="0"/>
          <w:color w:val="auto"/>
          <w:highlight w:val="none"/>
        </w:rPr>
        <w:t>财</w:t>
      </w:r>
      <w:r>
        <w:rPr>
          <w:rStyle w:val="29"/>
          <w:rFonts w:hint="eastAsia" w:ascii="仿宋" w:hAnsi="仿宋" w:eastAsia="仿宋"/>
          <w:b w:val="0"/>
          <w:bCs w:val="0"/>
          <w:color w:val="auto"/>
          <w:highlight w:val="none"/>
        </w:rPr>
        <w:t>政拨款支出决算明细表</w:t>
      </w:r>
      <w:bookmarkEnd w:id="86"/>
      <w:bookmarkEnd w:id="87"/>
      <w:bookmarkStart w:id="88" w:name="_Toc15396624"/>
    </w:p>
    <w:p w14:paraId="4DF544C5">
      <w:pPr>
        <w:pStyle w:val="4"/>
        <w:rPr>
          <w:rFonts w:ascii="仿宋" w:hAnsi="仿宋" w:eastAsia="仿宋"/>
          <w:color w:val="auto"/>
          <w:highlight w:val="none"/>
        </w:rPr>
      </w:pPr>
      <w:bookmarkStart w:id="89" w:name="_Toc14463"/>
      <w:r>
        <w:rPr>
          <w:rStyle w:val="29"/>
          <w:rFonts w:hint="eastAsia" w:ascii="仿宋" w:hAnsi="仿宋" w:eastAsia="仿宋"/>
          <w:b w:val="0"/>
          <w:bCs w:val="0"/>
          <w:color w:val="auto"/>
          <w:highlight w:val="none"/>
        </w:rPr>
        <w:t>六、</w:t>
      </w:r>
      <w:r>
        <w:rPr>
          <w:rFonts w:hint="eastAsia" w:ascii="仿宋" w:hAnsi="仿宋" w:eastAsia="仿宋"/>
          <w:b w:val="0"/>
          <w:color w:val="auto"/>
          <w:highlight w:val="none"/>
        </w:rPr>
        <w:t>一</w:t>
      </w:r>
      <w:r>
        <w:rPr>
          <w:rStyle w:val="29"/>
          <w:rFonts w:hint="eastAsia" w:ascii="仿宋" w:hAnsi="仿宋" w:eastAsia="仿宋"/>
          <w:b w:val="0"/>
          <w:bCs w:val="0"/>
          <w:color w:val="auto"/>
          <w:highlight w:val="none"/>
        </w:rPr>
        <w:t>般公共预算财政拨款支出决算表</w:t>
      </w:r>
      <w:bookmarkEnd w:id="88"/>
      <w:bookmarkEnd w:id="89"/>
    </w:p>
    <w:p w14:paraId="63EF6579">
      <w:pPr>
        <w:pStyle w:val="4"/>
        <w:rPr>
          <w:rFonts w:ascii="仿宋" w:hAnsi="仿宋" w:eastAsia="仿宋"/>
          <w:color w:val="auto"/>
          <w:highlight w:val="none"/>
        </w:rPr>
      </w:pPr>
      <w:bookmarkStart w:id="90" w:name="_Toc15396625"/>
      <w:bookmarkStart w:id="91" w:name="_Toc6175"/>
      <w:r>
        <w:rPr>
          <w:rStyle w:val="29"/>
          <w:rFonts w:hint="eastAsia" w:ascii="仿宋" w:hAnsi="仿宋" w:eastAsia="仿宋"/>
          <w:b w:val="0"/>
          <w:bCs w:val="0"/>
          <w:color w:val="auto"/>
          <w:highlight w:val="none"/>
        </w:rPr>
        <w:t>七、</w:t>
      </w:r>
      <w:r>
        <w:rPr>
          <w:rFonts w:hint="eastAsia" w:ascii="仿宋" w:hAnsi="仿宋" w:eastAsia="仿宋"/>
          <w:b w:val="0"/>
          <w:color w:val="auto"/>
          <w:highlight w:val="none"/>
        </w:rPr>
        <w:t>一</w:t>
      </w:r>
      <w:r>
        <w:rPr>
          <w:rStyle w:val="29"/>
          <w:rFonts w:hint="eastAsia" w:ascii="仿宋" w:hAnsi="仿宋" w:eastAsia="仿宋"/>
          <w:b w:val="0"/>
          <w:bCs w:val="0"/>
          <w:color w:val="auto"/>
          <w:highlight w:val="none"/>
        </w:rPr>
        <w:t>般公共预算财政拨款支出决算明细表</w:t>
      </w:r>
      <w:bookmarkEnd w:id="90"/>
      <w:bookmarkEnd w:id="91"/>
    </w:p>
    <w:p w14:paraId="3DA8C23A">
      <w:pPr>
        <w:pStyle w:val="4"/>
        <w:rPr>
          <w:rFonts w:ascii="仿宋" w:hAnsi="仿宋" w:eastAsia="仿宋"/>
          <w:color w:val="auto"/>
          <w:highlight w:val="none"/>
        </w:rPr>
      </w:pPr>
      <w:bookmarkStart w:id="92" w:name="_Toc15396626"/>
      <w:bookmarkStart w:id="93" w:name="_Toc31825"/>
      <w:r>
        <w:rPr>
          <w:rStyle w:val="29"/>
          <w:rFonts w:hint="eastAsia" w:ascii="仿宋" w:hAnsi="仿宋" w:eastAsia="仿宋"/>
          <w:b w:val="0"/>
          <w:bCs w:val="0"/>
          <w:color w:val="auto"/>
          <w:highlight w:val="none"/>
        </w:rPr>
        <w:t>八、</w:t>
      </w:r>
      <w:r>
        <w:rPr>
          <w:rFonts w:hint="eastAsia" w:ascii="仿宋" w:hAnsi="仿宋" w:eastAsia="仿宋"/>
          <w:b w:val="0"/>
          <w:color w:val="auto"/>
          <w:highlight w:val="none"/>
        </w:rPr>
        <w:t>一</w:t>
      </w:r>
      <w:r>
        <w:rPr>
          <w:rStyle w:val="29"/>
          <w:rFonts w:hint="eastAsia" w:ascii="仿宋" w:hAnsi="仿宋" w:eastAsia="仿宋"/>
          <w:b w:val="0"/>
          <w:bCs w:val="0"/>
          <w:color w:val="auto"/>
          <w:highlight w:val="none"/>
        </w:rPr>
        <w:t>般公共预算财政拨款基本支出决算表</w:t>
      </w:r>
      <w:bookmarkEnd w:id="92"/>
      <w:bookmarkEnd w:id="93"/>
    </w:p>
    <w:p w14:paraId="42485D3F">
      <w:pPr>
        <w:pStyle w:val="4"/>
        <w:rPr>
          <w:rFonts w:ascii="仿宋" w:hAnsi="仿宋" w:eastAsia="仿宋"/>
          <w:color w:val="auto"/>
          <w:highlight w:val="none"/>
        </w:rPr>
      </w:pPr>
      <w:bookmarkStart w:id="94" w:name="_Toc15396627"/>
      <w:bookmarkStart w:id="95" w:name="_Toc1717"/>
      <w:r>
        <w:rPr>
          <w:rStyle w:val="29"/>
          <w:rFonts w:hint="eastAsia" w:ascii="仿宋" w:hAnsi="仿宋" w:eastAsia="仿宋"/>
          <w:b w:val="0"/>
          <w:bCs w:val="0"/>
          <w:color w:val="auto"/>
          <w:highlight w:val="none"/>
        </w:rPr>
        <w:t>九、</w:t>
      </w:r>
      <w:r>
        <w:rPr>
          <w:rFonts w:hint="eastAsia" w:ascii="仿宋" w:hAnsi="仿宋" w:eastAsia="仿宋"/>
          <w:b w:val="0"/>
          <w:color w:val="auto"/>
          <w:highlight w:val="none"/>
        </w:rPr>
        <w:t>一</w:t>
      </w:r>
      <w:r>
        <w:rPr>
          <w:rStyle w:val="29"/>
          <w:rFonts w:hint="eastAsia" w:ascii="仿宋" w:hAnsi="仿宋" w:eastAsia="仿宋"/>
          <w:b w:val="0"/>
          <w:bCs w:val="0"/>
          <w:color w:val="auto"/>
          <w:highlight w:val="none"/>
        </w:rPr>
        <w:t>般公共预算财政拨款项目支出决算表</w:t>
      </w:r>
      <w:bookmarkEnd w:id="94"/>
      <w:bookmarkEnd w:id="95"/>
    </w:p>
    <w:p w14:paraId="79CB0FDC">
      <w:pPr>
        <w:pStyle w:val="4"/>
        <w:rPr>
          <w:rFonts w:ascii="仿宋" w:hAnsi="仿宋" w:eastAsia="仿宋"/>
          <w:color w:val="auto"/>
          <w:highlight w:val="none"/>
        </w:rPr>
      </w:pPr>
      <w:bookmarkStart w:id="96" w:name="_Toc15396628"/>
      <w:bookmarkStart w:id="97" w:name="_Toc16911"/>
      <w:r>
        <w:rPr>
          <w:rStyle w:val="29"/>
          <w:rFonts w:hint="eastAsia" w:ascii="仿宋" w:hAnsi="仿宋" w:eastAsia="仿宋"/>
          <w:b w:val="0"/>
          <w:bCs w:val="0"/>
          <w:color w:val="auto"/>
          <w:highlight w:val="none"/>
        </w:rPr>
        <w:t>十、</w:t>
      </w:r>
      <w:bookmarkEnd w:id="96"/>
      <w:r>
        <w:rPr>
          <w:rFonts w:hint="eastAsia" w:ascii="仿宋" w:hAnsi="仿宋" w:eastAsia="仿宋"/>
          <w:b w:val="0"/>
          <w:color w:val="auto"/>
          <w:highlight w:val="none"/>
        </w:rPr>
        <w:t>政</w:t>
      </w:r>
      <w:r>
        <w:rPr>
          <w:rStyle w:val="29"/>
          <w:rFonts w:hint="eastAsia" w:ascii="仿宋" w:hAnsi="仿宋" w:eastAsia="仿宋"/>
          <w:b w:val="0"/>
          <w:bCs w:val="0"/>
          <w:color w:val="auto"/>
          <w:highlight w:val="none"/>
        </w:rPr>
        <w:t>府性基金预算财政拨款收入支出决算表</w:t>
      </w:r>
      <w:bookmarkEnd w:id="97"/>
    </w:p>
    <w:p w14:paraId="4EB27FE4">
      <w:pPr>
        <w:pStyle w:val="4"/>
        <w:rPr>
          <w:rFonts w:ascii="仿宋" w:hAnsi="仿宋" w:eastAsia="仿宋"/>
          <w:color w:val="auto"/>
          <w:highlight w:val="none"/>
        </w:rPr>
      </w:pPr>
      <w:bookmarkStart w:id="98" w:name="_Toc15396629"/>
      <w:bookmarkStart w:id="99" w:name="_Toc16931"/>
      <w:r>
        <w:rPr>
          <w:rStyle w:val="29"/>
          <w:rFonts w:hint="eastAsia" w:ascii="仿宋" w:hAnsi="仿宋" w:eastAsia="仿宋"/>
          <w:b w:val="0"/>
          <w:bCs w:val="0"/>
          <w:color w:val="auto"/>
          <w:highlight w:val="none"/>
        </w:rPr>
        <w:t>十一、</w:t>
      </w:r>
      <w:bookmarkEnd w:id="98"/>
      <w:r>
        <w:rPr>
          <w:rFonts w:hint="eastAsia" w:ascii="仿宋" w:hAnsi="仿宋" w:eastAsia="仿宋"/>
          <w:b w:val="0"/>
          <w:color w:val="auto"/>
          <w:highlight w:val="none"/>
        </w:rPr>
        <w:t>国</w:t>
      </w:r>
      <w:r>
        <w:rPr>
          <w:rStyle w:val="29"/>
          <w:rFonts w:hint="eastAsia" w:ascii="仿宋" w:hAnsi="仿宋" w:eastAsia="仿宋"/>
          <w:b w:val="0"/>
          <w:bCs w:val="0"/>
          <w:color w:val="auto"/>
          <w:highlight w:val="none"/>
        </w:rPr>
        <w:t>有资本经营预算</w:t>
      </w:r>
      <w:r>
        <w:rPr>
          <w:rStyle w:val="29"/>
          <w:rFonts w:hint="eastAsia" w:ascii="仿宋" w:hAnsi="仿宋" w:eastAsia="仿宋"/>
          <w:b w:val="0"/>
          <w:bCs w:val="0"/>
          <w:color w:val="auto"/>
          <w:highlight w:val="none"/>
          <w:lang w:eastAsia="zh-CN"/>
        </w:rPr>
        <w:t>财政拨款收入</w:t>
      </w:r>
      <w:r>
        <w:rPr>
          <w:rStyle w:val="29"/>
          <w:rFonts w:hint="eastAsia" w:ascii="仿宋" w:hAnsi="仿宋" w:eastAsia="仿宋"/>
          <w:b w:val="0"/>
          <w:bCs w:val="0"/>
          <w:color w:val="auto"/>
          <w:highlight w:val="none"/>
        </w:rPr>
        <w:t>支出决算表</w:t>
      </w:r>
      <w:bookmarkEnd w:id="99"/>
    </w:p>
    <w:p w14:paraId="4499DA18">
      <w:pPr>
        <w:pStyle w:val="4"/>
        <w:rPr>
          <w:rFonts w:ascii="仿宋" w:hAnsi="仿宋" w:eastAsia="仿宋"/>
          <w:color w:val="auto"/>
          <w:highlight w:val="none"/>
        </w:rPr>
      </w:pPr>
      <w:bookmarkStart w:id="100" w:name="_Toc15396630"/>
      <w:bookmarkStart w:id="101" w:name="_Toc9839"/>
      <w:r>
        <w:rPr>
          <w:rStyle w:val="29"/>
          <w:rFonts w:hint="eastAsia" w:ascii="仿宋" w:hAnsi="仿宋" w:eastAsia="仿宋"/>
          <w:b w:val="0"/>
          <w:bCs w:val="0"/>
          <w:color w:val="auto"/>
          <w:highlight w:val="none"/>
        </w:rPr>
        <w:t>十二、</w:t>
      </w:r>
      <w:bookmarkEnd w:id="100"/>
      <w:r>
        <w:rPr>
          <w:rStyle w:val="29"/>
          <w:rFonts w:hint="eastAsia" w:ascii="仿宋" w:hAnsi="仿宋" w:eastAsia="仿宋"/>
          <w:b w:val="0"/>
          <w:bCs w:val="0"/>
          <w:color w:val="auto"/>
          <w:highlight w:val="none"/>
          <w:lang w:eastAsia="zh-CN"/>
        </w:rPr>
        <w:t>国有资本经营预算财政拨款支出决算表</w:t>
      </w:r>
      <w:bookmarkEnd w:id="101"/>
    </w:p>
    <w:p w14:paraId="6AE976CA">
      <w:pPr>
        <w:pStyle w:val="4"/>
        <w:rPr>
          <w:rFonts w:hint="eastAsia" w:eastAsia="仿宋"/>
          <w:color w:val="auto"/>
          <w:highlight w:val="none"/>
          <w:lang w:eastAsia="zh-CN"/>
        </w:rPr>
      </w:pPr>
      <w:bookmarkStart w:id="102" w:name="_Toc15396631"/>
      <w:bookmarkStart w:id="103" w:name="_Toc6941"/>
      <w:r>
        <w:rPr>
          <w:rStyle w:val="29"/>
          <w:rFonts w:hint="eastAsia" w:ascii="仿宋" w:hAnsi="仿宋" w:eastAsia="仿宋"/>
          <w:b w:val="0"/>
          <w:bCs w:val="0"/>
          <w:color w:val="auto"/>
          <w:highlight w:val="none"/>
        </w:rPr>
        <w:t>十三、</w:t>
      </w:r>
      <w:bookmarkEnd w:id="102"/>
      <w:r>
        <w:rPr>
          <w:rStyle w:val="29"/>
          <w:rFonts w:hint="eastAsia" w:ascii="仿宋" w:hAnsi="仿宋" w:eastAsia="仿宋"/>
          <w:b w:val="0"/>
          <w:bCs w:val="0"/>
          <w:color w:val="auto"/>
          <w:highlight w:val="none"/>
          <w:lang w:eastAsia="zh-CN"/>
        </w:rPr>
        <w:t>财政拨款“三公”经费支出决算表</w:t>
      </w:r>
      <w:bookmarkEnd w:id="103"/>
    </w:p>
    <w:sectPr>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Times New Roman"/>
    <w:panose1 w:val="00000000000000000000"/>
    <w:charset w:val="00"/>
    <w:family w:val="roman"/>
    <w:pitch w:val="default"/>
    <w:sig w:usb0="00000000" w:usb1="00000000" w:usb2="00000000" w:usb3="00000000" w:csb0="00000000" w:csb1="00000000"/>
  </w:font>
  <w:font w:name="楷体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94781956"/>
    </w:sdtPr>
    <w:sdtContent>
      <w:p w14:paraId="555B9CDE">
        <w:pPr>
          <w:pStyle w:val="2"/>
          <w:jc w:val="center"/>
        </w:pPr>
        <w:r>
          <w:fldChar w:fldCharType="begin"/>
        </w:r>
        <w:r>
          <w:instrText xml:space="preserve">PAGE   \* MERGEFORMAT</w:instrText>
        </w:r>
        <w:r>
          <w:fldChar w:fldCharType="separate"/>
        </w:r>
        <w:r>
          <w:rPr>
            <w:lang w:val="zh-CN"/>
          </w:rPr>
          <w:t>8</w:t>
        </w:r>
        <w:r>
          <w:fldChar w:fldCharType="end"/>
        </w:r>
      </w:p>
    </w:sdtContent>
  </w:sdt>
  <w:p w14:paraId="4308811F">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ABFC02">
    <w:pPr>
      <w:pStyle w:val="1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652CEC"/>
    <w:multiLevelType w:val="singleLevel"/>
    <w:tmpl w:val="CF652CEC"/>
    <w:lvl w:ilvl="0" w:tentative="0">
      <w:start w:val="9"/>
      <w:numFmt w:val="chineseCounting"/>
      <w:suff w:val="nothing"/>
      <w:lvlText w:val="%1、"/>
      <w:lvlJc w:val="left"/>
      <w:rPr>
        <w:rFonts w:hint="eastAsia"/>
      </w:rPr>
    </w:lvl>
  </w:abstractNum>
  <w:abstractNum w:abstractNumId="1">
    <w:nsid w:val="E2FA047D"/>
    <w:multiLevelType w:val="singleLevel"/>
    <w:tmpl w:val="E2FA047D"/>
    <w:lvl w:ilvl="0" w:tentative="0">
      <w:start w:val="3"/>
      <w:numFmt w:val="chineseCounting"/>
      <w:suff w:val="space"/>
      <w:lvlText w:val="第%1部分"/>
      <w:lvlJc w:val="left"/>
      <w:rPr>
        <w:rFonts w:hint="eastAsia"/>
      </w:rPr>
    </w:lvl>
  </w:abstractNum>
  <w:abstractNum w:abstractNumId="2">
    <w:nsid w:val="FFF674BC"/>
    <w:multiLevelType w:val="singleLevel"/>
    <w:tmpl w:val="FFF674BC"/>
    <w:lvl w:ilvl="0" w:tentative="0">
      <w:start w:val="1"/>
      <w:numFmt w:val="chineseCounting"/>
      <w:suff w:val="nothing"/>
      <w:lvlText w:val="%1、"/>
      <w:lvlJc w:val="left"/>
      <w:rPr>
        <w:rFonts w:hint="eastAsia"/>
      </w:rPr>
    </w:lvl>
  </w:abstractNum>
  <w:abstractNum w:abstractNumId="3">
    <w:nsid w:val="1272550B"/>
    <w:multiLevelType w:val="multilevel"/>
    <w:tmpl w:val="1272550B"/>
    <w:lvl w:ilvl="0" w:tentative="0">
      <w:start w:val="1"/>
      <w:numFmt w:val="japaneseCounting"/>
      <w:lvlText w:val="%1、"/>
      <w:lvlJc w:val="left"/>
      <w:pPr>
        <w:ind w:left="1360" w:hanging="720"/>
      </w:pPr>
      <w:rPr>
        <w:rFonts w:hint="default"/>
        <w:b w:val="0"/>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RiOGVlNjM0ODc5ZGJhZTE2MGNkN2NhODRmZjA3MmUifQ=="/>
    <w:docVar w:name="KSO_WPS_MARK_KEY" w:val="4ecdc3e3-877f-4be2-b5a4-10e49676028c"/>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143E91"/>
    <w:rsid w:val="0525148D"/>
    <w:rsid w:val="060B21BA"/>
    <w:rsid w:val="066E0107"/>
    <w:rsid w:val="07996F6E"/>
    <w:rsid w:val="0A2032A3"/>
    <w:rsid w:val="0B3C0C6B"/>
    <w:rsid w:val="0C5E69F0"/>
    <w:rsid w:val="0F98263C"/>
    <w:rsid w:val="101860EC"/>
    <w:rsid w:val="10C055FF"/>
    <w:rsid w:val="110140BE"/>
    <w:rsid w:val="118107EC"/>
    <w:rsid w:val="125E2A50"/>
    <w:rsid w:val="13D50BC4"/>
    <w:rsid w:val="13DC16E8"/>
    <w:rsid w:val="16BB723D"/>
    <w:rsid w:val="1916326F"/>
    <w:rsid w:val="1B440441"/>
    <w:rsid w:val="1BE8440E"/>
    <w:rsid w:val="1D155CEE"/>
    <w:rsid w:val="1FCE70D7"/>
    <w:rsid w:val="1FF35744"/>
    <w:rsid w:val="23490DF7"/>
    <w:rsid w:val="23860B96"/>
    <w:rsid w:val="240371BF"/>
    <w:rsid w:val="24F417F3"/>
    <w:rsid w:val="276F51C0"/>
    <w:rsid w:val="28C640B7"/>
    <w:rsid w:val="29FD04D3"/>
    <w:rsid w:val="2C8A61B5"/>
    <w:rsid w:val="2DF04E50"/>
    <w:rsid w:val="2F040D46"/>
    <w:rsid w:val="2FCD127F"/>
    <w:rsid w:val="319F7F4E"/>
    <w:rsid w:val="3304709D"/>
    <w:rsid w:val="336408F2"/>
    <w:rsid w:val="36106E1A"/>
    <w:rsid w:val="36AA5135"/>
    <w:rsid w:val="376D39B2"/>
    <w:rsid w:val="37E16F03"/>
    <w:rsid w:val="38D469F0"/>
    <w:rsid w:val="3C070C68"/>
    <w:rsid w:val="3D567E34"/>
    <w:rsid w:val="3D98207C"/>
    <w:rsid w:val="3E7803D0"/>
    <w:rsid w:val="3E78745D"/>
    <w:rsid w:val="40152228"/>
    <w:rsid w:val="437202D9"/>
    <w:rsid w:val="44DF3D8B"/>
    <w:rsid w:val="44E268DA"/>
    <w:rsid w:val="44E90D0A"/>
    <w:rsid w:val="456D0411"/>
    <w:rsid w:val="477F7434"/>
    <w:rsid w:val="481300E2"/>
    <w:rsid w:val="4A627F82"/>
    <w:rsid w:val="4A9B157C"/>
    <w:rsid w:val="4B0E749A"/>
    <w:rsid w:val="4B4F25DA"/>
    <w:rsid w:val="4BE068DB"/>
    <w:rsid w:val="4D2F4427"/>
    <w:rsid w:val="4D577224"/>
    <w:rsid w:val="4EAB630A"/>
    <w:rsid w:val="4ECE2238"/>
    <w:rsid w:val="4F3F15AD"/>
    <w:rsid w:val="51D57A6A"/>
    <w:rsid w:val="521F264E"/>
    <w:rsid w:val="537E6D0A"/>
    <w:rsid w:val="53BD5351"/>
    <w:rsid w:val="547E240B"/>
    <w:rsid w:val="55A1172C"/>
    <w:rsid w:val="5AF92295"/>
    <w:rsid w:val="5CD71FC4"/>
    <w:rsid w:val="610F71DF"/>
    <w:rsid w:val="6A4C246D"/>
    <w:rsid w:val="6C186A79"/>
    <w:rsid w:val="6C4A05C8"/>
    <w:rsid w:val="6E7E3605"/>
    <w:rsid w:val="6FF5CC65"/>
    <w:rsid w:val="715C0E4B"/>
    <w:rsid w:val="71777CD5"/>
    <w:rsid w:val="72734D90"/>
    <w:rsid w:val="73AD73D5"/>
    <w:rsid w:val="73B6EB34"/>
    <w:rsid w:val="744731E5"/>
    <w:rsid w:val="763D0E14"/>
    <w:rsid w:val="76E3355F"/>
    <w:rsid w:val="778769C8"/>
    <w:rsid w:val="79EE5BA4"/>
    <w:rsid w:val="7A894339"/>
    <w:rsid w:val="7EEF11D3"/>
    <w:rsid w:val="7FA30C79"/>
    <w:rsid w:val="7FB7269E"/>
    <w:rsid w:val="7FC96657"/>
    <w:rsid w:val="D8D6DB89"/>
    <w:rsid w:val="DB6F4CAB"/>
    <w:rsid w:val="DF6F978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6">
    <w:name w:val="Body Text"/>
    <w:basedOn w:val="1"/>
    <w:link w:val="25"/>
    <w:qFormat/>
    <w:uiPriority w:val="99"/>
    <w:pPr>
      <w:spacing w:beforeLines="30"/>
    </w:pPr>
    <w:rPr>
      <w:rFonts w:ascii="仿宋_GB2312" w:eastAsia="仿宋_GB2312"/>
      <w:kern w:val="0"/>
      <w:sz w:val="30"/>
    </w:rPr>
  </w:style>
  <w:style w:type="paragraph" w:styleId="7">
    <w:name w:val="Body Text Indent"/>
    <w:basedOn w:val="1"/>
    <w:qFormat/>
    <w:uiPriority w:val="0"/>
    <w:pPr>
      <w:spacing w:after="120"/>
      <w:ind w:leftChars="200"/>
    </w:pPr>
    <w:rPr>
      <w:rFonts w:ascii="仿宋_GB2312"/>
      <w:szCs w:val="32"/>
    </w:r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1"/>
    <w:semiHidden/>
    <w:unhideWhenUsed/>
    <w:qFormat/>
    <w:uiPriority w:val="99"/>
    <w:rPr>
      <w:sz w:val="18"/>
      <w:szCs w:val="18"/>
    </w:rPr>
  </w:style>
  <w:style w:type="paragraph" w:styleId="10">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1">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2">
    <w:name w:val="toc 2"/>
    <w:basedOn w:val="1"/>
    <w:next w:val="1"/>
    <w:unhideWhenUsed/>
    <w:qFormat/>
    <w:uiPriority w:val="39"/>
    <w:pPr>
      <w:tabs>
        <w:tab w:val="right" w:leader="dot" w:pos="8296"/>
      </w:tabs>
      <w:ind w:left="420" w:leftChars="200"/>
    </w:pPr>
  </w:style>
  <w:style w:type="paragraph" w:styleId="13">
    <w:name w:val="Normal (Web)"/>
    <w:basedOn w:val="1"/>
    <w:qFormat/>
    <w:uiPriority w:val="0"/>
    <w:pPr>
      <w:widowControl/>
      <w:spacing w:before="100" w:beforeAutospacing="1" w:after="100" w:afterAutospacing="1"/>
      <w:jc w:val="left"/>
    </w:pPr>
    <w:rPr>
      <w:rFonts w:ascii="宋体" w:hAnsi="宋体" w:cs="宋体"/>
      <w:kern w:val="0"/>
      <w:sz w:val="24"/>
      <w:szCs w:val="24"/>
    </w:rPr>
  </w:style>
  <w:style w:type="paragraph" w:styleId="14">
    <w:name w:val="Body Text First Indent 2"/>
    <w:basedOn w:val="7"/>
    <w:unhideWhenUsed/>
    <w:qFormat/>
    <w:uiPriority w:val="99"/>
    <w:pPr>
      <w:ind w:firstLine="420" w:firstLine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0"/>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2"/>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6"/>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3"/>
    <w:qFormat/>
    <w:uiPriority w:val="9"/>
    <w:rPr>
      <w:rFonts w:ascii="Times New Roman" w:hAnsi="Times New Roman"/>
      <w:b/>
      <w:bCs/>
      <w:kern w:val="44"/>
      <w:sz w:val="44"/>
      <w:szCs w:val="44"/>
    </w:rPr>
  </w:style>
  <w:style w:type="character" w:customStyle="1" w:styleId="29">
    <w:name w:val="标题 2 Char"/>
    <w:basedOn w:val="16"/>
    <w:link w:val="4"/>
    <w:qFormat/>
    <w:uiPriority w:val="9"/>
    <w:rPr>
      <w:rFonts w:asciiTheme="majorHAnsi" w:hAnsiTheme="majorHAnsi" w:eastAsiaTheme="majorEastAsia" w:cstheme="majorBidi"/>
      <w:b/>
      <w:bCs/>
      <w:kern w:val="2"/>
      <w:sz w:val="32"/>
      <w:szCs w:val="32"/>
    </w:rPr>
  </w:style>
  <w:style w:type="paragraph" w:customStyle="1" w:styleId="30">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9"/>
    <w:semiHidden/>
    <w:qFormat/>
    <w:uiPriority w:val="99"/>
    <w:rPr>
      <w:rFonts w:ascii="Times New Roman" w:hAnsi="Times New Roman"/>
      <w:kern w:val="2"/>
      <w:sz w:val="18"/>
      <w:szCs w:val="18"/>
    </w:rPr>
  </w:style>
  <w:style w:type="character" w:customStyle="1" w:styleId="32">
    <w:name w:val="标题 3 Char"/>
    <w:basedOn w:val="16"/>
    <w:link w:val="5"/>
    <w:qFormat/>
    <w:uiPriority w:val="9"/>
    <w:rPr>
      <w:rFonts w:ascii="Times New Roman" w:hAnsi="Times New Roman"/>
      <w:b/>
      <w:bCs/>
      <w:kern w:val="2"/>
      <w:sz w:val="32"/>
      <w:szCs w:val="32"/>
    </w:rPr>
  </w:style>
  <w:style w:type="paragraph" w:customStyle="1" w:styleId="33">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chart" Target="charts/chart4.xml"/><Relationship Id="rId8" Type="http://schemas.openxmlformats.org/officeDocument/2006/relationships/chart" Target="charts/chart3.xml"/><Relationship Id="rId7" Type="http://schemas.openxmlformats.org/officeDocument/2006/relationships/chart" Target="charts/chart2.xml"/><Relationship Id="rId6" Type="http://schemas.openxmlformats.org/officeDocument/2006/relationships/chart" Target="charts/chart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hart" Target="charts/chart7.xml"/><Relationship Id="rId11" Type="http://schemas.openxmlformats.org/officeDocument/2006/relationships/chart" Target="charts/chart6.xml"/><Relationship Id="rId10" Type="http://schemas.openxmlformats.org/officeDocument/2006/relationships/chart" Target="charts/chart5.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24037;&#20316;&#31807;1"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24037;&#20316;&#31807;1"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24037;&#20316;&#31807;1"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oleObject" Target="&#24037;&#20316;&#31807;1"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24037;&#20316;&#31807;1"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24037;&#20316;&#31807;1" TargetMode="External"/></Relationships>
</file>

<file path=word/charts/_rels/chart7.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24037;&#20316;&#31807;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620178490394797"/>
          <c:y val="0.115233277121979"/>
          <c:w val="0.933444259567388"/>
          <c:h val="0.876335019673974"/>
        </c:manualLayout>
      </c:layout>
      <c:barChart>
        <c:barDir val="col"/>
        <c:grouping val="clustered"/>
        <c:varyColors val="0"/>
        <c:ser>
          <c:idx val="0"/>
          <c:order val="0"/>
          <c:spPr>
            <a:solidFill>
              <a:schemeClr val="accent1"/>
            </a:solidFill>
            <a:ln>
              <a:noFill/>
            </a:ln>
            <a:effectLst/>
          </c:spPr>
          <c:invertIfNegative val="0"/>
          <c:dLbls>
            <c:dLbl>
              <c:idx val="0"/>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rPr lang="en-US" altLang="zh-CN"/>
                      <a:t>2023</a:t>
                    </a:r>
                    <a:r>
                      <a:rPr altLang="en-US"/>
                      <a:t>年收入、支出</a:t>
                    </a:r>
                    <a:r>
                      <a:rPr lang="en-US" altLang="zh-CN"/>
                      <a:t>223.38</a:t>
                    </a:r>
                    <a:r>
                      <a:rPr altLang="en-US"/>
                      <a:t>万元</a:t>
                    </a:r>
                    <a:endParaRPr altLang="en-US"/>
                  </a:p>
                </c:rich>
              </c:tx>
              <c:dLblPos val="outEnd"/>
              <c:showLegendKey val="0"/>
              <c:showVal val="1"/>
              <c:showCatName val="0"/>
              <c:showSerName val="0"/>
              <c:showPercent val="0"/>
              <c:showBubbleSize val="0"/>
              <c:extLst>
                <c:ext xmlns:c15="http://schemas.microsoft.com/office/drawing/2012/chart" uri="{CE6537A1-D6FC-4f65-9D91-7224C49458BB}"/>
              </c:extLst>
            </c:dLbl>
            <c:dLbl>
              <c:idx val="1"/>
              <c:layout>
                <c:manualLayout>
                  <c:x val="-0.0122523067614582"/>
                  <c:y val="-0.153537300248936"/>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2</a:t>
                    </a:r>
                    <a:r>
                      <a:rPr lang="en-US" altLang="zh-CN"/>
                      <a:t>024</a:t>
                    </a:r>
                    <a:r>
                      <a:rPr altLang="en-US"/>
                      <a:t>年收入、支出</a:t>
                    </a:r>
                    <a:r>
                      <a:rPr lang="en-US" altLang="zh-CN"/>
                      <a:t>164.85</a:t>
                    </a:r>
                    <a:r>
                      <a:rPr altLang="en-US"/>
                      <a:t>万元</a:t>
                    </a:r>
                    <a:endParaRPr altLang="en-US"/>
                  </a:p>
                </c:rich>
              </c:tx>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下降</a:t>
                    </a:r>
                    <a:r>
                      <a:rPr lang="en-US" altLang="zh-CN"/>
                      <a:t>26.20%</a:t>
                    </a:r>
                    <a:endParaRPr lang="en-US" altLang="zh-CN"/>
                  </a:p>
                </c:rich>
              </c:tx>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val>
            <c:numRef>
              <c:f>[工作簿1]Sheet1!$A$1:$A$3</c:f>
              <c:numCache>
                <c:formatCode>General</c:formatCode>
                <c:ptCount val="3"/>
                <c:pt idx="0">
                  <c:v>1</c:v>
                </c:pt>
                <c:pt idx="1">
                  <c:v>2</c:v>
                </c:pt>
                <c:pt idx="2">
                  <c:v>3</c:v>
                </c:pt>
              </c:numCache>
            </c:numRef>
          </c:val>
        </c:ser>
        <c:dLbls>
          <c:showLegendKey val="0"/>
          <c:showVal val="1"/>
          <c:showCatName val="0"/>
          <c:showSerName val="0"/>
          <c:showPercent val="0"/>
          <c:showBubbleSize val="0"/>
        </c:dLbls>
        <c:gapWidth val="219"/>
        <c:overlap val="-27"/>
        <c:axId val="796190284"/>
        <c:axId val="876786103"/>
      </c:barChart>
      <c:catAx>
        <c:axId val="796190284"/>
        <c:scaling>
          <c:orientation val="minMax"/>
        </c:scaling>
        <c:delete val="1"/>
        <c:axPos val="b"/>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76786103"/>
        <c:crosses val="autoZero"/>
        <c:auto val="1"/>
        <c:lblAlgn val="ctr"/>
        <c:lblOffset val="100"/>
        <c:noMultiLvlLbl val="0"/>
      </c:catAx>
      <c:valAx>
        <c:axId val="876786103"/>
        <c:scaling>
          <c:orientation val="minMax"/>
        </c:scaling>
        <c:delete val="1"/>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96190284"/>
        <c:crosses val="autoZero"/>
        <c:crossBetween val="between"/>
      </c:valAx>
      <c:spPr>
        <a:noFill/>
        <a:ln>
          <a:noFill/>
        </a:ln>
        <a:effectLst/>
      </c:spPr>
    </c:plotArea>
    <c:plotVisOnly val="1"/>
    <c:dispBlanksAs val="gap"/>
    <c:showDLblsOverMax val="0"/>
    <c:extLst>
      <c:ext uri="{0b15fc19-7d7d-44ad-8c2d-2c3a37ce22c3}">
        <chartProps xmlns="https://web.wps.cn/et/2018/main" chartId="{6e52e6e5-5bbd-4c34-808c-41dddbb9e4d5}"/>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620178490394797"/>
          <c:y val="0.115233277121979"/>
          <c:w val="0.933444259567388"/>
          <c:h val="0.876335019673974"/>
        </c:manualLayout>
      </c:layout>
      <c:barChart>
        <c:barDir val="col"/>
        <c:grouping val="clustered"/>
        <c:varyColors val="0"/>
        <c:ser>
          <c:idx val="0"/>
          <c:order val="0"/>
          <c:spPr>
            <a:solidFill>
              <a:schemeClr val="accent1"/>
            </a:solidFill>
            <a:ln>
              <a:noFill/>
            </a:ln>
            <a:effectLst/>
          </c:spPr>
          <c:invertIfNegative val="0"/>
          <c:dLbls>
            <c:dLbl>
              <c:idx val="0"/>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rPr lang="en-US" altLang="zh-CN"/>
                      <a:t>2023</a:t>
                    </a:r>
                    <a:r>
                      <a:rPr altLang="en-US"/>
                      <a:t>年收入、支出</a:t>
                    </a:r>
                    <a:r>
                      <a:rPr lang="en-US" altLang="zh-CN"/>
                      <a:t>223.38</a:t>
                    </a:r>
                    <a:r>
                      <a:rPr altLang="en-US"/>
                      <a:t>万元</a:t>
                    </a:r>
                    <a:endParaRPr altLang="en-US"/>
                  </a:p>
                </c:rich>
              </c:tx>
              <c:dLblPos val="outEnd"/>
              <c:showLegendKey val="0"/>
              <c:showVal val="1"/>
              <c:showCatName val="0"/>
              <c:showSerName val="0"/>
              <c:showPercent val="0"/>
              <c:showBubbleSize val="0"/>
              <c:extLst>
                <c:ext xmlns:c15="http://schemas.microsoft.com/office/drawing/2012/chart" uri="{CE6537A1-D6FC-4f65-9D91-7224C49458BB}"/>
              </c:extLst>
            </c:dLbl>
            <c:dLbl>
              <c:idx val="1"/>
              <c:layout>
                <c:manualLayout>
                  <c:x val="-0.0122523067614582"/>
                  <c:y val="-0.153537300248936"/>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2</a:t>
                    </a:r>
                    <a:r>
                      <a:rPr lang="en-US" altLang="zh-CN"/>
                      <a:t>024</a:t>
                    </a:r>
                    <a:r>
                      <a:rPr altLang="en-US"/>
                      <a:t>年收入、支出</a:t>
                    </a:r>
                    <a:r>
                      <a:rPr lang="en-US" altLang="zh-CN"/>
                      <a:t>164.85</a:t>
                    </a:r>
                    <a:r>
                      <a:rPr altLang="en-US"/>
                      <a:t>万元</a:t>
                    </a:r>
                    <a:endParaRPr altLang="en-US"/>
                  </a:p>
                </c:rich>
              </c:tx>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下降</a:t>
                    </a:r>
                    <a:r>
                      <a:rPr lang="en-US" altLang="zh-CN"/>
                      <a:t>26.20%</a:t>
                    </a:r>
                    <a:endParaRPr lang="en-US" altLang="zh-CN"/>
                  </a:p>
                </c:rich>
              </c:tx>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val>
            <c:numRef>
              <c:f>[工作簿1]Sheet1!$A$1:$A$3</c:f>
              <c:numCache>
                <c:formatCode>General</c:formatCode>
                <c:ptCount val="3"/>
                <c:pt idx="0">
                  <c:v>1</c:v>
                </c:pt>
                <c:pt idx="1">
                  <c:v>2</c:v>
                </c:pt>
                <c:pt idx="2">
                  <c:v>3</c:v>
                </c:pt>
              </c:numCache>
            </c:numRef>
          </c:val>
        </c:ser>
        <c:dLbls>
          <c:showLegendKey val="0"/>
          <c:showVal val="1"/>
          <c:showCatName val="0"/>
          <c:showSerName val="0"/>
          <c:showPercent val="0"/>
          <c:showBubbleSize val="0"/>
        </c:dLbls>
        <c:gapWidth val="219"/>
        <c:overlap val="-27"/>
        <c:axId val="796190284"/>
        <c:axId val="876786103"/>
      </c:barChart>
      <c:catAx>
        <c:axId val="796190284"/>
        <c:scaling>
          <c:orientation val="minMax"/>
        </c:scaling>
        <c:delete val="1"/>
        <c:axPos val="b"/>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76786103"/>
        <c:crosses val="autoZero"/>
        <c:auto val="1"/>
        <c:lblAlgn val="ctr"/>
        <c:lblOffset val="100"/>
        <c:noMultiLvlLbl val="0"/>
      </c:catAx>
      <c:valAx>
        <c:axId val="876786103"/>
        <c:scaling>
          <c:orientation val="minMax"/>
        </c:scaling>
        <c:delete val="1"/>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96190284"/>
        <c:crosses val="autoZero"/>
        <c:crossBetween val="between"/>
      </c:valAx>
      <c:spPr>
        <a:noFill/>
        <a:ln>
          <a:noFill/>
        </a:ln>
        <a:effectLst/>
      </c:spPr>
    </c:plotArea>
    <c:plotVisOnly val="1"/>
    <c:dispBlanksAs val="gap"/>
    <c:showDLblsOverMax val="0"/>
    <c:extLst>
      <c:ext uri="{0b15fc19-7d7d-44ad-8c2d-2c3a37ce22c3}">
        <chartProps xmlns="https://web.wps.cn/et/2018/main" chartId="{1289bec5-cce1-4369-bdda-8e697309cd1f}"/>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dLbl>
              <c:idx val="0"/>
              <c:layout>
                <c:manualLayout>
                  <c:x val="-0.1375"/>
                  <c:y val="0.09375"/>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政府性基金预算财政拨款收入占13.34%</a:t>
                    </a:r>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164583333333333"/>
                  <c:y val="-0.0902777777777778"/>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一般公共预算财政拨款收入占86.66%</a:t>
                    </a:r>
                  </a:p>
                </c:rich>
              </c:tx>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val>
            <c:numRef>
              <c:f>[工作簿1]Sheet1!$A$1:$A$2</c:f>
              <c:numCache>
                <c:formatCode>General</c:formatCode>
                <c:ptCount val="2"/>
                <c:pt idx="0">
                  <c:v>1</c:v>
                </c:pt>
                <c:pt idx="1">
                  <c:v>2</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extLst>
      <c:ext uri="{0b15fc19-7d7d-44ad-8c2d-2c3a37ce22c3}">
        <chartProps xmlns="https://web.wps.cn/et/2018/main" chartId="{6321c018-0771-42e3-bf9e-8ec87baf1a8c}"/>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533958553925273"/>
          <c:y val="0.00843170320404722"/>
          <c:w val="0.933444259567388"/>
          <c:h val="0.876335019673974"/>
        </c:manualLayout>
      </c:layout>
      <c:barChart>
        <c:barDir val="col"/>
        <c:grouping val="clustered"/>
        <c:varyColors val="0"/>
        <c:ser>
          <c:idx val="0"/>
          <c:order val="0"/>
          <c:spPr>
            <a:solidFill>
              <a:schemeClr val="accent1"/>
            </a:solidFill>
            <a:ln>
              <a:noFill/>
            </a:ln>
            <a:effectLst/>
          </c:spPr>
          <c:invertIfNegative val="0"/>
          <c:dLbls>
            <c:dLbl>
              <c:idx val="0"/>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rPr lang="en-US" altLang="zh-CN"/>
                      <a:t>2023</a:t>
                    </a:r>
                    <a:r>
                      <a:rPr altLang="en-US"/>
                      <a:t>年收入、支出</a:t>
                    </a:r>
                    <a:r>
                      <a:rPr lang="en-US" altLang="zh-CN"/>
                      <a:t>223.38</a:t>
                    </a:r>
                    <a:r>
                      <a:rPr altLang="en-US"/>
                      <a:t>万元</a:t>
                    </a:r>
                    <a:endParaRPr altLang="en-US"/>
                  </a:p>
                </c:rich>
              </c:tx>
              <c:dLblPos val="outEnd"/>
              <c:showLegendKey val="0"/>
              <c:showVal val="1"/>
              <c:showCatName val="0"/>
              <c:showSerName val="0"/>
              <c:showPercent val="0"/>
              <c:showBubbleSize val="0"/>
              <c:extLst>
                <c:ext xmlns:c15="http://schemas.microsoft.com/office/drawing/2012/chart" uri="{CE6537A1-D6FC-4f65-9D91-7224C49458BB}"/>
              </c:extLst>
            </c:dLbl>
            <c:dLbl>
              <c:idx val="1"/>
              <c:layout>
                <c:manualLayout>
                  <c:x val="-0.0122523067614582"/>
                  <c:y val="-0.153537300248936"/>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2</a:t>
                    </a:r>
                    <a:r>
                      <a:rPr lang="en-US" altLang="zh-CN"/>
                      <a:t>024</a:t>
                    </a:r>
                    <a:r>
                      <a:rPr altLang="en-US"/>
                      <a:t>年收入、支出</a:t>
                    </a:r>
                    <a:r>
                      <a:rPr lang="en-US" altLang="zh-CN"/>
                      <a:t>164.85</a:t>
                    </a:r>
                    <a:r>
                      <a:rPr altLang="en-US"/>
                      <a:t>万元</a:t>
                    </a:r>
                    <a:endParaRPr altLang="en-US"/>
                  </a:p>
                </c:rich>
              </c:tx>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下降</a:t>
                    </a:r>
                    <a:r>
                      <a:rPr lang="en-US" altLang="zh-CN"/>
                      <a:t>26.20%</a:t>
                    </a:r>
                    <a:endParaRPr lang="en-US" altLang="zh-CN"/>
                  </a:p>
                </c:rich>
              </c:tx>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val>
            <c:numRef>
              <c:f>[工作簿1]Sheet1!$A$1:$A$3</c:f>
              <c:numCache>
                <c:formatCode>General</c:formatCode>
                <c:ptCount val="3"/>
                <c:pt idx="0">
                  <c:v>1</c:v>
                </c:pt>
                <c:pt idx="1">
                  <c:v>2</c:v>
                </c:pt>
                <c:pt idx="2">
                  <c:v>3</c:v>
                </c:pt>
              </c:numCache>
            </c:numRef>
          </c:val>
        </c:ser>
        <c:dLbls>
          <c:showLegendKey val="0"/>
          <c:showVal val="1"/>
          <c:showCatName val="0"/>
          <c:showSerName val="0"/>
          <c:showPercent val="0"/>
          <c:showBubbleSize val="0"/>
        </c:dLbls>
        <c:gapWidth val="219"/>
        <c:overlap val="-27"/>
        <c:axId val="796190284"/>
        <c:axId val="876786103"/>
      </c:barChart>
      <c:catAx>
        <c:axId val="796190284"/>
        <c:scaling>
          <c:orientation val="minMax"/>
        </c:scaling>
        <c:delete val="1"/>
        <c:axPos val="b"/>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76786103"/>
        <c:crosses val="autoZero"/>
        <c:auto val="1"/>
        <c:lblAlgn val="ctr"/>
        <c:lblOffset val="100"/>
        <c:noMultiLvlLbl val="0"/>
      </c:catAx>
      <c:valAx>
        <c:axId val="876786103"/>
        <c:scaling>
          <c:orientation val="minMax"/>
        </c:scaling>
        <c:delete val="1"/>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96190284"/>
        <c:crosses val="autoZero"/>
        <c:crossBetween val="between"/>
      </c:valAx>
      <c:spPr>
        <a:noFill/>
        <a:ln>
          <a:noFill/>
        </a:ln>
        <a:effectLst/>
      </c:spPr>
    </c:plotArea>
    <c:plotVisOnly val="1"/>
    <c:dispBlanksAs val="gap"/>
    <c:showDLblsOverMax val="0"/>
    <c:extLst>
      <c:ext uri="{0b15fc19-7d7d-44ad-8c2d-2c3a37ce22c3}">
        <chartProps xmlns="https://web.wps.cn/et/2018/main" chartId="{1da0b424-7b67-4f01-9982-21684a2dfaf9}"/>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dLbl>
              <c:idx val="0"/>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202</a:t>
                    </a:r>
                    <a:r>
                      <a:rPr lang="en-US" altLang="zh-CN"/>
                      <a:t>3</a:t>
                    </a:r>
                    <a:r>
                      <a:t>年</a:t>
                    </a:r>
                    <a:r>
                      <a:rPr lang="en-US" altLang="zh-CN"/>
                      <a:t>203.44</a:t>
                    </a:r>
                    <a:r>
                      <a:t>万元</a:t>
                    </a:r>
                  </a:p>
                </c:rich>
              </c:tx>
              <c:dLblPos val="outEnd"/>
              <c:showLegendKey val="0"/>
              <c:showVal val="1"/>
              <c:showCatName val="0"/>
              <c:showSerName val="0"/>
              <c:showPercent val="0"/>
              <c:showBubbleSize val="0"/>
              <c:extLst>
                <c:ext xmlns:c15="http://schemas.microsoft.com/office/drawing/2012/chart" uri="{CE6537A1-D6FC-4f65-9D91-7224C49458BB}"/>
              </c:extLst>
            </c:dLbl>
            <c:dLbl>
              <c:idx val="1"/>
              <c:layout>
                <c:manualLayout>
                  <c:x val="-0.00208333333333333"/>
                  <c:y val="0"/>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2024年142.85万元</a:t>
                    </a:r>
                  </a:p>
                  <a:p>
                    <a:pPr defTabSz="914400">
                      <a:defRPr lang="zh-CN" sz="900" b="0" i="0" u="none" strike="noStrike" kern="1200" baseline="0">
                        <a:solidFill>
                          <a:schemeClr val="tx1">
                            <a:lumMod val="75000"/>
                            <a:lumOff val="25000"/>
                          </a:schemeClr>
                        </a:solidFill>
                        <a:latin typeface="+mn-lt"/>
                        <a:ea typeface="+mn-ea"/>
                        <a:cs typeface="+mn-cs"/>
                      </a:defRPr>
                    </a:pPr>
                  </a:p>
                </c:rich>
              </c:tx>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下降29.78%</a:t>
                    </a:r>
                  </a:p>
                </c:rich>
              </c:tx>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val>
            <c:numRef>
              <c:f>[工作簿1]Sheet1!$A$1:$A$3</c:f>
              <c:numCache>
                <c:formatCode>General</c:formatCode>
                <c:ptCount val="3"/>
                <c:pt idx="0">
                  <c:v>1</c:v>
                </c:pt>
                <c:pt idx="1">
                  <c:v>2</c:v>
                </c:pt>
                <c:pt idx="2">
                  <c:v>3</c:v>
                </c:pt>
              </c:numCache>
            </c:numRef>
          </c:val>
        </c:ser>
        <c:dLbls>
          <c:showLegendKey val="0"/>
          <c:showVal val="1"/>
          <c:showCatName val="0"/>
          <c:showSerName val="0"/>
          <c:showPercent val="0"/>
          <c:showBubbleSize val="0"/>
        </c:dLbls>
        <c:gapWidth val="219"/>
        <c:overlap val="-27"/>
        <c:axId val="391961202"/>
        <c:axId val="11280138"/>
      </c:barChart>
      <c:catAx>
        <c:axId val="391961202"/>
        <c:scaling>
          <c:orientation val="minMax"/>
        </c:scaling>
        <c:delete val="1"/>
        <c:axPos val="b"/>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280138"/>
        <c:crosses val="autoZero"/>
        <c:auto val="1"/>
        <c:lblAlgn val="ctr"/>
        <c:lblOffset val="100"/>
        <c:noMultiLvlLbl val="0"/>
      </c:catAx>
      <c:valAx>
        <c:axId val="11280138"/>
        <c:scaling>
          <c:orientation val="minMax"/>
        </c:scaling>
        <c:delete val="1"/>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91961202"/>
        <c:crosses val="autoZero"/>
        <c:crossBetween val="between"/>
      </c:valAx>
      <c:spPr>
        <a:noFill/>
        <a:ln>
          <a:noFill/>
        </a:ln>
        <a:effectLst/>
      </c:spPr>
    </c:plotArea>
    <c:plotVisOnly val="1"/>
    <c:dispBlanksAs val="gap"/>
    <c:showDLblsOverMax val="0"/>
    <c:extLst>
      <c:ext uri="{0b15fc19-7d7d-44ad-8c2d-2c3a37ce22c3}">
        <chartProps xmlns="https://web.wps.cn/et/2018/main" chartId="{7e6d8e0c-e68b-45c1-8b56-b61a7b63e5d9}"/>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dLbl>
              <c:idx val="0"/>
              <c:layout>
                <c:manualLayout>
                  <c:x val="0.000718912924583069"/>
                  <c:y val="0.0676849917671922"/>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农林水支出占1.17%</a:t>
                    </a:r>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484209210068454"/>
                  <c:y val="0.080188132627517"/>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卫生健康支出占3.37%</a:t>
                    </a:r>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135406670702536"/>
                  <c:y val="-0.0283649158673634"/>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住房保障支出占7.71%</a:t>
                    </a:r>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833333333333333"/>
                  <c:y val="-0.104166666666667"/>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社会保障和就业支出，占15.69%</a:t>
                    </a:r>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854166666666667"/>
                  <c:y val="0.0902777777777778"/>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一般公共服务支出72.06%</a:t>
                    </a:r>
                  </a:p>
                </c:rich>
              </c:tx>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val>
            <c:numRef>
              <c:f>[工作簿1]Sheet1!$A$1:$A$5</c:f>
              <c:numCache>
                <c:formatCode>General</c:formatCode>
                <c:ptCount val="5"/>
                <c:pt idx="0">
                  <c:v>1</c:v>
                </c:pt>
                <c:pt idx="1">
                  <c:v>2</c:v>
                </c:pt>
                <c:pt idx="2">
                  <c:v>3</c:v>
                </c:pt>
                <c:pt idx="3">
                  <c:v>4</c:v>
                </c:pt>
                <c:pt idx="4">
                  <c:v>5</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extLst>
      <c:ext uri="{0b15fc19-7d7d-44ad-8c2d-2c3a37ce22c3}">
        <chartProps xmlns="https://web.wps.cn/et/2018/main" chartId="{5a328e25-5107-4a24-88f9-1a1ec6c04d00}"/>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dLbl>
              <c:idx val="0"/>
              <c:layout>
                <c:manualLayout>
                  <c:x val="-0.0486692706749014"/>
                  <c:y val="0.136626638280004"/>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因公出国（境）</a:t>
                    </a:r>
                    <a:r>
                      <a:rPr lang="en-US" altLang="zh-CN"/>
                      <a:t>0%</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公务接待</a:t>
                    </a:r>
                    <a:r>
                      <a:rPr lang="en-US" altLang="zh-CN"/>
                      <a:t>0%</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extLst>
            </c:dLbl>
            <c:dLbl>
              <c:idx val="2"/>
              <c:layout>
                <c:manualLayout>
                  <c:x val="0.177083333333333"/>
                  <c:y val="0.0520833333333333"/>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公务用车购置及运行维护</a:t>
                    </a:r>
                    <a:r>
                      <a:rPr lang="en-US" altLang="zh-CN"/>
                      <a:t>0%</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val>
            <c:numRef>
              <c:f>[工作簿1]Sheet1!$A$1:$A$3</c:f>
              <c:numCache>
                <c:formatCode>General</c:formatCode>
                <c:ptCount val="3"/>
                <c:pt idx="0">
                  <c:v>1</c:v>
                </c:pt>
                <c:pt idx="1">
                  <c:v>2</c:v>
                </c:pt>
                <c:pt idx="2">
                  <c:v>3</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extLst>
      <c:ext uri="{0b15fc19-7d7d-44ad-8c2d-2c3a37ce22c3}">
        <chartProps xmlns="https://web.wps.cn/et/2018/main" chartId="{1b0c17f6-7d15-4e53-805b-0103fbfa1772}"/>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四川省财政厅</Company>
  <Pages>23</Pages>
  <Words>8102</Words>
  <Characters>8879</Characters>
  <Lines>61</Lines>
  <Paragraphs>17</Paragraphs>
  <TotalTime>0</TotalTime>
  <ScaleCrop>false</ScaleCrop>
  <LinksUpToDate>false</LinksUpToDate>
  <CharactersWithSpaces>8969</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2020-08-05T01:49:00Z</dcterms:created>
  <dc:creator>曹颖</dc:creator>
  <cp:lastModifiedBy>吉面子里</cp:lastModifiedBy>
  <cp:lastPrinted>2023-07-31T02:35:00Z</cp:lastPrinted>
  <dcterms:modified xsi:type="dcterms:W3CDTF">2025-11-04T07:34:24Z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E5D2CCE233B447B0BFFAEE4E4FB8049A_13</vt:lpwstr>
  </property>
  <property fmtid="{D5CDD505-2E9C-101B-9397-08002B2CF9AE}" pid="4" name="KSOTemplateDocerSaveRecord">
    <vt:lpwstr>eyJoZGlkIjoiZWRiOGVlNjM0ODc5ZGJhZTE2MGNkN2NhODRmZjA3MmUiLCJ1c2VySWQiOiIxNzEyNzY5NDE3In0=</vt:lpwstr>
  </property>
</Properties>
</file>