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61BA5C">
      <w:pPr>
        <w:spacing w:line="600" w:lineRule="exact"/>
        <w:jc w:val="center"/>
        <w:outlineLvl w:val="0"/>
        <w:rPr>
          <w:rFonts w:ascii="黑体" w:hAnsi="宋体" w:eastAsia="黑体"/>
          <w:color w:val="auto"/>
          <w:sz w:val="72"/>
          <w:szCs w:val="72"/>
          <w:highlight w:val="none"/>
        </w:rPr>
      </w:pPr>
      <w:bookmarkStart w:id="0" w:name="_Toc15377425"/>
      <w:bookmarkStart w:id="1" w:name="_Toc15396597"/>
      <w:bookmarkStart w:id="2" w:name="_Toc15378441"/>
      <w:bookmarkStart w:id="3" w:name="_Toc15377193"/>
      <w:bookmarkStart w:id="4" w:name="_Toc15396475"/>
      <w:bookmarkStart w:id="5" w:name="_Toc15306267"/>
    </w:p>
    <w:p w14:paraId="393025EF">
      <w:pPr>
        <w:spacing w:line="600" w:lineRule="exact"/>
        <w:jc w:val="center"/>
        <w:outlineLvl w:val="0"/>
        <w:rPr>
          <w:rFonts w:ascii="黑体" w:hAnsi="宋体" w:eastAsia="黑体"/>
          <w:color w:val="auto"/>
          <w:sz w:val="72"/>
          <w:szCs w:val="72"/>
          <w:highlight w:val="none"/>
        </w:rPr>
      </w:pPr>
    </w:p>
    <w:p w14:paraId="47699082">
      <w:pPr>
        <w:spacing w:line="600" w:lineRule="exact"/>
        <w:jc w:val="center"/>
        <w:outlineLvl w:val="0"/>
        <w:rPr>
          <w:rFonts w:ascii="黑体" w:hAnsi="宋体" w:eastAsia="黑体"/>
          <w:color w:val="auto"/>
          <w:sz w:val="72"/>
          <w:szCs w:val="72"/>
          <w:highlight w:val="none"/>
        </w:rPr>
      </w:pPr>
    </w:p>
    <w:p w14:paraId="0E0043CC">
      <w:pPr>
        <w:adjustRightInd w:val="0"/>
        <w:snapToGrid w:val="0"/>
        <w:spacing w:line="360" w:lineRule="auto"/>
        <w:jc w:val="center"/>
        <w:outlineLvl w:val="0"/>
        <w:rPr>
          <w:rFonts w:hint="eastAsia" w:ascii="黑体" w:hAnsi="黑体" w:eastAsia="黑体" w:cs="黑体"/>
          <w:color w:val="auto"/>
          <w:sz w:val="72"/>
          <w:szCs w:val="72"/>
          <w:highlight w:val="none"/>
        </w:rPr>
      </w:pPr>
      <w:bookmarkStart w:id="6" w:name="_Toc8851"/>
      <w:r>
        <w:rPr>
          <w:rFonts w:hint="eastAsia" w:ascii="黑体" w:hAnsi="黑体" w:eastAsia="黑体" w:cs="黑体"/>
          <w:color w:val="auto"/>
          <w:sz w:val="72"/>
          <w:szCs w:val="72"/>
          <w:highlight w:val="none"/>
        </w:rPr>
        <w:t>20</w:t>
      </w:r>
      <w:r>
        <w:rPr>
          <w:rFonts w:hint="eastAsia" w:ascii="黑体" w:hAnsi="黑体" w:eastAsia="黑体" w:cs="黑体"/>
          <w:color w:val="auto"/>
          <w:sz w:val="72"/>
          <w:szCs w:val="72"/>
          <w:highlight w:val="none"/>
          <w:lang w:val="en-US" w:eastAsia="zh-CN"/>
        </w:rPr>
        <w:t>24</w:t>
      </w:r>
      <w:r>
        <w:rPr>
          <w:rFonts w:hint="eastAsia" w:ascii="黑体" w:hAnsi="黑体" w:eastAsia="黑体" w:cs="黑体"/>
          <w:color w:val="auto"/>
          <w:sz w:val="72"/>
          <w:szCs w:val="72"/>
          <w:highlight w:val="none"/>
        </w:rPr>
        <w:t>年度</w:t>
      </w:r>
      <w:bookmarkEnd w:id="0"/>
      <w:bookmarkEnd w:id="1"/>
      <w:bookmarkEnd w:id="2"/>
      <w:bookmarkEnd w:id="3"/>
      <w:bookmarkEnd w:id="4"/>
      <w:bookmarkEnd w:id="6"/>
    </w:p>
    <w:p w14:paraId="6D9AD7AD">
      <w:pPr>
        <w:adjustRightInd w:val="0"/>
        <w:snapToGrid w:val="0"/>
        <w:spacing w:line="360" w:lineRule="auto"/>
        <w:jc w:val="center"/>
        <w:outlineLvl w:val="0"/>
        <w:rPr>
          <w:rFonts w:hint="eastAsia" w:ascii="黑体" w:hAnsi="黑体" w:eastAsia="黑体" w:cs="黑体"/>
          <w:color w:val="auto"/>
          <w:sz w:val="72"/>
          <w:szCs w:val="72"/>
          <w:highlight w:val="none"/>
        </w:rPr>
      </w:pPr>
      <w:bookmarkStart w:id="7" w:name="_Toc15378442"/>
      <w:bookmarkStart w:id="8" w:name="_Toc15377194"/>
      <w:bookmarkStart w:id="9" w:name="_Toc15396598"/>
      <w:bookmarkStart w:id="10" w:name="_Toc15377426"/>
      <w:bookmarkStart w:id="11" w:name="_Toc15396476"/>
      <w:bookmarkStart w:id="12" w:name="_Toc21061"/>
      <w:r>
        <w:rPr>
          <w:rFonts w:hint="eastAsia" w:ascii="黑体" w:hAnsi="黑体" w:eastAsia="黑体" w:cs="黑体"/>
          <w:color w:val="auto"/>
          <w:sz w:val="72"/>
          <w:szCs w:val="72"/>
          <w:highlight w:val="none"/>
        </w:rPr>
        <w:t>四川省</w:t>
      </w:r>
      <w:bookmarkEnd w:id="5"/>
      <w:bookmarkStart w:id="13" w:name="_Toc15306268"/>
      <w:r>
        <w:rPr>
          <w:rFonts w:hint="eastAsia" w:ascii="黑体" w:hAnsi="黑体" w:eastAsia="黑体" w:cs="黑体"/>
          <w:color w:val="auto"/>
          <w:sz w:val="72"/>
          <w:szCs w:val="72"/>
          <w:highlight w:val="none"/>
          <w:lang w:eastAsia="zh-CN"/>
        </w:rPr>
        <w:t>乐山市马边彝族自治县档案馆部门</w:t>
      </w:r>
      <w:r>
        <w:rPr>
          <w:rFonts w:hint="eastAsia" w:ascii="黑体" w:hAnsi="黑体" w:eastAsia="黑体" w:cs="黑体"/>
          <w:color w:val="auto"/>
          <w:sz w:val="72"/>
          <w:szCs w:val="72"/>
          <w:highlight w:val="none"/>
        </w:rPr>
        <w:t>决算</w:t>
      </w:r>
      <w:bookmarkEnd w:id="7"/>
      <w:bookmarkEnd w:id="8"/>
      <w:bookmarkEnd w:id="9"/>
      <w:bookmarkEnd w:id="10"/>
      <w:bookmarkEnd w:id="11"/>
      <w:bookmarkEnd w:id="12"/>
      <w:bookmarkEnd w:id="13"/>
    </w:p>
    <w:p w14:paraId="6CB463E3">
      <w:pPr>
        <w:widowControl/>
        <w:jc w:val="center"/>
        <w:rPr>
          <w:rFonts w:hint="eastAsia" w:ascii="黑体" w:hAnsi="黑体" w:eastAsia="黑体"/>
          <w:color w:val="auto"/>
          <w:sz w:val="48"/>
          <w:szCs w:val="48"/>
          <w:highlight w:val="none"/>
        </w:rPr>
      </w:pPr>
      <w:r>
        <w:rPr>
          <w:rFonts w:ascii="黑体" w:hAnsi="宋体" w:eastAsia="黑体"/>
          <w:color w:val="auto"/>
          <w:sz w:val="36"/>
          <w:szCs w:val="36"/>
          <w:highlight w:val="none"/>
        </w:rPr>
        <w:br w:type="page"/>
      </w:r>
    </w:p>
    <w:sdt>
      <w:sdtPr>
        <w:rPr>
          <w:rFonts w:ascii="宋体" w:hAnsi="宋体" w:eastAsia="宋体" w:cs="Times New Roman"/>
          <w:kern w:val="2"/>
          <w:sz w:val="44"/>
          <w:szCs w:val="52"/>
          <w:lang w:val="en-US" w:eastAsia="zh-CN" w:bidi="ar-SA"/>
        </w:rPr>
        <w:id w:val="147461180"/>
        <w15:color w:val="DBDBDB"/>
        <w:docPartObj>
          <w:docPartGallery w:val="Table of Contents"/>
          <w:docPartUnique/>
        </w:docPartObj>
      </w:sdtPr>
      <w:sdtEndPr>
        <w:rPr>
          <w:rFonts w:ascii="Calibri" w:hAnsi="Calibri" w:eastAsia="宋体" w:cs="Times New Roman"/>
          <w:kern w:val="0"/>
          <w:sz w:val="18"/>
          <w:szCs w:val="18"/>
          <w:lang w:val="en-US" w:eastAsia="zh-CN" w:bidi="ar-SA"/>
        </w:rPr>
      </w:sdtEndPr>
      <w:sdtContent>
        <w:p w14:paraId="6008694C">
          <w:pPr>
            <w:spacing w:before="0" w:beforeLines="0" w:after="0" w:afterLines="0" w:line="240" w:lineRule="auto"/>
            <w:ind w:left="0" w:leftChars="0" w:right="0" w:rightChars="0" w:firstLine="0" w:firstLineChars="0"/>
            <w:jc w:val="center"/>
            <w:rPr>
              <w:rFonts w:hint="eastAsia" w:ascii="黑体" w:hAnsi="黑体" w:eastAsia="黑体" w:cs="黑体"/>
              <w:sz w:val="44"/>
              <w:szCs w:val="52"/>
            </w:rPr>
          </w:pPr>
          <w:r>
            <w:rPr>
              <w:rFonts w:hint="eastAsia" w:ascii="黑体" w:hAnsi="黑体" w:eastAsia="黑体" w:cs="黑体"/>
              <w:sz w:val="44"/>
              <w:szCs w:val="52"/>
            </w:rPr>
            <w:t>目</w:t>
          </w:r>
          <w:r>
            <w:rPr>
              <w:rFonts w:hint="eastAsia" w:ascii="黑体" w:hAnsi="黑体" w:eastAsia="黑体" w:cs="黑体"/>
              <w:sz w:val="44"/>
              <w:szCs w:val="52"/>
              <w:lang w:val="en-US" w:eastAsia="zh-CN"/>
            </w:rPr>
            <w:t xml:space="preserve">   </w:t>
          </w:r>
          <w:r>
            <w:rPr>
              <w:rFonts w:hint="eastAsia" w:ascii="黑体" w:hAnsi="黑体" w:eastAsia="黑体" w:cs="黑体"/>
              <w:sz w:val="44"/>
              <w:szCs w:val="52"/>
            </w:rPr>
            <w:t>录</w:t>
          </w:r>
        </w:p>
        <w:p w14:paraId="70EA58EF">
          <w:pPr>
            <w:pStyle w:val="11"/>
            <w:tabs>
              <w:tab w:val="right" w:leader="dot" w:pos="8306"/>
              <w:tab w:val="clear" w:pos="8296"/>
            </w:tabs>
            <w:rPr>
              <w:sz w:val="32"/>
              <w:szCs w:val="32"/>
            </w:rPr>
          </w:pPr>
          <w:r>
            <w:rPr>
              <w:sz w:val="32"/>
              <w:szCs w:val="32"/>
            </w:rPr>
            <w:fldChar w:fldCharType="begin"/>
          </w:r>
          <w:r>
            <w:rPr>
              <w:sz w:val="32"/>
              <w:szCs w:val="32"/>
            </w:rPr>
            <w:instrText xml:space="preserve">TOC \o "1-2" \h \u </w:instrText>
          </w:r>
          <w:r>
            <w:rPr>
              <w:sz w:val="32"/>
              <w:szCs w:val="32"/>
            </w:rPr>
            <w:fldChar w:fldCharType="separate"/>
          </w:r>
          <w:r>
            <w:rPr>
              <w:sz w:val="32"/>
              <w:szCs w:val="32"/>
            </w:rPr>
            <w:fldChar w:fldCharType="begin"/>
          </w:r>
          <w:r>
            <w:rPr>
              <w:sz w:val="32"/>
              <w:szCs w:val="32"/>
            </w:rPr>
            <w:instrText xml:space="preserve"> HYPERLINK \l _Toc7756 </w:instrText>
          </w:r>
          <w:r>
            <w:rPr>
              <w:sz w:val="32"/>
              <w:szCs w:val="32"/>
            </w:rPr>
            <w:fldChar w:fldCharType="separate"/>
          </w: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部门</w:t>
          </w:r>
          <w:r>
            <w:rPr>
              <w:rFonts w:hint="eastAsia" w:ascii="黑体" w:hAnsi="黑体" w:eastAsia="黑体"/>
              <w:bCs w:val="0"/>
              <w:sz w:val="32"/>
              <w:szCs w:val="32"/>
              <w:highlight w:val="none"/>
            </w:rPr>
            <w:t>概况</w:t>
          </w:r>
          <w:r>
            <w:rPr>
              <w:sz w:val="32"/>
              <w:szCs w:val="32"/>
            </w:rPr>
            <w:tab/>
          </w:r>
          <w:r>
            <w:rPr>
              <w:sz w:val="32"/>
              <w:szCs w:val="32"/>
            </w:rPr>
            <w:fldChar w:fldCharType="begin"/>
          </w:r>
          <w:r>
            <w:rPr>
              <w:sz w:val="32"/>
              <w:szCs w:val="32"/>
            </w:rPr>
            <w:instrText xml:space="preserve"> PAGEREF _Toc7756 \h </w:instrText>
          </w:r>
          <w:r>
            <w:rPr>
              <w:sz w:val="32"/>
              <w:szCs w:val="32"/>
            </w:rPr>
            <w:fldChar w:fldCharType="separate"/>
          </w:r>
          <w:r>
            <w:rPr>
              <w:sz w:val="32"/>
              <w:szCs w:val="32"/>
            </w:rPr>
            <w:t>4</w:t>
          </w:r>
          <w:r>
            <w:rPr>
              <w:sz w:val="32"/>
              <w:szCs w:val="32"/>
            </w:rPr>
            <w:fldChar w:fldCharType="end"/>
          </w:r>
          <w:r>
            <w:rPr>
              <w:sz w:val="32"/>
              <w:szCs w:val="32"/>
            </w:rPr>
            <w:fldChar w:fldCharType="end"/>
          </w:r>
        </w:p>
        <w:p w14:paraId="29F089D9">
          <w:pPr>
            <w:pStyle w:val="12"/>
            <w:tabs>
              <w:tab w:val="right" w:leader="dot" w:pos="8306"/>
              <w:tab w:val="clear" w:pos="8296"/>
            </w:tabs>
            <w:rPr>
              <w:sz w:val="22"/>
              <w:szCs w:val="28"/>
            </w:rPr>
          </w:pPr>
          <w:r>
            <w:rPr>
              <w:sz w:val="22"/>
              <w:szCs w:val="28"/>
            </w:rPr>
            <w:fldChar w:fldCharType="begin"/>
          </w:r>
          <w:r>
            <w:rPr>
              <w:sz w:val="22"/>
              <w:szCs w:val="28"/>
            </w:rPr>
            <w:instrText xml:space="preserve"> HYPERLINK \l _Toc17103 </w:instrText>
          </w:r>
          <w:r>
            <w:rPr>
              <w:sz w:val="22"/>
              <w:szCs w:val="28"/>
            </w:rPr>
            <w:fldChar w:fldCharType="separate"/>
          </w:r>
          <w:r>
            <w:rPr>
              <w:rFonts w:hint="eastAsia" w:ascii="黑体" w:hAnsi="黑体" w:eastAsia="黑体"/>
              <w:sz w:val="22"/>
              <w:szCs w:val="28"/>
              <w:highlight w:val="none"/>
            </w:rPr>
            <w:t>一、</w:t>
          </w:r>
          <w:r>
            <w:rPr>
              <w:rFonts w:hint="eastAsia" w:ascii="黑体" w:hAnsi="黑体" w:eastAsia="黑体"/>
              <w:sz w:val="22"/>
              <w:szCs w:val="28"/>
              <w:highlight w:val="none"/>
              <w:lang w:eastAsia="zh-CN"/>
            </w:rPr>
            <w:t>部门职责</w:t>
          </w:r>
          <w:r>
            <w:rPr>
              <w:sz w:val="22"/>
              <w:szCs w:val="28"/>
            </w:rPr>
            <w:tab/>
          </w:r>
          <w:r>
            <w:rPr>
              <w:sz w:val="22"/>
              <w:szCs w:val="28"/>
            </w:rPr>
            <w:fldChar w:fldCharType="begin"/>
          </w:r>
          <w:r>
            <w:rPr>
              <w:sz w:val="22"/>
              <w:szCs w:val="28"/>
            </w:rPr>
            <w:instrText xml:space="preserve"> PAGEREF _Toc17103 \h </w:instrText>
          </w:r>
          <w:r>
            <w:rPr>
              <w:sz w:val="22"/>
              <w:szCs w:val="28"/>
            </w:rPr>
            <w:fldChar w:fldCharType="separate"/>
          </w:r>
          <w:r>
            <w:rPr>
              <w:sz w:val="22"/>
              <w:szCs w:val="28"/>
            </w:rPr>
            <w:t>4</w:t>
          </w:r>
          <w:r>
            <w:rPr>
              <w:sz w:val="22"/>
              <w:szCs w:val="28"/>
            </w:rPr>
            <w:fldChar w:fldCharType="end"/>
          </w:r>
          <w:r>
            <w:rPr>
              <w:sz w:val="22"/>
              <w:szCs w:val="28"/>
            </w:rPr>
            <w:fldChar w:fldCharType="end"/>
          </w:r>
        </w:p>
        <w:p w14:paraId="31C06A5B">
          <w:pPr>
            <w:pStyle w:val="12"/>
            <w:tabs>
              <w:tab w:val="right" w:leader="dot" w:pos="8306"/>
              <w:tab w:val="clear" w:pos="8296"/>
            </w:tabs>
            <w:rPr>
              <w:sz w:val="22"/>
              <w:szCs w:val="28"/>
            </w:rPr>
          </w:pPr>
          <w:r>
            <w:rPr>
              <w:sz w:val="22"/>
              <w:szCs w:val="28"/>
            </w:rPr>
            <w:fldChar w:fldCharType="begin"/>
          </w:r>
          <w:r>
            <w:rPr>
              <w:sz w:val="22"/>
              <w:szCs w:val="28"/>
            </w:rPr>
            <w:instrText xml:space="preserve"> HYPERLINK \l _Toc19764 </w:instrText>
          </w:r>
          <w:r>
            <w:rPr>
              <w:sz w:val="22"/>
              <w:szCs w:val="28"/>
            </w:rPr>
            <w:fldChar w:fldCharType="separate"/>
          </w:r>
          <w:r>
            <w:rPr>
              <w:rFonts w:hint="eastAsia" w:ascii="黑体" w:eastAsia="黑体"/>
              <w:sz w:val="22"/>
              <w:szCs w:val="28"/>
              <w:highlight w:val="none"/>
            </w:rPr>
            <w:t>二、</w:t>
          </w:r>
          <w:r>
            <w:rPr>
              <w:rFonts w:hint="eastAsia" w:ascii="黑体" w:hAnsi="黑体" w:eastAsia="黑体"/>
              <w:sz w:val="22"/>
              <w:szCs w:val="28"/>
              <w:highlight w:val="none"/>
            </w:rPr>
            <w:t>机</w:t>
          </w:r>
          <w:r>
            <w:rPr>
              <w:rFonts w:hint="eastAsia" w:ascii="黑体" w:hAnsi="黑体" w:eastAsia="黑体"/>
              <w:bCs w:val="0"/>
              <w:sz w:val="22"/>
              <w:szCs w:val="28"/>
              <w:highlight w:val="none"/>
            </w:rPr>
            <w:t>构设置</w:t>
          </w:r>
          <w:r>
            <w:rPr>
              <w:sz w:val="22"/>
              <w:szCs w:val="28"/>
            </w:rPr>
            <w:tab/>
          </w:r>
          <w:r>
            <w:rPr>
              <w:sz w:val="22"/>
              <w:szCs w:val="28"/>
            </w:rPr>
            <w:fldChar w:fldCharType="begin"/>
          </w:r>
          <w:r>
            <w:rPr>
              <w:sz w:val="22"/>
              <w:szCs w:val="28"/>
            </w:rPr>
            <w:instrText xml:space="preserve"> PAGEREF _Toc19764 \h </w:instrText>
          </w:r>
          <w:r>
            <w:rPr>
              <w:sz w:val="22"/>
              <w:szCs w:val="28"/>
            </w:rPr>
            <w:fldChar w:fldCharType="separate"/>
          </w:r>
          <w:r>
            <w:rPr>
              <w:sz w:val="22"/>
              <w:szCs w:val="28"/>
            </w:rPr>
            <w:t>5</w:t>
          </w:r>
          <w:r>
            <w:rPr>
              <w:sz w:val="22"/>
              <w:szCs w:val="28"/>
            </w:rPr>
            <w:fldChar w:fldCharType="end"/>
          </w:r>
          <w:r>
            <w:rPr>
              <w:sz w:val="22"/>
              <w:szCs w:val="28"/>
            </w:rPr>
            <w:fldChar w:fldCharType="end"/>
          </w:r>
        </w:p>
        <w:p w14:paraId="7BB17BA8">
          <w:pPr>
            <w:pStyle w:val="11"/>
            <w:tabs>
              <w:tab w:val="right" w:leader="dot" w:pos="8306"/>
              <w:tab w:val="clear" w:pos="8296"/>
            </w:tabs>
            <w:rPr>
              <w:sz w:val="32"/>
              <w:szCs w:val="32"/>
            </w:rPr>
          </w:pPr>
          <w:r>
            <w:rPr>
              <w:sz w:val="32"/>
              <w:szCs w:val="32"/>
            </w:rPr>
            <w:fldChar w:fldCharType="begin"/>
          </w:r>
          <w:r>
            <w:rPr>
              <w:sz w:val="32"/>
              <w:szCs w:val="32"/>
            </w:rPr>
            <w:instrText xml:space="preserve"> HYPERLINK \l _Toc20952 </w:instrText>
          </w:r>
          <w:r>
            <w:rPr>
              <w:sz w:val="32"/>
              <w:szCs w:val="32"/>
            </w:rPr>
            <w:fldChar w:fldCharType="separate"/>
          </w:r>
          <w:r>
            <w:rPr>
              <w:rFonts w:hint="eastAsia" w:ascii="黑体" w:hAnsi="黑体" w:eastAsia="黑体"/>
              <w:bCs/>
              <w:sz w:val="32"/>
              <w:szCs w:val="32"/>
              <w:highlight w:val="none"/>
            </w:rPr>
            <w:t xml:space="preserve">第二部分 </w:t>
          </w:r>
          <w:r>
            <w:rPr>
              <w:rFonts w:hint="eastAsia" w:ascii="黑体" w:hAnsi="黑体" w:eastAsia="黑体"/>
              <w:bCs/>
              <w:sz w:val="32"/>
              <w:szCs w:val="32"/>
              <w:highlight w:val="none"/>
              <w:lang w:val="en-US" w:eastAsia="zh-CN"/>
            </w:rPr>
            <w:t>2024年度部门</w:t>
          </w:r>
          <w:r>
            <w:rPr>
              <w:rFonts w:hint="eastAsia" w:ascii="黑体" w:hAnsi="黑体" w:eastAsia="黑体"/>
              <w:bCs/>
              <w:sz w:val="32"/>
              <w:szCs w:val="32"/>
              <w:highlight w:val="none"/>
            </w:rPr>
            <w:t>决算情况说明</w:t>
          </w:r>
          <w:r>
            <w:rPr>
              <w:sz w:val="32"/>
              <w:szCs w:val="32"/>
            </w:rPr>
            <w:tab/>
          </w:r>
          <w:r>
            <w:rPr>
              <w:sz w:val="32"/>
              <w:szCs w:val="32"/>
            </w:rPr>
            <w:fldChar w:fldCharType="begin"/>
          </w:r>
          <w:r>
            <w:rPr>
              <w:sz w:val="32"/>
              <w:szCs w:val="32"/>
            </w:rPr>
            <w:instrText xml:space="preserve"> PAGEREF _Toc20952 \h </w:instrText>
          </w:r>
          <w:r>
            <w:rPr>
              <w:sz w:val="32"/>
              <w:szCs w:val="32"/>
            </w:rPr>
            <w:fldChar w:fldCharType="separate"/>
          </w:r>
          <w:r>
            <w:rPr>
              <w:sz w:val="32"/>
              <w:szCs w:val="32"/>
            </w:rPr>
            <w:t>6</w:t>
          </w:r>
          <w:r>
            <w:rPr>
              <w:sz w:val="32"/>
              <w:szCs w:val="32"/>
            </w:rPr>
            <w:fldChar w:fldCharType="end"/>
          </w:r>
          <w:r>
            <w:rPr>
              <w:sz w:val="32"/>
              <w:szCs w:val="32"/>
            </w:rPr>
            <w:fldChar w:fldCharType="end"/>
          </w:r>
        </w:p>
        <w:p w14:paraId="78365672">
          <w:pPr>
            <w:pStyle w:val="12"/>
            <w:tabs>
              <w:tab w:val="right" w:leader="dot" w:pos="8306"/>
              <w:tab w:val="clear" w:pos="8296"/>
            </w:tabs>
            <w:rPr>
              <w:sz w:val="22"/>
              <w:szCs w:val="28"/>
            </w:rPr>
          </w:pPr>
          <w:r>
            <w:rPr>
              <w:sz w:val="22"/>
              <w:szCs w:val="28"/>
            </w:rPr>
            <w:fldChar w:fldCharType="begin"/>
          </w:r>
          <w:r>
            <w:rPr>
              <w:sz w:val="22"/>
              <w:szCs w:val="28"/>
            </w:rPr>
            <w:instrText xml:space="preserve"> HYPERLINK \l _Toc20322 </w:instrText>
          </w:r>
          <w:r>
            <w:rPr>
              <w:sz w:val="22"/>
              <w:szCs w:val="28"/>
            </w:rPr>
            <w:fldChar w:fldCharType="separate"/>
          </w:r>
          <w:r>
            <w:rPr>
              <w:rFonts w:hint="default" w:ascii="黑体" w:hAnsi="黑体" w:eastAsia="黑体"/>
              <w:sz w:val="22"/>
              <w:szCs w:val="28"/>
            </w:rPr>
            <w:t xml:space="preserve">一、 </w:t>
          </w:r>
          <w:r>
            <w:rPr>
              <w:rFonts w:hint="eastAsia" w:ascii="黑体" w:hAnsi="黑体" w:eastAsia="黑体"/>
              <w:sz w:val="22"/>
              <w:szCs w:val="36"/>
              <w:highlight w:val="none"/>
            </w:rPr>
            <w:t>收</w:t>
          </w:r>
          <w:r>
            <w:rPr>
              <w:rFonts w:hint="eastAsia" w:ascii="黑体" w:hAnsi="黑体" w:eastAsia="黑体"/>
              <w:sz w:val="22"/>
              <w:szCs w:val="28"/>
              <w:highlight w:val="none"/>
            </w:rPr>
            <w:t>入支出决算总体情况说明</w:t>
          </w:r>
          <w:r>
            <w:rPr>
              <w:sz w:val="22"/>
              <w:szCs w:val="28"/>
            </w:rPr>
            <w:tab/>
          </w:r>
          <w:r>
            <w:rPr>
              <w:sz w:val="22"/>
              <w:szCs w:val="28"/>
            </w:rPr>
            <w:fldChar w:fldCharType="begin"/>
          </w:r>
          <w:r>
            <w:rPr>
              <w:sz w:val="22"/>
              <w:szCs w:val="28"/>
            </w:rPr>
            <w:instrText xml:space="preserve"> PAGEREF _Toc20322 \h </w:instrText>
          </w:r>
          <w:r>
            <w:rPr>
              <w:sz w:val="22"/>
              <w:szCs w:val="28"/>
            </w:rPr>
            <w:fldChar w:fldCharType="separate"/>
          </w:r>
          <w:r>
            <w:rPr>
              <w:sz w:val="22"/>
              <w:szCs w:val="28"/>
            </w:rPr>
            <w:t>6</w:t>
          </w:r>
          <w:r>
            <w:rPr>
              <w:sz w:val="22"/>
              <w:szCs w:val="28"/>
            </w:rPr>
            <w:fldChar w:fldCharType="end"/>
          </w:r>
          <w:r>
            <w:rPr>
              <w:sz w:val="22"/>
              <w:szCs w:val="28"/>
            </w:rPr>
            <w:fldChar w:fldCharType="end"/>
          </w:r>
        </w:p>
        <w:p w14:paraId="3CC78F0C">
          <w:pPr>
            <w:pStyle w:val="12"/>
            <w:tabs>
              <w:tab w:val="right" w:leader="dot" w:pos="8306"/>
              <w:tab w:val="clear" w:pos="8296"/>
            </w:tabs>
            <w:rPr>
              <w:sz w:val="22"/>
              <w:szCs w:val="28"/>
            </w:rPr>
          </w:pPr>
          <w:r>
            <w:rPr>
              <w:sz w:val="22"/>
              <w:szCs w:val="28"/>
            </w:rPr>
            <w:fldChar w:fldCharType="begin"/>
          </w:r>
          <w:r>
            <w:rPr>
              <w:sz w:val="22"/>
              <w:szCs w:val="28"/>
            </w:rPr>
            <w:instrText xml:space="preserve"> HYPERLINK \l _Toc21906 </w:instrText>
          </w:r>
          <w:r>
            <w:rPr>
              <w:sz w:val="22"/>
              <w:szCs w:val="28"/>
            </w:rPr>
            <w:fldChar w:fldCharType="separate"/>
          </w:r>
          <w:r>
            <w:rPr>
              <w:rFonts w:hint="default" w:ascii="黑体" w:hAnsi="黑体" w:eastAsia="黑体"/>
              <w:sz w:val="22"/>
              <w:szCs w:val="28"/>
            </w:rPr>
            <w:t xml:space="preserve">二、 </w:t>
          </w:r>
          <w:r>
            <w:rPr>
              <w:rFonts w:hint="eastAsia" w:ascii="黑体" w:hAnsi="黑体" w:eastAsia="黑体"/>
              <w:sz w:val="22"/>
              <w:szCs w:val="36"/>
              <w:highlight w:val="none"/>
            </w:rPr>
            <w:t>收</w:t>
          </w:r>
          <w:r>
            <w:rPr>
              <w:rFonts w:hint="eastAsia" w:ascii="黑体" w:hAnsi="黑体" w:eastAsia="黑体"/>
              <w:sz w:val="22"/>
              <w:szCs w:val="28"/>
              <w:highlight w:val="none"/>
            </w:rPr>
            <w:t>入决算情况说明</w:t>
          </w:r>
          <w:r>
            <w:rPr>
              <w:sz w:val="22"/>
              <w:szCs w:val="28"/>
            </w:rPr>
            <w:tab/>
          </w:r>
          <w:r>
            <w:rPr>
              <w:sz w:val="22"/>
              <w:szCs w:val="28"/>
            </w:rPr>
            <w:fldChar w:fldCharType="begin"/>
          </w:r>
          <w:r>
            <w:rPr>
              <w:sz w:val="22"/>
              <w:szCs w:val="28"/>
            </w:rPr>
            <w:instrText xml:space="preserve"> PAGEREF _Toc21906 \h </w:instrText>
          </w:r>
          <w:r>
            <w:rPr>
              <w:sz w:val="22"/>
              <w:szCs w:val="28"/>
            </w:rPr>
            <w:fldChar w:fldCharType="separate"/>
          </w:r>
          <w:r>
            <w:rPr>
              <w:sz w:val="22"/>
              <w:szCs w:val="28"/>
            </w:rPr>
            <w:t>6</w:t>
          </w:r>
          <w:r>
            <w:rPr>
              <w:sz w:val="22"/>
              <w:szCs w:val="28"/>
            </w:rPr>
            <w:fldChar w:fldCharType="end"/>
          </w:r>
          <w:r>
            <w:rPr>
              <w:sz w:val="22"/>
              <w:szCs w:val="28"/>
            </w:rPr>
            <w:fldChar w:fldCharType="end"/>
          </w:r>
        </w:p>
        <w:p w14:paraId="19FC17DD">
          <w:pPr>
            <w:pStyle w:val="12"/>
            <w:tabs>
              <w:tab w:val="right" w:leader="dot" w:pos="8306"/>
              <w:tab w:val="clear" w:pos="8296"/>
            </w:tabs>
            <w:rPr>
              <w:sz w:val="22"/>
              <w:szCs w:val="28"/>
            </w:rPr>
          </w:pPr>
          <w:r>
            <w:rPr>
              <w:sz w:val="22"/>
              <w:szCs w:val="28"/>
            </w:rPr>
            <w:fldChar w:fldCharType="begin"/>
          </w:r>
          <w:r>
            <w:rPr>
              <w:sz w:val="22"/>
              <w:szCs w:val="28"/>
            </w:rPr>
            <w:instrText xml:space="preserve"> HYPERLINK \l _Toc17713 </w:instrText>
          </w:r>
          <w:r>
            <w:rPr>
              <w:sz w:val="22"/>
              <w:szCs w:val="28"/>
            </w:rPr>
            <w:fldChar w:fldCharType="separate"/>
          </w:r>
          <w:r>
            <w:rPr>
              <w:rFonts w:hint="default" w:ascii="黑体" w:hAnsi="黑体" w:eastAsia="黑体"/>
              <w:sz w:val="22"/>
              <w:szCs w:val="28"/>
            </w:rPr>
            <w:t xml:space="preserve">三、 </w:t>
          </w:r>
          <w:r>
            <w:rPr>
              <w:rFonts w:hint="eastAsia" w:ascii="黑体" w:hAnsi="黑体" w:eastAsia="黑体"/>
              <w:sz w:val="22"/>
              <w:szCs w:val="36"/>
              <w:highlight w:val="none"/>
            </w:rPr>
            <w:t>支</w:t>
          </w:r>
          <w:r>
            <w:rPr>
              <w:rFonts w:hint="eastAsia" w:ascii="黑体" w:hAnsi="黑体" w:eastAsia="黑体"/>
              <w:sz w:val="22"/>
              <w:szCs w:val="28"/>
              <w:highlight w:val="none"/>
            </w:rPr>
            <w:t>出决算情况说明</w:t>
          </w:r>
          <w:r>
            <w:rPr>
              <w:sz w:val="22"/>
              <w:szCs w:val="28"/>
            </w:rPr>
            <w:tab/>
          </w:r>
          <w:r>
            <w:rPr>
              <w:sz w:val="22"/>
              <w:szCs w:val="28"/>
            </w:rPr>
            <w:fldChar w:fldCharType="begin"/>
          </w:r>
          <w:r>
            <w:rPr>
              <w:sz w:val="22"/>
              <w:szCs w:val="28"/>
            </w:rPr>
            <w:instrText xml:space="preserve"> PAGEREF _Toc17713 \h </w:instrText>
          </w:r>
          <w:r>
            <w:rPr>
              <w:sz w:val="22"/>
              <w:szCs w:val="28"/>
            </w:rPr>
            <w:fldChar w:fldCharType="separate"/>
          </w:r>
          <w:r>
            <w:rPr>
              <w:sz w:val="22"/>
              <w:szCs w:val="28"/>
            </w:rPr>
            <w:t>7</w:t>
          </w:r>
          <w:r>
            <w:rPr>
              <w:sz w:val="22"/>
              <w:szCs w:val="28"/>
            </w:rPr>
            <w:fldChar w:fldCharType="end"/>
          </w:r>
          <w:r>
            <w:rPr>
              <w:sz w:val="22"/>
              <w:szCs w:val="28"/>
            </w:rPr>
            <w:fldChar w:fldCharType="end"/>
          </w:r>
        </w:p>
        <w:p w14:paraId="43678A59">
          <w:pPr>
            <w:pStyle w:val="12"/>
            <w:tabs>
              <w:tab w:val="right" w:leader="dot" w:pos="8306"/>
              <w:tab w:val="clear" w:pos="8296"/>
            </w:tabs>
            <w:rPr>
              <w:sz w:val="22"/>
              <w:szCs w:val="28"/>
            </w:rPr>
          </w:pPr>
          <w:r>
            <w:rPr>
              <w:sz w:val="22"/>
              <w:szCs w:val="28"/>
            </w:rPr>
            <w:fldChar w:fldCharType="begin"/>
          </w:r>
          <w:r>
            <w:rPr>
              <w:sz w:val="22"/>
              <w:szCs w:val="28"/>
            </w:rPr>
            <w:instrText xml:space="preserve"> HYPERLINK \l _Toc28919 </w:instrText>
          </w:r>
          <w:r>
            <w:rPr>
              <w:sz w:val="22"/>
              <w:szCs w:val="28"/>
            </w:rPr>
            <w:fldChar w:fldCharType="separate"/>
          </w:r>
          <w:r>
            <w:rPr>
              <w:rFonts w:hint="eastAsia" w:ascii="黑体" w:hAnsi="黑体" w:eastAsia="黑体"/>
              <w:sz w:val="22"/>
              <w:szCs w:val="36"/>
              <w:highlight w:val="none"/>
            </w:rPr>
            <w:t>四、财</w:t>
          </w:r>
          <w:r>
            <w:rPr>
              <w:rFonts w:hint="eastAsia" w:ascii="黑体" w:hAnsi="黑体" w:eastAsia="黑体"/>
              <w:sz w:val="22"/>
              <w:szCs w:val="28"/>
              <w:highlight w:val="none"/>
            </w:rPr>
            <w:t>政拨款收入支出决算总体情况说明</w:t>
          </w:r>
          <w:r>
            <w:rPr>
              <w:sz w:val="22"/>
              <w:szCs w:val="28"/>
            </w:rPr>
            <w:tab/>
          </w:r>
          <w:r>
            <w:rPr>
              <w:sz w:val="22"/>
              <w:szCs w:val="28"/>
            </w:rPr>
            <w:fldChar w:fldCharType="begin"/>
          </w:r>
          <w:r>
            <w:rPr>
              <w:sz w:val="22"/>
              <w:szCs w:val="28"/>
            </w:rPr>
            <w:instrText xml:space="preserve"> PAGEREF _Toc28919 \h </w:instrText>
          </w:r>
          <w:r>
            <w:rPr>
              <w:sz w:val="22"/>
              <w:szCs w:val="28"/>
            </w:rPr>
            <w:fldChar w:fldCharType="separate"/>
          </w:r>
          <w:r>
            <w:rPr>
              <w:sz w:val="22"/>
              <w:szCs w:val="28"/>
            </w:rPr>
            <w:t>7</w:t>
          </w:r>
          <w:r>
            <w:rPr>
              <w:sz w:val="22"/>
              <w:szCs w:val="28"/>
            </w:rPr>
            <w:fldChar w:fldCharType="end"/>
          </w:r>
          <w:r>
            <w:rPr>
              <w:sz w:val="22"/>
              <w:szCs w:val="28"/>
            </w:rPr>
            <w:fldChar w:fldCharType="end"/>
          </w:r>
        </w:p>
        <w:p w14:paraId="3DC955AE">
          <w:pPr>
            <w:pStyle w:val="12"/>
            <w:tabs>
              <w:tab w:val="right" w:leader="dot" w:pos="8306"/>
              <w:tab w:val="clear" w:pos="8296"/>
            </w:tabs>
            <w:rPr>
              <w:sz w:val="22"/>
              <w:szCs w:val="28"/>
            </w:rPr>
          </w:pPr>
          <w:r>
            <w:rPr>
              <w:sz w:val="22"/>
              <w:szCs w:val="28"/>
            </w:rPr>
            <w:fldChar w:fldCharType="begin"/>
          </w:r>
          <w:r>
            <w:rPr>
              <w:sz w:val="22"/>
              <w:szCs w:val="28"/>
            </w:rPr>
            <w:instrText xml:space="preserve"> HYPERLINK \l _Toc31819 </w:instrText>
          </w:r>
          <w:r>
            <w:rPr>
              <w:sz w:val="22"/>
              <w:szCs w:val="28"/>
            </w:rPr>
            <w:fldChar w:fldCharType="separate"/>
          </w:r>
          <w:r>
            <w:rPr>
              <w:rFonts w:hint="eastAsia" w:ascii="黑体" w:hAnsi="黑体" w:eastAsia="黑体"/>
              <w:sz w:val="22"/>
              <w:szCs w:val="36"/>
              <w:highlight w:val="none"/>
            </w:rPr>
            <w:t>五、一</w:t>
          </w:r>
          <w:r>
            <w:rPr>
              <w:rFonts w:hint="eastAsia" w:ascii="黑体" w:hAnsi="黑体" w:eastAsia="黑体"/>
              <w:sz w:val="22"/>
              <w:szCs w:val="28"/>
              <w:highlight w:val="none"/>
            </w:rPr>
            <w:t>般公共预算财政拨款支出决算情况说明</w:t>
          </w:r>
          <w:bookmarkStart w:id="104" w:name="_GoBack"/>
          <w:bookmarkEnd w:id="104"/>
          <w:r>
            <w:rPr>
              <w:sz w:val="22"/>
              <w:szCs w:val="28"/>
            </w:rPr>
            <w:tab/>
          </w:r>
          <w:r>
            <w:rPr>
              <w:sz w:val="22"/>
              <w:szCs w:val="28"/>
            </w:rPr>
            <w:fldChar w:fldCharType="begin"/>
          </w:r>
          <w:r>
            <w:rPr>
              <w:sz w:val="22"/>
              <w:szCs w:val="28"/>
            </w:rPr>
            <w:instrText xml:space="preserve"> PAGEREF _Toc31819 \h </w:instrText>
          </w:r>
          <w:r>
            <w:rPr>
              <w:sz w:val="22"/>
              <w:szCs w:val="28"/>
            </w:rPr>
            <w:fldChar w:fldCharType="separate"/>
          </w:r>
          <w:r>
            <w:rPr>
              <w:sz w:val="22"/>
              <w:szCs w:val="28"/>
            </w:rPr>
            <w:t>8</w:t>
          </w:r>
          <w:r>
            <w:rPr>
              <w:sz w:val="22"/>
              <w:szCs w:val="28"/>
            </w:rPr>
            <w:fldChar w:fldCharType="end"/>
          </w:r>
          <w:r>
            <w:rPr>
              <w:sz w:val="22"/>
              <w:szCs w:val="28"/>
            </w:rPr>
            <w:fldChar w:fldCharType="end"/>
          </w:r>
        </w:p>
        <w:p w14:paraId="7418BA8F">
          <w:pPr>
            <w:pStyle w:val="12"/>
            <w:tabs>
              <w:tab w:val="right" w:leader="dot" w:pos="8306"/>
              <w:tab w:val="clear" w:pos="8296"/>
            </w:tabs>
            <w:rPr>
              <w:sz w:val="22"/>
              <w:szCs w:val="28"/>
            </w:rPr>
          </w:pPr>
          <w:r>
            <w:rPr>
              <w:sz w:val="22"/>
              <w:szCs w:val="28"/>
            </w:rPr>
            <w:fldChar w:fldCharType="begin"/>
          </w:r>
          <w:r>
            <w:rPr>
              <w:sz w:val="22"/>
              <w:szCs w:val="28"/>
            </w:rPr>
            <w:instrText xml:space="preserve"> HYPERLINK \l _Toc14433 </w:instrText>
          </w:r>
          <w:r>
            <w:rPr>
              <w:sz w:val="22"/>
              <w:szCs w:val="28"/>
            </w:rPr>
            <w:fldChar w:fldCharType="separate"/>
          </w:r>
          <w:r>
            <w:rPr>
              <w:rFonts w:hint="eastAsia" w:ascii="黑体" w:eastAsia="黑体"/>
              <w:sz w:val="22"/>
              <w:szCs w:val="36"/>
              <w:highlight w:val="none"/>
            </w:rPr>
            <w:t>六、</w:t>
          </w:r>
          <w:r>
            <w:rPr>
              <w:rFonts w:hint="eastAsia" w:ascii="黑体" w:hAnsi="黑体" w:eastAsia="黑体"/>
              <w:sz w:val="22"/>
              <w:szCs w:val="36"/>
              <w:highlight w:val="none"/>
            </w:rPr>
            <w:t>一</w:t>
          </w:r>
          <w:r>
            <w:rPr>
              <w:rFonts w:hint="eastAsia" w:ascii="黑体" w:hAnsi="黑体" w:eastAsia="黑体"/>
              <w:sz w:val="22"/>
              <w:szCs w:val="28"/>
              <w:highlight w:val="none"/>
            </w:rPr>
            <w:t>般公共预算财政拨款基本支出决算情况说明</w:t>
          </w:r>
          <w:r>
            <w:rPr>
              <w:sz w:val="22"/>
              <w:szCs w:val="28"/>
            </w:rPr>
            <w:tab/>
          </w:r>
          <w:r>
            <w:rPr>
              <w:sz w:val="22"/>
              <w:szCs w:val="28"/>
            </w:rPr>
            <w:fldChar w:fldCharType="begin"/>
          </w:r>
          <w:r>
            <w:rPr>
              <w:sz w:val="22"/>
              <w:szCs w:val="28"/>
            </w:rPr>
            <w:instrText xml:space="preserve"> PAGEREF _Toc14433 \h </w:instrText>
          </w:r>
          <w:r>
            <w:rPr>
              <w:sz w:val="22"/>
              <w:szCs w:val="28"/>
            </w:rPr>
            <w:fldChar w:fldCharType="separate"/>
          </w:r>
          <w:r>
            <w:rPr>
              <w:sz w:val="22"/>
              <w:szCs w:val="28"/>
            </w:rPr>
            <w:t>10</w:t>
          </w:r>
          <w:r>
            <w:rPr>
              <w:sz w:val="22"/>
              <w:szCs w:val="28"/>
            </w:rPr>
            <w:fldChar w:fldCharType="end"/>
          </w:r>
          <w:r>
            <w:rPr>
              <w:sz w:val="22"/>
              <w:szCs w:val="28"/>
            </w:rPr>
            <w:fldChar w:fldCharType="end"/>
          </w:r>
        </w:p>
        <w:p w14:paraId="0D5401D5">
          <w:pPr>
            <w:pStyle w:val="12"/>
            <w:tabs>
              <w:tab w:val="right" w:leader="dot" w:pos="8306"/>
              <w:tab w:val="clear" w:pos="8296"/>
            </w:tabs>
            <w:rPr>
              <w:sz w:val="22"/>
              <w:szCs w:val="28"/>
            </w:rPr>
          </w:pPr>
          <w:r>
            <w:rPr>
              <w:sz w:val="22"/>
              <w:szCs w:val="28"/>
            </w:rPr>
            <w:fldChar w:fldCharType="begin"/>
          </w:r>
          <w:r>
            <w:rPr>
              <w:sz w:val="22"/>
              <w:szCs w:val="28"/>
            </w:rPr>
            <w:instrText xml:space="preserve"> HYPERLINK \l _Toc9434 </w:instrText>
          </w:r>
          <w:r>
            <w:rPr>
              <w:sz w:val="22"/>
              <w:szCs w:val="28"/>
            </w:rPr>
            <w:fldChar w:fldCharType="separate"/>
          </w:r>
          <w:r>
            <w:rPr>
              <w:rFonts w:hint="eastAsia" w:ascii="黑体" w:eastAsia="黑体"/>
              <w:sz w:val="22"/>
              <w:szCs w:val="36"/>
              <w:highlight w:val="none"/>
            </w:rPr>
            <w:t>七、</w:t>
          </w:r>
          <w:r>
            <w:rPr>
              <w:rFonts w:hint="eastAsia" w:ascii="黑体" w:hAnsi="黑体" w:eastAsia="黑体"/>
              <w:sz w:val="22"/>
              <w:szCs w:val="28"/>
              <w:highlight w:val="none"/>
            </w:rPr>
            <w:t>财政拨款“三公”经费支出决算情况说明</w:t>
          </w:r>
          <w:r>
            <w:rPr>
              <w:sz w:val="22"/>
              <w:szCs w:val="28"/>
            </w:rPr>
            <w:tab/>
          </w:r>
          <w:r>
            <w:rPr>
              <w:sz w:val="22"/>
              <w:szCs w:val="28"/>
            </w:rPr>
            <w:fldChar w:fldCharType="begin"/>
          </w:r>
          <w:r>
            <w:rPr>
              <w:sz w:val="22"/>
              <w:szCs w:val="28"/>
            </w:rPr>
            <w:instrText xml:space="preserve"> PAGEREF _Toc9434 \h </w:instrText>
          </w:r>
          <w:r>
            <w:rPr>
              <w:sz w:val="22"/>
              <w:szCs w:val="28"/>
            </w:rPr>
            <w:fldChar w:fldCharType="separate"/>
          </w:r>
          <w:r>
            <w:rPr>
              <w:sz w:val="22"/>
              <w:szCs w:val="28"/>
            </w:rPr>
            <w:t>11</w:t>
          </w:r>
          <w:r>
            <w:rPr>
              <w:sz w:val="22"/>
              <w:szCs w:val="28"/>
            </w:rPr>
            <w:fldChar w:fldCharType="end"/>
          </w:r>
          <w:r>
            <w:rPr>
              <w:sz w:val="22"/>
              <w:szCs w:val="28"/>
            </w:rPr>
            <w:fldChar w:fldCharType="end"/>
          </w:r>
        </w:p>
        <w:p w14:paraId="1151531C">
          <w:pPr>
            <w:pStyle w:val="12"/>
            <w:tabs>
              <w:tab w:val="right" w:leader="dot" w:pos="8306"/>
              <w:tab w:val="clear" w:pos="8296"/>
            </w:tabs>
            <w:rPr>
              <w:sz w:val="22"/>
              <w:szCs w:val="28"/>
            </w:rPr>
          </w:pPr>
          <w:r>
            <w:rPr>
              <w:sz w:val="22"/>
              <w:szCs w:val="28"/>
            </w:rPr>
            <w:fldChar w:fldCharType="begin"/>
          </w:r>
          <w:r>
            <w:rPr>
              <w:sz w:val="22"/>
              <w:szCs w:val="28"/>
            </w:rPr>
            <w:instrText xml:space="preserve"> HYPERLINK \l _Toc3187 </w:instrText>
          </w:r>
          <w:r>
            <w:rPr>
              <w:sz w:val="22"/>
              <w:szCs w:val="28"/>
            </w:rPr>
            <w:fldChar w:fldCharType="separate"/>
          </w:r>
          <w:r>
            <w:rPr>
              <w:rFonts w:hint="eastAsia" w:ascii="黑体" w:eastAsia="黑体"/>
              <w:sz w:val="22"/>
              <w:szCs w:val="36"/>
              <w:highlight w:val="none"/>
            </w:rPr>
            <w:t>八、</w:t>
          </w:r>
          <w:r>
            <w:rPr>
              <w:rFonts w:hint="eastAsia" w:ascii="黑体" w:hAnsi="黑体" w:eastAsia="黑体"/>
              <w:sz w:val="22"/>
              <w:szCs w:val="28"/>
              <w:highlight w:val="none"/>
            </w:rPr>
            <w:t>政府性基金预算支出决算情况说明</w:t>
          </w:r>
          <w:r>
            <w:rPr>
              <w:sz w:val="22"/>
              <w:szCs w:val="28"/>
            </w:rPr>
            <w:tab/>
          </w:r>
          <w:r>
            <w:rPr>
              <w:sz w:val="22"/>
              <w:szCs w:val="28"/>
            </w:rPr>
            <w:fldChar w:fldCharType="begin"/>
          </w:r>
          <w:r>
            <w:rPr>
              <w:sz w:val="22"/>
              <w:szCs w:val="28"/>
            </w:rPr>
            <w:instrText xml:space="preserve"> PAGEREF _Toc3187 \h </w:instrText>
          </w:r>
          <w:r>
            <w:rPr>
              <w:sz w:val="22"/>
              <w:szCs w:val="28"/>
            </w:rPr>
            <w:fldChar w:fldCharType="separate"/>
          </w:r>
          <w:r>
            <w:rPr>
              <w:sz w:val="22"/>
              <w:szCs w:val="28"/>
            </w:rPr>
            <w:t>13</w:t>
          </w:r>
          <w:r>
            <w:rPr>
              <w:sz w:val="22"/>
              <w:szCs w:val="28"/>
            </w:rPr>
            <w:fldChar w:fldCharType="end"/>
          </w:r>
          <w:r>
            <w:rPr>
              <w:sz w:val="22"/>
              <w:szCs w:val="28"/>
            </w:rPr>
            <w:fldChar w:fldCharType="end"/>
          </w:r>
        </w:p>
        <w:p w14:paraId="0C304D0A">
          <w:pPr>
            <w:pStyle w:val="12"/>
            <w:tabs>
              <w:tab w:val="right" w:leader="dot" w:pos="8306"/>
              <w:tab w:val="clear" w:pos="8296"/>
            </w:tabs>
            <w:rPr>
              <w:sz w:val="22"/>
              <w:szCs w:val="28"/>
            </w:rPr>
          </w:pPr>
          <w:r>
            <w:rPr>
              <w:sz w:val="22"/>
              <w:szCs w:val="28"/>
            </w:rPr>
            <w:fldChar w:fldCharType="begin"/>
          </w:r>
          <w:r>
            <w:rPr>
              <w:sz w:val="22"/>
              <w:szCs w:val="28"/>
            </w:rPr>
            <w:instrText xml:space="preserve"> HYPERLINK \l _Toc24850 </w:instrText>
          </w:r>
          <w:r>
            <w:rPr>
              <w:sz w:val="22"/>
              <w:szCs w:val="28"/>
            </w:rPr>
            <w:fldChar w:fldCharType="separate"/>
          </w:r>
          <w:r>
            <w:rPr>
              <w:rFonts w:hint="eastAsia" w:ascii="黑体" w:hAnsi="黑体" w:eastAsia="黑体"/>
              <w:sz w:val="22"/>
              <w:szCs w:val="28"/>
            </w:rPr>
            <w:t xml:space="preserve">九、 </w:t>
          </w:r>
          <w:r>
            <w:rPr>
              <w:rFonts w:hint="eastAsia" w:ascii="黑体" w:hAnsi="黑体" w:eastAsia="黑体"/>
              <w:sz w:val="22"/>
              <w:szCs w:val="28"/>
              <w:highlight w:val="none"/>
            </w:rPr>
            <w:t>国有资本经营预算支出决算情况说明</w:t>
          </w:r>
          <w:r>
            <w:rPr>
              <w:sz w:val="22"/>
              <w:szCs w:val="28"/>
            </w:rPr>
            <w:tab/>
          </w:r>
          <w:r>
            <w:rPr>
              <w:sz w:val="22"/>
              <w:szCs w:val="28"/>
            </w:rPr>
            <w:fldChar w:fldCharType="begin"/>
          </w:r>
          <w:r>
            <w:rPr>
              <w:sz w:val="22"/>
              <w:szCs w:val="28"/>
            </w:rPr>
            <w:instrText xml:space="preserve"> PAGEREF _Toc24850 \h </w:instrText>
          </w:r>
          <w:r>
            <w:rPr>
              <w:sz w:val="22"/>
              <w:szCs w:val="28"/>
            </w:rPr>
            <w:fldChar w:fldCharType="separate"/>
          </w:r>
          <w:r>
            <w:rPr>
              <w:sz w:val="22"/>
              <w:szCs w:val="28"/>
            </w:rPr>
            <w:t>13</w:t>
          </w:r>
          <w:r>
            <w:rPr>
              <w:sz w:val="22"/>
              <w:szCs w:val="28"/>
            </w:rPr>
            <w:fldChar w:fldCharType="end"/>
          </w:r>
          <w:r>
            <w:rPr>
              <w:sz w:val="22"/>
              <w:szCs w:val="28"/>
            </w:rPr>
            <w:fldChar w:fldCharType="end"/>
          </w:r>
        </w:p>
        <w:p w14:paraId="0BF28D9E">
          <w:pPr>
            <w:pStyle w:val="12"/>
            <w:tabs>
              <w:tab w:val="right" w:leader="dot" w:pos="8306"/>
              <w:tab w:val="clear" w:pos="8296"/>
            </w:tabs>
            <w:rPr>
              <w:sz w:val="22"/>
              <w:szCs w:val="28"/>
            </w:rPr>
          </w:pPr>
          <w:r>
            <w:rPr>
              <w:sz w:val="22"/>
              <w:szCs w:val="28"/>
            </w:rPr>
            <w:fldChar w:fldCharType="begin"/>
          </w:r>
          <w:r>
            <w:rPr>
              <w:sz w:val="22"/>
              <w:szCs w:val="28"/>
            </w:rPr>
            <w:instrText xml:space="preserve"> HYPERLINK \l _Toc18853 </w:instrText>
          </w:r>
          <w:r>
            <w:rPr>
              <w:sz w:val="22"/>
              <w:szCs w:val="28"/>
            </w:rPr>
            <w:fldChar w:fldCharType="separate"/>
          </w:r>
          <w:r>
            <w:rPr>
              <w:rFonts w:hint="eastAsia" w:ascii="黑体" w:hAnsi="黑体" w:eastAsia="黑体"/>
              <w:sz w:val="22"/>
              <w:szCs w:val="28"/>
            </w:rPr>
            <w:t xml:space="preserve">十、 </w:t>
          </w:r>
          <w:r>
            <w:rPr>
              <w:rFonts w:hint="eastAsia" w:ascii="黑体" w:hAnsi="黑体" w:eastAsia="黑体"/>
              <w:sz w:val="22"/>
              <w:szCs w:val="28"/>
              <w:highlight w:val="none"/>
            </w:rPr>
            <w:t>其他重要事项的情况说明</w:t>
          </w:r>
          <w:r>
            <w:rPr>
              <w:sz w:val="22"/>
              <w:szCs w:val="28"/>
            </w:rPr>
            <w:tab/>
          </w:r>
          <w:r>
            <w:rPr>
              <w:sz w:val="22"/>
              <w:szCs w:val="28"/>
            </w:rPr>
            <w:fldChar w:fldCharType="begin"/>
          </w:r>
          <w:r>
            <w:rPr>
              <w:sz w:val="22"/>
              <w:szCs w:val="28"/>
            </w:rPr>
            <w:instrText xml:space="preserve"> PAGEREF _Toc18853 \h </w:instrText>
          </w:r>
          <w:r>
            <w:rPr>
              <w:sz w:val="22"/>
              <w:szCs w:val="28"/>
            </w:rPr>
            <w:fldChar w:fldCharType="separate"/>
          </w:r>
          <w:r>
            <w:rPr>
              <w:sz w:val="22"/>
              <w:szCs w:val="28"/>
            </w:rPr>
            <w:t>13</w:t>
          </w:r>
          <w:r>
            <w:rPr>
              <w:sz w:val="22"/>
              <w:szCs w:val="28"/>
            </w:rPr>
            <w:fldChar w:fldCharType="end"/>
          </w:r>
          <w:r>
            <w:rPr>
              <w:sz w:val="22"/>
              <w:szCs w:val="28"/>
            </w:rPr>
            <w:fldChar w:fldCharType="end"/>
          </w:r>
        </w:p>
        <w:p w14:paraId="6EA52E85">
          <w:pPr>
            <w:pStyle w:val="11"/>
            <w:tabs>
              <w:tab w:val="right" w:leader="dot" w:pos="8306"/>
              <w:tab w:val="clear" w:pos="8296"/>
            </w:tabs>
            <w:rPr>
              <w:sz w:val="32"/>
              <w:szCs w:val="32"/>
            </w:rPr>
          </w:pPr>
          <w:r>
            <w:rPr>
              <w:sz w:val="32"/>
              <w:szCs w:val="32"/>
            </w:rPr>
            <w:fldChar w:fldCharType="begin"/>
          </w:r>
          <w:r>
            <w:rPr>
              <w:sz w:val="32"/>
              <w:szCs w:val="32"/>
            </w:rPr>
            <w:instrText xml:space="preserve"> HYPERLINK \l _Toc648 </w:instrText>
          </w:r>
          <w:r>
            <w:rPr>
              <w:sz w:val="32"/>
              <w:szCs w:val="32"/>
            </w:rPr>
            <w:fldChar w:fldCharType="separate"/>
          </w:r>
          <w:r>
            <w:rPr>
              <w:rFonts w:hint="eastAsia" w:ascii="黑体" w:hAnsi="黑体" w:eastAsia="黑体"/>
              <w:sz w:val="32"/>
              <w:szCs w:val="32"/>
            </w:rPr>
            <w:t xml:space="preserve">第三部分 </w:t>
          </w:r>
          <w:r>
            <w:rPr>
              <w:rFonts w:hint="eastAsia" w:ascii="黑体" w:hAnsi="黑体" w:eastAsia="黑体"/>
              <w:sz w:val="32"/>
              <w:szCs w:val="48"/>
              <w:highlight w:val="none"/>
            </w:rPr>
            <w:t>名</w:t>
          </w:r>
          <w:r>
            <w:rPr>
              <w:rFonts w:hint="eastAsia" w:ascii="黑体" w:hAnsi="黑体" w:eastAsia="黑体"/>
              <w:sz w:val="32"/>
              <w:szCs w:val="32"/>
              <w:highlight w:val="none"/>
            </w:rPr>
            <w:t>词解释</w:t>
          </w:r>
          <w:r>
            <w:rPr>
              <w:sz w:val="32"/>
              <w:szCs w:val="32"/>
            </w:rPr>
            <w:tab/>
          </w:r>
          <w:r>
            <w:rPr>
              <w:sz w:val="32"/>
              <w:szCs w:val="32"/>
            </w:rPr>
            <w:fldChar w:fldCharType="begin"/>
          </w:r>
          <w:r>
            <w:rPr>
              <w:sz w:val="32"/>
              <w:szCs w:val="32"/>
            </w:rPr>
            <w:instrText xml:space="preserve"> PAGEREF _Toc648 \h </w:instrText>
          </w:r>
          <w:r>
            <w:rPr>
              <w:sz w:val="32"/>
              <w:szCs w:val="32"/>
            </w:rPr>
            <w:fldChar w:fldCharType="separate"/>
          </w:r>
          <w:r>
            <w:rPr>
              <w:sz w:val="32"/>
              <w:szCs w:val="32"/>
            </w:rPr>
            <w:t>15</w:t>
          </w:r>
          <w:r>
            <w:rPr>
              <w:sz w:val="32"/>
              <w:szCs w:val="32"/>
            </w:rPr>
            <w:fldChar w:fldCharType="end"/>
          </w:r>
          <w:r>
            <w:rPr>
              <w:sz w:val="32"/>
              <w:szCs w:val="32"/>
            </w:rPr>
            <w:fldChar w:fldCharType="end"/>
          </w:r>
        </w:p>
        <w:p w14:paraId="1FB12C26">
          <w:pPr>
            <w:pStyle w:val="11"/>
            <w:tabs>
              <w:tab w:val="right" w:leader="dot" w:pos="8306"/>
              <w:tab w:val="clear" w:pos="8296"/>
            </w:tabs>
            <w:rPr>
              <w:sz w:val="32"/>
              <w:szCs w:val="32"/>
            </w:rPr>
          </w:pPr>
          <w:r>
            <w:rPr>
              <w:sz w:val="32"/>
              <w:szCs w:val="32"/>
            </w:rPr>
            <w:fldChar w:fldCharType="begin"/>
          </w:r>
          <w:r>
            <w:rPr>
              <w:sz w:val="32"/>
              <w:szCs w:val="32"/>
            </w:rPr>
            <w:instrText xml:space="preserve"> HYPERLINK \l _Toc20022 </w:instrText>
          </w:r>
          <w:r>
            <w:rPr>
              <w:sz w:val="32"/>
              <w:szCs w:val="32"/>
            </w:rPr>
            <w:fldChar w:fldCharType="separate"/>
          </w:r>
          <w:r>
            <w:rPr>
              <w:rFonts w:hint="eastAsia" w:ascii="黑体" w:hAnsi="黑体" w:eastAsia="黑体"/>
              <w:sz w:val="32"/>
              <w:szCs w:val="48"/>
              <w:highlight w:val="none"/>
            </w:rPr>
            <w:t>第</w:t>
          </w:r>
          <w:r>
            <w:rPr>
              <w:rFonts w:hint="eastAsia" w:ascii="黑体" w:hAnsi="黑体" w:eastAsia="黑体"/>
              <w:sz w:val="32"/>
              <w:szCs w:val="32"/>
              <w:highlight w:val="none"/>
            </w:rPr>
            <w:t>四部分 附件</w:t>
          </w:r>
          <w:r>
            <w:rPr>
              <w:sz w:val="32"/>
              <w:szCs w:val="32"/>
            </w:rPr>
            <w:tab/>
          </w:r>
          <w:r>
            <w:rPr>
              <w:sz w:val="32"/>
              <w:szCs w:val="32"/>
            </w:rPr>
            <w:fldChar w:fldCharType="begin"/>
          </w:r>
          <w:r>
            <w:rPr>
              <w:sz w:val="32"/>
              <w:szCs w:val="32"/>
            </w:rPr>
            <w:instrText xml:space="preserve"> PAGEREF _Toc20022 \h </w:instrText>
          </w:r>
          <w:r>
            <w:rPr>
              <w:sz w:val="32"/>
              <w:szCs w:val="32"/>
            </w:rPr>
            <w:fldChar w:fldCharType="separate"/>
          </w:r>
          <w:r>
            <w:rPr>
              <w:sz w:val="32"/>
              <w:szCs w:val="32"/>
            </w:rPr>
            <w:t>18</w:t>
          </w:r>
          <w:r>
            <w:rPr>
              <w:sz w:val="32"/>
              <w:szCs w:val="32"/>
            </w:rPr>
            <w:fldChar w:fldCharType="end"/>
          </w:r>
          <w:r>
            <w:rPr>
              <w:sz w:val="32"/>
              <w:szCs w:val="32"/>
            </w:rPr>
            <w:fldChar w:fldCharType="end"/>
          </w:r>
        </w:p>
        <w:p w14:paraId="157C6059">
          <w:pPr>
            <w:pStyle w:val="11"/>
            <w:tabs>
              <w:tab w:val="right" w:leader="dot" w:pos="8306"/>
              <w:tab w:val="clear" w:pos="8296"/>
            </w:tabs>
            <w:rPr>
              <w:sz w:val="32"/>
              <w:szCs w:val="32"/>
            </w:rPr>
          </w:pPr>
          <w:r>
            <w:rPr>
              <w:sz w:val="32"/>
              <w:szCs w:val="32"/>
            </w:rPr>
            <w:fldChar w:fldCharType="begin"/>
          </w:r>
          <w:r>
            <w:rPr>
              <w:sz w:val="32"/>
              <w:szCs w:val="32"/>
            </w:rPr>
            <w:instrText xml:space="preserve"> HYPERLINK \l _Toc6106 </w:instrText>
          </w:r>
          <w:r>
            <w:rPr>
              <w:sz w:val="32"/>
              <w:szCs w:val="32"/>
            </w:rPr>
            <w:fldChar w:fldCharType="separate"/>
          </w:r>
          <w:r>
            <w:rPr>
              <w:rFonts w:hint="eastAsia" w:ascii="黑体" w:hAnsi="黑体" w:eastAsia="黑体"/>
              <w:sz w:val="32"/>
              <w:szCs w:val="48"/>
              <w:highlight w:val="none"/>
            </w:rPr>
            <w:t>第</w:t>
          </w:r>
          <w:r>
            <w:rPr>
              <w:rFonts w:hint="eastAsia" w:ascii="黑体" w:hAnsi="黑体" w:eastAsia="黑体"/>
              <w:sz w:val="32"/>
              <w:szCs w:val="32"/>
              <w:highlight w:val="none"/>
            </w:rPr>
            <w:t>五部分 附表</w:t>
          </w:r>
          <w:r>
            <w:rPr>
              <w:sz w:val="32"/>
              <w:szCs w:val="32"/>
            </w:rPr>
            <w:tab/>
          </w:r>
          <w:r>
            <w:rPr>
              <w:sz w:val="32"/>
              <w:szCs w:val="32"/>
            </w:rPr>
            <w:fldChar w:fldCharType="begin"/>
          </w:r>
          <w:r>
            <w:rPr>
              <w:sz w:val="32"/>
              <w:szCs w:val="32"/>
            </w:rPr>
            <w:instrText xml:space="preserve"> PAGEREF _Toc6106 \h </w:instrText>
          </w:r>
          <w:r>
            <w:rPr>
              <w:sz w:val="32"/>
              <w:szCs w:val="32"/>
            </w:rPr>
            <w:fldChar w:fldCharType="separate"/>
          </w:r>
          <w:r>
            <w:rPr>
              <w:sz w:val="32"/>
              <w:szCs w:val="32"/>
            </w:rPr>
            <w:t>24</w:t>
          </w:r>
          <w:r>
            <w:rPr>
              <w:sz w:val="32"/>
              <w:szCs w:val="32"/>
            </w:rPr>
            <w:fldChar w:fldCharType="end"/>
          </w:r>
          <w:r>
            <w:rPr>
              <w:sz w:val="32"/>
              <w:szCs w:val="32"/>
            </w:rPr>
            <w:fldChar w:fldCharType="end"/>
          </w:r>
        </w:p>
        <w:p w14:paraId="265F158C">
          <w:pPr>
            <w:pStyle w:val="12"/>
            <w:tabs>
              <w:tab w:val="right" w:leader="dot" w:pos="8306"/>
              <w:tab w:val="clear" w:pos="8296"/>
            </w:tabs>
            <w:rPr>
              <w:rFonts w:hint="eastAsia" w:ascii="黑体" w:hAnsi="黑体" w:eastAsia="黑体" w:cs="黑体"/>
              <w:sz w:val="22"/>
              <w:szCs w:val="28"/>
            </w:rPr>
          </w:pP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HYPERLINK \l _Toc12487 </w:instrText>
          </w:r>
          <w:r>
            <w:rPr>
              <w:rFonts w:hint="eastAsia" w:ascii="黑体" w:hAnsi="黑体" w:eastAsia="黑体" w:cs="黑体"/>
              <w:sz w:val="22"/>
              <w:szCs w:val="28"/>
            </w:rPr>
            <w:fldChar w:fldCharType="separate"/>
          </w:r>
          <w:r>
            <w:rPr>
              <w:rFonts w:hint="eastAsia" w:ascii="黑体" w:hAnsi="黑体" w:eastAsia="黑体" w:cs="黑体"/>
              <w:sz w:val="22"/>
              <w:szCs w:val="28"/>
              <w:highlight w:val="none"/>
            </w:rPr>
            <w:t>一、收</w:t>
          </w:r>
          <w:r>
            <w:rPr>
              <w:rFonts w:hint="eastAsia" w:ascii="黑体" w:hAnsi="黑体" w:eastAsia="黑体" w:cs="黑体"/>
              <w:bCs w:val="0"/>
              <w:sz w:val="22"/>
              <w:szCs w:val="28"/>
              <w:highlight w:val="none"/>
            </w:rPr>
            <w:t>入支出决算总表</w:t>
          </w:r>
          <w:r>
            <w:rPr>
              <w:rFonts w:hint="eastAsia" w:ascii="黑体" w:hAnsi="黑体" w:eastAsia="黑体" w:cs="黑体"/>
              <w:sz w:val="22"/>
              <w:szCs w:val="28"/>
            </w:rPr>
            <w:tab/>
          </w: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PAGEREF _Toc12487 \h </w:instrText>
          </w:r>
          <w:r>
            <w:rPr>
              <w:rFonts w:hint="eastAsia" w:ascii="黑体" w:hAnsi="黑体" w:eastAsia="黑体" w:cs="黑体"/>
              <w:sz w:val="22"/>
              <w:szCs w:val="28"/>
            </w:rPr>
            <w:fldChar w:fldCharType="separate"/>
          </w:r>
          <w:r>
            <w:rPr>
              <w:rFonts w:hint="eastAsia" w:ascii="黑体" w:hAnsi="黑体" w:eastAsia="黑体" w:cs="黑体"/>
              <w:sz w:val="22"/>
              <w:szCs w:val="28"/>
            </w:rPr>
            <w:t>24</w:t>
          </w:r>
          <w:r>
            <w:rPr>
              <w:rFonts w:hint="eastAsia" w:ascii="黑体" w:hAnsi="黑体" w:eastAsia="黑体" w:cs="黑体"/>
              <w:sz w:val="22"/>
              <w:szCs w:val="28"/>
            </w:rPr>
            <w:fldChar w:fldCharType="end"/>
          </w:r>
          <w:r>
            <w:rPr>
              <w:rFonts w:hint="eastAsia" w:ascii="黑体" w:hAnsi="黑体" w:eastAsia="黑体" w:cs="黑体"/>
              <w:sz w:val="22"/>
              <w:szCs w:val="28"/>
            </w:rPr>
            <w:fldChar w:fldCharType="end"/>
          </w:r>
        </w:p>
        <w:p w14:paraId="1DDAFB6B">
          <w:pPr>
            <w:pStyle w:val="12"/>
            <w:tabs>
              <w:tab w:val="right" w:leader="dot" w:pos="8306"/>
              <w:tab w:val="clear" w:pos="8296"/>
            </w:tabs>
            <w:rPr>
              <w:rFonts w:hint="eastAsia" w:ascii="黑体" w:hAnsi="黑体" w:eastAsia="黑体" w:cs="黑体"/>
              <w:sz w:val="22"/>
              <w:szCs w:val="28"/>
            </w:rPr>
          </w:pP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HYPERLINK \l _Toc19494 </w:instrText>
          </w:r>
          <w:r>
            <w:rPr>
              <w:rFonts w:hint="eastAsia" w:ascii="黑体" w:hAnsi="黑体" w:eastAsia="黑体" w:cs="黑体"/>
              <w:sz w:val="22"/>
              <w:szCs w:val="28"/>
            </w:rPr>
            <w:fldChar w:fldCharType="separate"/>
          </w:r>
          <w:r>
            <w:rPr>
              <w:rFonts w:hint="eastAsia" w:ascii="黑体" w:hAnsi="黑体" w:eastAsia="黑体" w:cs="黑体"/>
              <w:sz w:val="22"/>
              <w:szCs w:val="28"/>
              <w:highlight w:val="none"/>
            </w:rPr>
            <w:t>二、收</w:t>
          </w:r>
          <w:r>
            <w:rPr>
              <w:rFonts w:hint="eastAsia" w:ascii="黑体" w:hAnsi="黑体" w:eastAsia="黑体" w:cs="黑体"/>
              <w:bCs w:val="0"/>
              <w:sz w:val="22"/>
              <w:szCs w:val="28"/>
              <w:highlight w:val="none"/>
            </w:rPr>
            <w:t>入决算表</w:t>
          </w:r>
          <w:r>
            <w:rPr>
              <w:rFonts w:hint="eastAsia" w:ascii="黑体" w:hAnsi="黑体" w:eastAsia="黑体" w:cs="黑体"/>
              <w:sz w:val="22"/>
              <w:szCs w:val="28"/>
            </w:rPr>
            <w:tab/>
          </w: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PAGEREF _Toc19494 \h </w:instrText>
          </w:r>
          <w:r>
            <w:rPr>
              <w:rFonts w:hint="eastAsia" w:ascii="黑体" w:hAnsi="黑体" w:eastAsia="黑体" w:cs="黑体"/>
              <w:sz w:val="22"/>
              <w:szCs w:val="28"/>
            </w:rPr>
            <w:fldChar w:fldCharType="separate"/>
          </w:r>
          <w:r>
            <w:rPr>
              <w:rFonts w:hint="eastAsia" w:ascii="黑体" w:hAnsi="黑体" w:eastAsia="黑体" w:cs="黑体"/>
              <w:sz w:val="22"/>
              <w:szCs w:val="28"/>
            </w:rPr>
            <w:t>24</w:t>
          </w:r>
          <w:r>
            <w:rPr>
              <w:rFonts w:hint="eastAsia" w:ascii="黑体" w:hAnsi="黑体" w:eastAsia="黑体" w:cs="黑体"/>
              <w:sz w:val="22"/>
              <w:szCs w:val="28"/>
            </w:rPr>
            <w:fldChar w:fldCharType="end"/>
          </w:r>
          <w:r>
            <w:rPr>
              <w:rFonts w:hint="eastAsia" w:ascii="黑体" w:hAnsi="黑体" w:eastAsia="黑体" w:cs="黑体"/>
              <w:sz w:val="22"/>
              <w:szCs w:val="28"/>
            </w:rPr>
            <w:fldChar w:fldCharType="end"/>
          </w:r>
        </w:p>
        <w:p w14:paraId="4B782FEB">
          <w:pPr>
            <w:pStyle w:val="12"/>
            <w:tabs>
              <w:tab w:val="right" w:leader="dot" w:pos="8306"/>
              <w:tab w:val="clear" w:pos="8296"/>
            </w:tabs>
            <w:rPr>
              <w:rFonts w:hint="eastAsia" w:ascii="黑体" w:hAnsi="黑体" w:eastAsia="黑体" w:cs="黑体"/>
              <w:sz w:val="22"/>
              <w:szCs w:val="28"/>
            </w:rPr>
          </w:pP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HYPERLINK \l _Toc20482 </w:instrText>
          </w:r>
          <w:r>
            <w:rPr>
              <w:rFonts w:hint="eastAsia" w:ascii="黑体" w:hAnsi="黑体" w:eastAsia="黑体" w:cs="黑体"/>
              <w:sz w:val="22"/>
              <w:szCs w:val="28"/>
            </w:rPr>
            <w:fldChar w:fldCharType="separate"/>
          </w:r>
          <w:r>
            <w:rPr>
              <w:rFonts w:hint="eastAsia" w:ascii="黑体" w:hAnsi="黑体" w:eastAsia="黑体" w:cs="黑体"/>
              <w:bCs w:val="0"/>
              <w:sz w:val="22"/>
              <w:szCs w:val="28"/>
              <w:highlight w:val="none"/>
            </w:rPr>
            <w:t>三、</w:t>
          </w:r>
          <w:r>
            <w:rPr>
              <w:rFonts w:hint="eastAsia" w:ascii="黑体" w:hAnsi="黑体" w:eastAsia="黑体" w:cs="黑体"/>
              <w:sz w:val="22"/>
              <w:szCs w:val="28"/>
              <w:highlight w:val="none"/>
            </w:rPr>
            <w:t>支</w:t>
          </w:r>
          <w:r>
            <w:rPr>
              <w:rFonts w:hint="eastAsia" w:ascii="黑体" w:hAnsi="黑体" w:eastAsia="黑体" w:cs="黑体"/>
              <w:bCs w:val="0"/>
              <w:sz w:val="22"/>
              <w:szCs w:val="28"/>
              <w:highlight w:val="none"/>
            </w:rPr>
            <w:t>出决算表</w:t>
          </w:r>
          <w:r>
            <w:rPr>
              <w:rFonts w:hint="eastAsia" w:ascii="黑体" w:hAnsi="黑体" w:eastAsia="黑体" w:cs="黑体"/>
              <w:sz w:val="22"/>
              <w:szCs w:val="28"/>
            </w:rPr>
            <w:tab/>
          </w: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PAGEREF _Toc20482 \h </w:instrText>
          </w:r>
          <w:r>
            <w:rPr>
              <w:rFonts w:hint="eastAsia" w:ascii="黑体" w:hAnsi="黑体" w:eastAsia="黑体" w:cs="黑体"/>
              <w:sz w:val="22"/>
              <w:szCs w:val="28"/>
            </w:rPr>
            <w:fldChar w:fldCharType="separate"/>
          </w:r>
          <w:r>
            <w:rPr>
              <w:rFonts w:hint="eastAsia" w:ascii="黑体" w:hAnsi="黑体" w:eastAsia="黑体" w:cs="黑体"/>
              <w:sz w:val="22"/>
              <w:szCs w:val="28"/>
            </w:rPr>
            <w:t>24</w:t>
          </w:r>
          <w:r>
            <w:rPr>
              <w:rFonts w:hint="eastAsia" w:ascii="黑体" w:hAnsi="黑体" w:eastAsia="黑体" w:cs="黑体"/>
              <w:sz w:val="22"/>
              <w:szCs w:val="28"/>
            </w:rPr>
            <w:fldChar w:fldCharType="end"/>
          </w:r>
          <w:r>
            <w:rPr>
              <w:rFonts w:hint="eastAsia" w:ascii="黑体" w:hAnsi="黑体" w:eastAsia="黑体" w:cs="黑体"/>
              <w:sz w:val="22"/>
              <w:szCs w:val="28"/>
            </w:rPr>
            <w:fldChar w:fldCharType="end"/>
          </w:r>
        </w:p>
        <w:p w14:paraId="57233E50">
          <w:pPr>
            <w:pStyle w:val="12"/>
            <w:tabs>
              <w:tab w:val="right" w:leader="dot" w:pos="8306"/>
              <w:tab w:val="clear" w:pos="8296"/>
            </w:tabs>
            <w:rPr>
              <w:rFonts w:hint="eastAsia" w:ascii="黑体" w:hAnsi="黑体" w:eastAsia="黑体" w:cs="黑体"/>
              <w:sz w:val="22"/>
              <w:szCs w:val="28"/>
            </w:rPr>
          </w:pP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HYPERLINK \l _Toc26930 </w:instrText>
          </w:r>
          <w:r>
            <w:rPr>
              <w:rFonts w:hint="eastAsia" w:ascii="黑体" w:hAnsi="黑体" w:eastAsia="黑体" w:cs="黑体"/>
              <w:sz w:val="22"/>
              <w:szCs w:val="28"/>
            </w:rPr>
            <w:fldChar w:fldCharType="separate"/>
          </w:r>
          <w:r>
            <w:rPr>
              <w:rFonts w:hint="eastAsia" w:ascii="黑体" w:hAnsi="黑体" w:eastAsia="黑体" w:cs="黑体"/>
              <w:bCs w:val="0"/>
              <w:sz w:val="22"/>
              <w:szCs w:val="28"/>
              <w:highlight w:val="none"/>
            </w:rPr>
            <w:t>四、</w:t>
          </w:r>
          <w:r>
            <w:rPr>
              <w:rFonts w:hint="eastAsia" w:ascii="黑体" w:hAnsi="黑体" w:eastAsia="黑体" w:cs="黑体"/>
              <w:sz w:val="22"/>
              <w:szCs w:val="28"/>
              <w:highlight w:val="none"/>
            </w:rPr>
            <w:t>财</w:t>
          </w:r>
          <w:r>
            <w:rPr>
              <w:rFonts w:hint="eastAsia" w:ascii="黑体" w:hAnsi="黑体" w:eastAsia="黑体" w:cs="黑体"/>
              <w:bCs w:val="0"/>
              <w:sz w:val="22"/>
              <w:szCs w:val="28"/>
              <w:highlight w:val="none"/>
            </w:rPr>
            <w:t>政拨款收入支出决算总表</w:t>
          </w:r>
          <w:r>
            <w:rPr>
              <w:rFonts w:hint="eastAsia" w:ascii="黑体" w:hAnsi="黑体" w:eastAsia="黑体" w:cs="黑体"/>
              <w:sz w:val="22"/>
              <w:szCs w:val="28"/>
            </w:rPr>
            <w:tab/>
          </w: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PAGEREF _Toc26930 \h </w:instrText>
          </w:r>
          <w:r>
            <w:rPr>
              <w:rFonts w:hint="eastAsia" w:ascii="黑体" w:hAnsi="黑体" w:eastAsia="黑体" w:cs="黑体"/>
              <w:sz w:val="22"/>
              <w:szCs w:val="28"/>
            </w:rPr>
            <w:fldChar w:fldCharType="separate"/>
          </w:r>
          <w:r>
            <w:rPr>
              <w:rFonts w:hint="eastAsia" w:ascii="黑体" w:hAnsi="黑体" w:eastAsia="黑体" w:cs="黑体"/>
              <w:sz w:val="22"/>
              <w:szCs w:val="28"/>
            </w:rPr>
            <w:t>24</w:t>
          </w:r>
          <w:r>
            <w:rPr>
              <w:rFonts w:hint="eastAsia" w:ascii="黑体" w:hAnsi="黑体" w:eastAsia="黑体" w:cs="黑体"/>
              <w:sz w:val="22"/>
              <w:szCs w:val="28"/>
            </w:rPr>
            <w:fldChar w:fldCharType="end"/>
          </w:r>
          <w:r>
            <w:rPr>
              <w:rFonts w:hint="eastAsia" w:ascii="黑体" w:hAnsi="黑体" w:eastAsia="黑体" w:cs="黑体"/>
              <w:sz w:val="22"/>
              <w:szCs w:val="28"/>
            </w:rPr>
            <w:fldChar w:fldCharType="end"/>
          </w:r>
        </w:p>
        <w:p w14:paraId="01E8AF17">
          <w:pPr>
            <w:pStyle w:val="12"/>
            <w:tabs>
              <w:tab w:val="right" w:leader="dot" w:pos="8306"/>
              <w:tab w:val="clear" w:pos="8296"/>
            </w:tabs>
            <w:rPr>
              <w:rFonts w:hint="eastAsia" w:ascii="黑体" w:hAnsi="黑体" w:eastAsia="黑体" w:cs="黑体"/>
              <w:sz w:val="22"/>
              <w:szCs w:val="28"/>
            </w:rPr>
          </w:pP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HYPERLINK \l _Toc31563 </w:instrText>
          </w:r>
          <w:r>
            <w:rPr>
              <w:rFonts w:hint="eastAsia" w:ascii="黑体" w:hAnsi="黑体" w:eastAsia="黑体" w:cs="黑体"/>
              <w:sz w:val="22"/>
              <w:szCs w:val="28"/>
            </w:rPr>
            <w:fldChar w:fldCharType="separate"/>
          </w:r>
          <w:r>
            <w:rPr>
              <w:rFonts w:hint="eastAsia" w:ascii="黑体" w:hAnsi="黑体" w:eastAsia="黑体" w:cs="黑体"/>
              <w:bCs w:val="0"/>
              <w:sz w:val="22"/>
              <w:szCs w:val="28"/>
              <w:highlight w:val="none"/>
            </w:rPr>
            <w:t>五、</w:t>
          </w:r>
          <w:r>
            <w:rPr>
              <w:rFonts w:hint="eastAsia" w:ascii="黑体" w:hAnsi="黑体" w:eastAsia="黑体" w:cs="黑体"/>
              <w:sz w:val="22"/>
              <w:szCs w:val="28"/>
              <w:highlight w:val="none"/>
            </w:rPr>
            <w:t>财</w:t>
          </w:r>
          <w:r>
            <w:rPr>
              <w:rFonts w:hint="eastAsia" w:ascii="黑体" w:hAnsi="黑体" w:eastAsia="黑体" w:cs="黑体"/>
              <w:bCs w:val="0"/>
              <w:sz w:val="22"/>
              <w:szCs w:val="28"/>
              <w:highlight w:val="none"/>
            </w:rPr>
            <w:t>政拨款支出决算明细表</w:t>
          </w:r>
          <w:r>
            <w:rPr>
              <w:rFonts w:hint="eastAsia" w:ascii="黑体" w:hAnsi="黑体" w:eastAsia="黑体" w:cs="黑体"/>
              <w:sz w:val="22"/>
              <w:szCs w:val="28"/>
            </w:rPr>
            <w:tab/>
          </w: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PAGEREF _Toc31563 \h </w:instrText>
          </w:r>
          <w:r>
            <w:rPr>
              <w:rFonts w:hint="eastAsia" w:ascii="黑体" w:hAnsi="黑体" w:eastAsia="黑体" w:cs="黑体"/>
              <w:sz w:val="22"/>
              <w:szCs w:val="28"/>
            </w:rPr>
            <w:fldChar w:fldCharType="separate"/>
          </w:r>
          <w:r>
            <w:rPr>
              <w:rFonts w:hint="eastAsia" w:ascii="黑体" w:hAnsi="黑体" w:eastAsia="黑体" w:cs="黑体"/>
              <w:sz w:val="22"/>
              <w:szCs w:val="28"/>
            </w:rPr>
            <w:t>24</w:t>
          </w:r>
          <w:r>
            <w:rPr>
              <w:rFonts w:hint="eastAsia" w:ascii="黑体" w:hAnsi="黑体" w:eastAsia="黑体" w:cs="黑体"/>
              <w:sz w:val="22"/>
              <w:szCs w:val="28"/>
            </w:rPr>
            <w:fldChar w:fldCharType="end"/>
          </w:r>
          <w:r>
            <w:rPr>
              <w:rFonts w:hint="eastAsia" w:ascii="黑体" w:hAnsi="黑体" w:eastAsia="黑体" w:cs="黑体"/>
              <w:sz w:val="22"/>
              <w:szCs w:val="28"/>
            </w:rPr>
            <w:fldChar w:fldCharType="end"/>
          </w:r>
        </w:p>
        <w:p w14:paraId="485F6915">
          <w:pPr>
            <w:pStyle w:val="12"/>
            <w:tabs>
              <w:tab w:val="right" w:leader="dot" w:pos="8306"/>
              <w:tab w:val="clear" w:pos="8296"/>
            </w:tabs>
            <w:rPr>
              <w:rFonts w:hint="eastAsia" w:ascii="黑体" w:hAnsi="黑体" w:eastAsia="黑体" w:cs="黑体"/>
              <w:sz w:val="22"/>
              <w:szCs w:val="28"/>
            </w:rPr>
          </w:pP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HYPERLINK \l _Toc2099 </w:instrText>
          </w:r>
          <w:r>
            <w:rPr>
              <w:rFonts w:hint="eastAsia" w:ascii="黑体" w:hAnsi="黑体" w:eastAsia="黑体" w:cs="黑体"/>
              <w:sz w:val="22"/>
              <w:szCs w:val="28"/>
            </w:rPr>
            <w:fldChar w:fldCharType="separate"/>
          </w:r>
          <w:r>
            <w:rPr>
              <w:rFonts w:hint="eastAsia" w:ascii="黑体" w:hAnsi="黑体" w:eastAsia="黑体" w:cs="黑体"/>
              <w:bCs w:val="0"/>
              <w:sz w:val="22"/>
              <w:szCs w:val="28"/>
              <w:highlight w:val="none"/>
            </w:rPr>
            <w:t>六、</w:t>
          </w:r>
          <w:r>
            <w:rPr>
              <w:rFonts w:hint="eastAsia" w:ascii="黑体" w:hAnsi="黑体" w:eastAsia="黑体" w:cs="黑体"/>
              <w:sz w:val="22"/>
              <w:szCs w:val="28"/>
              <w:highlight w:val="none"/>
            </w:rPr>
            <w:t>一</w:t>
          </w:r>
          <w:r>
            <w:rPr>
              <w:rFonts w:hint="eastAsia" w:ascii="黑体" w:hAnsi="黑体" w:eastAsia="黑体" w:cs="黑体"/>
              <w:bCs w:val="0"/>
              <w:sz w:val="22"/>
              <w:szCs w:val="28"/>
              <w:highlight w:val="none"/>
            </w:rPr>
            <w:t>般公共预算财政拨款支出决算表</w:t>
          </w:r>
          <w:r>
            <w:rPr>
              <w:rFonts w:hint="eastAsia" w:ascii="黑体" w:hAnsi="黑体" w:eastAsia="黑体" w:cs="黑体"/>
              <w:sz w:val="22"/>
              <w:szCs w:val="28"/>
            </w:rPr>
            <w:tab/>
          </w: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PAGEREF _Toc2099 \h </w:instrText>
          </w:r>
          <w:r>
            <w:rPr>
              <w:rFonts w:hint="eastAsia" w:ascii="黑体" w:hAnsi="黑体" w:eastAsia="黑体" w:cs="黑体"/>
              <w:sz w:val="22"/>
              <w:szCs w:val="28"/>
            </w:rPr>
            <w:fldChar w:fldCharType="separate"/>
          </w:r>
          <w:r>
            <w:rPr>
              <w:rFonts w:hint="eastAsia" w:ascii="黑体" w:hAnsi="黑体" w:eastAsia="黑体" w:cs="黑体"/>
              <w:sz w:val="22"/>
              <w:szCs w:val="28"/>
            </w:rPr>
            <w:t>24</w:t>
          </w:r>
          <w:r>
            <w:rPr>
              <w:rFonts w:hint="eastAsia" w:ascii="黑体" w:hAnsi="黑体" w:eastAsia="黑体" w:cs="黑体"/>
              <w:sz w:val="22"/>
              <w:szCs w:val="28"/>
            </w:rPr>
            <w:fldChar w:fldCharType="end"/>
          </w:r>
          <w:r>
            <w:rPr>
              <w:rFonts w:hint="eastAsia" w:ascii="黑体" w:hAnsi="黑体" w:eastAsia="黑体" w:cs="黑体"/>
              <w:sz w:val="22"/>
              <w:szCs w:val="28"/>
            </w:rPr>
            <w:fldChar w:fldCharType="end"/>
          </w:r>
        </w:p>
        <w:p w14:paraId="71ADC822">
          <w:pPr>
            <w:pStyle w:val="12"/>
            <w:tabs>
              <w:tab w:val="right" w:leader="dot" w:pos="8306"/>
              <w:tab w:val="clear" w:pos="8296"/>
            </w:tabs>
            <w:rPr>
              <w:rFonts w:hint="eastAsia" w:ascii="黑体" w:hAnsi="黑体" w:eastAsia="黑体" w:cs="黑体"/>
              <w:sz w:val="22"/>
              <w:szCs w:val="28"/>
            </w:rPr>
          </w:pP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HYPERLINK \l _Toc17233 </w:instrText>
          </w:r>
          <w:r>
            <w:rPr>
              <w:rFonts w:hint="eastAsia" w:ascii="黑体" w:hAnsi="黑体" w:eastAsia="黑体" w:cs="黑体"/>
              <w:sz w:val="22"/>
              <w:szCs w:val="28"/>
            </w:rPr>
            <w:fldChar w:fldCharType="separate"/>
          </w:r>
          <w:r>
            <w:rPr>
              <w:rFonts w:hint="eastAsia" w:ascii="黑体" w:hAnsi="黑体" w:eastAsia="黑体" w:cs="黑体"/>
              <w:bCs w:val="0"/>
              <w:sz w:val="22"/>
              <w:szCs w:val="28"/>
              <w:highlight w:val="none"/>
            </w:rPr>
            <w:t>七、</w:t>
          </w:r>
          <w:r>
            <w:rPr>
              <w:rFonts w:hint="eastAsia" w:ascii="黑体" w:hAnsi="黑体" w:eastAsia="黑体" w:cs="黑体"/>
              <w:sz w:val="22"/>
              <w:szCs w:val="28"/>
              <w:highlight w:val="none"/>
            </w:rPr>
            <w:t>一</w:t>
          </w:r>
          <w:r>
            <w:rPr>
              <w:rFonts w:hint="eastAsia" w:ascii="黑体" w:hAnsi="黑体" w:eastAsia="黑体" w:cs="黑体"/>
              <w:bCs w:val="0"/>
              <w:sz w:val="22"/>
              <w:szCs w:val="28"/>
              <w:highlight w:val="none"/>
            </w:rPr>
            <w:t>般公共预算财政拨款支出决算明细表</w:t>
          </w:r>
          <w:r>
            <w:rPr>
              <w:rFonts w:hint="eastAsia" w:ascii="黑体" w:hAnsi="黑体" w:eastAsia="黑体" w:cs="黑体"/>
              <w:sz w:val="22"/>
              <w:szCs w:val="28"/>
            </w:rPr>
            <w:tab/>
          </w: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PAGEREF _Toc17233 \h </w:instrText>
          </w:r>
          <w:r>
            <w:rPr>
              <w:rFonts w:hint="eastAsia" w:ascii="黑体" w:hAnsi="黑体" w:eastAsia="黑体" w:cs="黑体"/>
              <w:sz w:val="22"/>
              <w:szCs w:val="28"/>
            </w:rPr>
            <w:fldChar w:fldCharType="separate"/>
          </w:r>
          <w:r>
            <w:rPr>
              <w:rFonts w:hint="eastAsia" w:ascii="黑体" w:hAnsi="黑体" w:eastAsia="黑体" w:cs="黑体"/>
              <w:sz w:val="22"/>
              <w:szCs w:val="28"/>
            </w:rPr>
            <w:t>24</w:t>
          </w:r>
          <w:r>
            <w:rPr>
              <w:rFonts w:hint="eastAsia" w:ascii="黑体" w:hAnsi="黑体" w:eastAsia="黑体" w:cs="黑体"/>
              <w:sz w:val="22"/>
              <w:szCs w:val="28"/>
            </w:rPr>
            <w:fldChar w:fldCharType="end"/>
          </w:r>
          <w:r>
            <w:rPr>
              <w:rFonts w:hint="eastAsia" w:ascii="黑体" w:hAnsi="黑体" w:eastAsia="黑体" w:cs="黑体"/>
              <w:sz w:val="22"/>
              <w:szCs w:val="28"/>
            </w:rPr>
            <w:fldChar w:fldCharType="end"/>
          </w:r>
        </w:p>
        <w:p w14:paraId="60987A6E">
          <w:pPr>
            <w:pStyle w:val="12"/>
            <w:tabs>
              <w:tab w:val="right" w:leader="dot" w:pos="8306"/>
              <w:tab w:val="clear" w:pos="8296"/>
            </w:tabs>
            <w:rPr>
              <w:rFonts w:hint="eastAsia" w:ascii="黑体" w:hAnsi="黑体" w:eastAsia="黑体" w:cs="黑体"/>
              <w:sz w:val="22"/>
              <w:szCs w:val="28"/>
            </w:rPr>
          </w:pP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HYPERLINK \l _Toc10795 </w:instrText>
          </w:r>
          <w:r>
            <w:rPr>
              <w:rFonts w:hint="eastAsia" w:ascii="黑体" w:hAnsi="黑体" w:eastAsia="黑体" w:cs="黑体"/>
              <w:sz w:val="22"/>
              <w:szCs w:val="28"/>
            </w:rPr>
            <w:fldChar w:fldCharType="separate"/>
          </w:r>
          <w:r>
            <w:rPr>
              <w:rFonts w:hint="eastAsia" w:ascii="黑体" w:hAnsi="黑体" w:eastAsia="黑体" w:cs="黑体"/>
              <w:bCs w:val="0"/>
              <w:sz w:val="22"/>
              <w:szCs w:val="28"/>
              <w:highlight w:val="none"/>
            </w:rPr>
            <w:t>八、</w:t>
          </w:r>
          <w:r>
            <w:rPr>
              <w:rFonts w:hint="eastAsia" w:ascii="黑体" w:hAnsi="黑体" w:eastAsia="黑体" w:cs="黑体"/>
              <w:sz w:val="22"/>
              <w:szCs w:val="28"/>
              <w:highlight w:val="none"/>
            </w:rPr>
            <w:t>一</w:t>
          </w:r>
          <w:r>
            <w:rPr>
              <w:rFonts w:hint="eastAsia" w:ascii="黑体" w:hAnsi="黑体" w:eastAsia="黑体" w:cs="黑体"/>
              <w:bCs w:val="0"/>
              <w:sz w:val="22"/>
              <w:szCs w:val="28"/>
              <w:highlight w:val="none"/>
            </w:rPr>
            <w:t>般公共预算财政拨款基本支出决算表</w:t>
          </w:r>
          <w:r>
            <w:rPr>
              <w:rFonts w:hint="eastAsia" w:ascii="黑体" w:hAnsi="黑体" w:eastAsia="黑体" w:cs="黑体"/>
              <w:sz w:val="22"/>
              <w:szCs w:val="28"/>
            </w:rPr>
            <w:tab/>
          </w: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PAGEREF _Toc10795 \h </w:instrText>
          </w:r>
          <w:r>
            <w:rPr>
              <w:rFonts w:hint="eastAsia" w:ascii="黑体" w:hAnsi="黑体" w:eastAsia="黑体" w:cs="黑体"/>
              <w:sz w:val="22"/>
              <w:szCs w:val="28"/>
            </w:rPr>
            <w:fldChar w:fldCharType="separate"/>
          </w:r>
          <w:r>
            <w:rPr>
              <w:rFonts w:hint="eastAsia" w:ascii="黑体" w:hAnsi="黑体" w:eastAsia="黑体" w:cs="黑体"/>
              <w:sz w:val="22"/>
              <w:szCs w:val="28"/>
            </w:rPr>
            <w:t>24</w:t>
          </w:r>
          <w:r>
            <w:rPr>
              <w:rFonts w:hint="eastAsia" w:ascii="黑体" w:hAnsi="黑体" w:eastAsia="黑体" w:cs="黑体"/>
              <w:sz w:val="22"/>
              <w:szCs w:val="28"/>
            </w:rPr>
            <w:fldChar w:fldCharType="end"/>
          </w:r>
          <w:r>
            <w:rPr>
              <w:rFonts w:hint="eastAsia" w:ascii="黑体" w:hAnsi="黑体" w:eastAsia="黑体" w:cs="黑体"/>
              <w:sz w:val="22"/>
              <w:szCs w:val="28"/>
            </w:rPr>
            <w:fldChar w:fldCharType="end"/>
          </w:r>
        </w:p>
        <w:p w14:paraId="1DE04C22">
          <w:pPr>
            <w:pStyle w:val="12"/>
            <w:tabs>
              <w:tab w:val="right" w:leader="dot" w:pos="8306"/>
              <w:tab w:val="clear" w:pos="8296"/>
            </w:tabs>
            <w:rPr>
              <w:rFonts w:hint="eastAsia" w:ascii="黑体" w:hAnsi="黑体" w:eastAsia="黑体" w:cs="黑体"/>
              <w:sz w:val="22"/>
              <w:szCs w:val="28"/>
            </w:rPr>
          </w:pP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HYPERLINK \l _Toc13293 </w:instrText>
          </w:r>
          <w:r>
            <w:rPr>
              <w:rFonts w:hint="eastAsia" w:ascii="黑体" w:hAnsi="黑体" w:eastAsia="黑体" w:cs="黑体"/>
              <w:sz w:val="22"/>
              <w:szCs w:val="28"/>
            </w:rPr>
            <w:fldChar w:fldCharType="separate"/>
          </w:r>
          <w:r>
            <w:rPr>
              <w:rFonts w:hint="eastAsia" w:ascii="黑体" w:hAnsi="黑体" w:eastAsia="黑体" w:cs="黑体"/>
              <w:bCs w:val="0"/>
              <w:sz w:val="22"/>
              <w:szCs w:val="28"/>
              <w:highlight w:val="none"/>
            </w:rPr>
            <w:t>九、</w:t>
          </w:r>
          <w:r>
            <w:rPr>
              <w:rFonts w:hint="eastAsia" w:ascii="黑体" w:hAnsi="黑体" w:eastAsia="黑体" w:cs="黑体"/>
              <w:sz w:val="22"/>
              <w:szCs w:val="28"/>
              <w:highlight w:val="none"/>
            </w:rPr>
            <w:t>一</w:t>
          </w:r>
          <w:r>
            <w:rPr>
              <w:rFonts w:hint="eastAsia" w:ascii="黑体" w:hAnsi="黑体" w:eastAsia="黑体" w:cs="黑体"/>
              <w:bCs w:val="0"/>
              <w:sz w:val="22"/>
              <w:szCs w:val="28"/>
              <w:highlight w:val="none"/>
            </w:rPr>
            <w:t>般公共预算财政拨款项目支出决算表</w:t>
          </w:r>
          <w:r>
            <w:rPr>
              <w:rFonts w:hint="eastAsia" w:ascii="黑体" w:hAnsi="黑体" w:eastAsia="黑体" w:cs="黑体"/>
              <w:sz w:val="22"/>
              <w:szCs w:val="28"/>
            </w:rPr>
            <w:tab/>
          </w: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PAGEREF _Toc13293 \h </w:instrText>
          </w:r>
          <w:r>
            <w:rPr>
              <w:rFonts w:hint="eastAsia" w:ascii="黑体" w:hAnsi="黑体" w:eastAsia="黑体" w:cs="黑体"/>
              <w:sz w:val="22"/>
              <w:szCs w:val="28"/>
            </w:rPr>
            <w:fldChar w:fldCharType="separate"/>
          </w:r>
          <w:r>
            <w:rPr>
              <w:rFonts w:hint="eastAsia" w:ascii="黑体" w:hAnsi="黑体" w:eastAsia="黑体" w:cs="黑体"/>
              <w:sz w:val="22"/>
              <w:szCs w:val="28"/>
            </w:rPr>
            <w:t>24</w:t>
          </w:r>
          <w:r>
            <w:rPr>
              <w:rFonts w:hint="eastAsia" w:ascii="黑体" w:hAnsi="黑体" w:eastAsia="黑体" w:cs="黑体"/>
              <w:sz w:val="22"/>
              <w:szCs w:val="28"/>
            </w:rPr>
            <w:fldChar w:fldCharType="end"/>
          </w:r>
          <w:r>
            <w:rPr>
              <w:rFonts w:hint="eastAsia" w:ascii="黑体" w:hAnsi="黑体" w:eastAsia="黑体" w:cs="黑体"/>
              <w:sz w:val="22"/>
              <w:szCs w:val="28"/>
            </w:rPr>
            <w:fldChar w:fldCharType="end"/>
          </w:r>
        </w:p>
        <w:p w14:paraId="7E9D22DA">
          <w:pPr>
            <w:pStyle w:val="12"/>
            <w:tabs>
              <w:tab w:val="right" w:leader="dot" w:pos="8306"/>
              <w:tab w:val="clear" w:pos="8296"/>
            </w:tabs>
            <w:rPr>
              <w:rFonts w:hint="eastAsia" w:ascii="黑体" w:hAnsi="黑体" w:eastAsia="黑体" w:cs="黑体"/>
              <w:sz w:val="22"/>
              <w:szCs w:val="28"/>
            </w:rPr>
          </w:pP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HYPERLINK \l _Toc1764 </w:instrText>
          </w:r>
          <w:r>
            <w:rPr>
              <w:rFonts w:hint="eastAsia" w:ascii="黑体" w:hAnsi="黑体" w:eastAsia="黑体" w:cs="黑体"/>
              <w:sz w:val="22"/>
              <w:szCs w:val="28"/>
            </w:rPr>
            <w:fldChar w:fldCharType="separate"/>
          </w:r>
          <w:r>
            <w:rPr>
              <w:rFonts w:hint="eastAsia" w:ascii="黑体" w:hAnsi="黑体" w:eastAsia="黑体" w:cs="黑体"/>
              <w:bCs w:val="0"/>
              <w:sz w:val="22"/>
              <w:szCs w:val="28"/>
              <w:highlight w:val="none"/>
            </w:rPr>
            <w:t>十、</w:t>
          </w:r>
          <w:r>
            <w:rPr>
              <w:rFonts w:hint="eastAsia" w:ascii="黑体" w:hAnsi="黑体" w:eastAsia="黑体" w:cs="黑体"/>
              <w:sz w:val="22"/>
              <w:szCs w:val="28"/>
              <w:highlight w:val="none"/>
            </w:rPr>
            <w:t>政</w:t>
          </w:r>
          <w:r>
            <w:rPr>
              <w:rFonts w:hint="eastAsia" w:ascii="黑体" w:hAnsi="黑体" w:eastAsia="黑体" w:cs="黑体"/>
              <w:bCs w:val="0"/>
              <w:sz w:val="22"/>
              <w:szCs w:val="28"/>
              <w:highlight w:val="none"/>
            </w:rPr>
            <w:t>府性基金预算财政拨款收入支出决算表</w:t>
          </w:r>
          <w:r>
            <w:rPr>
              <w:rFonts w:hint="eastAsia" w:ascii="黑体" w:hAnsi="黑体" w:eastAsia="黑体" w:cs="黑体"/>
              <w:sz w:val="22"/>
              <w:szCs w:val="28"/>
            </w:rPr>
            <w:tab/>
          </w: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PAGEREF _Toc1764 \h </w:instrText>
          </w:r>
          <w:r>
            <w:rPr>
              <w:rFonts w:hint="eastAsia" w:ascii="黑体" w:hAnsi="黑体" w:eastAsia="黑体" w:cs="黑体"/>
              <w:sz w:val="22"/>
              <w:szCs w:val="28"/>
            </w:rPr>
            <w:fldChar w:fldCharType="separate"/>
          </w:r>
          <w:r>
            <w:rPr>
              <w:rFonts w:hint="eastAsia" w:ascii="黑体" w:hAnsi="黑体" w:eastAsia="黑体" w:cs="黑体"/>
              <w:sz w:val="22"/>
              <w:szCs w:val="28"/>
            </w:rPr>
            <w:t>24</w:t>
          </w:r>
          <w:r>
            <w:rPr>
              <w:rFonts w:hint="eastAsia" w:ascii="黑体" w:hAnsi="黑体" w:eastAsia="黑体" w:cs="黑体"/>
              <w:sz w:val="22"/>
              <w:szCs w:val="28"/>
            </w:rPr>
            <w:fldChar w:fldCharType="end"/>
          </w:r>
          <w:r>
            <w:rPr>
              <w:rFonts w:hint="eastAsia" w:ascii="黑体" w:hAnsi="黑体" w:eastAsia="黑体" w:cs="黑体"/>
              <w:sz w:val="22"/>
              <w:szCs w:val="28"/>
            </w:rPr>
            <w:fldChar w:fldCharType="end"/>
          </w:r>
        </w:p>
        <w:p w14:paraId="517338D5">
          <w:pPr>
            <w:pStyle w:val="12"/>
            <w:tabs>
              <w:tab w:val="right" w:leader="dot" w:pos="8306"/>
              <w:tab w:val="clear" w:pos="8296"/>
            </w:tabs>
            <w:rPr>
              <w:rFonts w:hint="eastAsia" w:ascii="黑体" w:hAnsi="黑体" w:eastAsia="黑体" w:cs="黑体"/>
              <w:sz w:val="22"/>
              <w:szCs w:val="28"/>
            </w:rPr>
          </w:pP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HYPERLINK \l _Toc31672 </w:instrText>
          </w:r>
          <w:r>
            <w:rPr>
              <w:rFonts w:hint="eastAsia" w:ascii="黑体" w:hAnsi="黑体" w:eastAsia="黑体" w:cs="黑体"/>
              <w:sz w:val="22"/>
              <w:szCs w:val="28"/>
            </w:rPr>
            <w:fldChar w:fldCharType="separate"/>
          </w:r>
          <w:r>
            <w:rPr>
              <w:rFonts w:hint="eastAsia" w:ascii="黑体" w:hAnsi="黑体" w:eastAsia="黑体" w:cs="黑体"/>
              <w:bCs w:val="0"/>
              <w:sz w:val="22"/>
              <w:szCs w:val="28"/>
              <w:highlight w:val="none"/>
            </w:rPr>
            <w:t>十一、</w:t>
          </w:r>
          <w:r>
            <w:rPr>
              <w:rFonts w:hint="eastAsia" w:ascii="黑体" w:hAnsi="黑体" w:eastAsia="黑体" w:cs="黑体"/>
              <w:sz w:val="22"/>
              <w:szCs w:val="28"/>
              <w:highlight w:val="none"/>
            </w:rPr>
            <w:t>国</w:t>
          </w:r>
          <w:r>
            <w:rPr>
              <w:rFonts w:hint="eastAsia" w:ascii="黑体" w:hAnsi="黑体" w:eastAsia="黑体" w:cs="黑体"/>
              <w:bCs w:val="0"/>
              <w:sz w:val="22"/>
              <w:szCs w:val="28"/>
              <w:highlight w:val="none"/>
            </w:rPr>
            <w:t>有资本经营预算</w:t>
          </w:r>
          <w:r>
            <w:rPr>
              <w:rFonts w:hint="eastAsia" w:ascii="黑体" w:hAnsi="黑体" w:eastAsia="黑体" w:cs="黑体"/>
              <w:bCs w:val="0"/>
              <w:sz w:val="22"/>
              <w:szCs w:val="28"/>
              <w:highlight w:val="none"/>
              <w:lang w:eastAsia="zh-CN"/>
            </w:rPr>
            <w:t>财政拨款收入</w:t>
          </w:r>
          <w:r>
            <w:rPr>
              <w:rFonts w:hint="eastAsia" w:ascii="黑体" w:hAnsi="黑体" w:eastAsia="黑体" w:cs="黑体"/>
              <w:bCs w:val="0"/>
              <w:sz w:val="22"/>
              <w:szCs w:val="28"/>
              <w:highlight w:val="none"/>
            </w:rPr>
            <w:t>支出决算表</w:t>
          </w:r>
          <w:r>
            <w:rPr>
              <w:rFonts w:hint="eastAsia" w:ascii="黑体" w:hAnsi="黑体" w:eastAsia="黑体" w:cs="黑体"/>
              <w:sz w:val="22"/>
              <w:szCs w:val="28"/>
            </w:rPr>
            <w:tab/>
          </w: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PAGEREF _Toc31672 \h </w:instrText>
          </w:r>
          <w:r>
            <w:rPr>
              <w:rFonts w:hint="eastAsia" w:ascii="黑体" w:hAnsi="黑体" w:eastAsia="黑体" w:cs="黑体"/>
              <w:sz w:val="22"/>
              <w:szCs w:val="28"/>
            </w:rPr>
            <w:fldChar w:fldCharType="separate"/>
          </w:r>
          <w:r>
            <w:rPr>
              <w:rFonts w:hint="eastAsia" w:ascii="黑体" w:hAnsi="黑体" w:eastAsia="黑体" w:cs="黑体"/>
              <w:sz w:val="22"/>
              <w:szCs w:val="28"/>
            </w:rPr>
            <w:t>24</w:t>
          </w:r>
          <w:r>
            <w:rPr>
              <w:rFonts w:hint="eastAsia" w:ascii="黑体" w:hAnsi="黑体" w:eastAsia="黑体" w:cs="黑体"/>
              <w:sz w:val="22"/>
              <w:szCs w:val="28"/>
            </w:rPr>
            <w:fldChar w:fldCharType="end"/>
          </w:r>
          <w:r>
            <w:rPr>
              <w:rFonts w:hint="eastAsia" w:ascii="黑体" w:hAnsi="黑体" w:eastAsia="黑体" w:cs="黑体"/>
              <w:sz w:val="22"/>
              <w:szCs w:val="28"/>
            </w:rPr>
            <w:fldChar w:fldCharType="end"/>
          </w:r>
        </w:p>
        <w:p w14:paraId="77CD6FF5">
          <w:pPr>
            <w:pStyle w:val="12"/>
            <w:tabs>
              <w:tab w:val="right" w:leader="dot" w:pos="8306"/>
              <w:tab w:val="clear" w:pos="8296"/>
            </w:tabs>
            <w:rPr>
              <w:rFonts w:hint="eastAsia" w:ascii="黑体" w:hAnsi="黑体" w:eastAsia="黑体" w:cs="黑体"/>
              <w:sz w:val="22"/>
              <w:szCs w:val="28"/>
            </w:rPr>
          </w:pP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HYPERLINK \l _Toc22722 </w:instrText>
          </w:r>
          <w:r>
            <w:rPr>
              <w:rFonts w:hint="eastAsia" w:ascii="黑体" w:hAnsi="黑体" w:eastAsia="黑体" w:cs="黑体"/>
              <w:sz w:val="22"/>
              <w:szCs w:val="28"/>
            </w:rPr>
            <w:fldChar w:fldCharType="separate"/>
          </w:r>
          <w:r>
            <w:rPr>
              <w:rFonts w:hint="eastAsia" w:ascii="黑体" w:hAnsi="黑体" w:eastAsia="黑体" w:cs="黑体"/>
              <w:bCs w:val="0"/>
              <w:sz w:val="22"/>
              <w:szCs w:val="28"/>
              <w:highlight w:val="none"/>
            </w:rPr>
            <w:t>十二、</w:t>
          </w:r>
          <w:r>
            <w:rPr>
              <w:rFonts w:hint="eastAsia" w:ascii="黑体" w:hAnsi="黑体" w:eastAsia="黑体" w:cs="黑体"/>
              <w:bCs w:val="0"/>
              <w:sz w:val="22"/>
              <w:szCs w:val="28"/>
              <w:highlight w:val="none"/>
              <w:lang w:eastAsia="zh-CN"/>
            </w:rPr>
            <w:t>国有资本经营预算财政拨款支出决算表</w:t>
          </w:r>
          <w:r>
            <w:rPr>
              <w:rFonts w:hint="eastAsia" w:ascii="黑体" w:hAnsi="黑体" w:eastAsia="黑体" w:cs="黑体"/>
              <w:sz w:val="22"/>
              <w:szCs w:val="28"/>
            </w:rPr>
            <w:tab/>
          </w: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PAGEREF _Toc22722 \h </w:instrText>
          </w:r>
          <w:r>
            <w:rPr>
              <w:rFonts w:hint="eastAsia" w:ascii="黑体" w:hAnsi="黑体" w:eastAsia="黑体" w:cs="黑体"/>
              <w:sz w:val="22"/>
              <w:szCs w:val="28"/>
            </w:rPr>
            <w:fldChar w:fldCharType="separate"/>
          </w:r>
          <w:r>
            <w:rPr>
              <w:rFonts w:hint="eastAsia" w:ascii="黑体" w:hAnsi="黑体" w:eastAsia="黑体" w:cs="黑体"/>
              <w:sz w:val="22"/>
              <w:szCs w:val="28"/>
            </w:rPr>
            <w:t>24</w:t>
          </w:r>
          <w:r>
            <w:rPr>
              <w:rFonts w:hint="eastAsia" w:ascii="黑体" w:hAnsi="黑体" w:eastAsia="黑体" w:cs="黑体"/>
              <w:sz w:val="22"/>
              <w:szCs w:val="28"/>
            </w:rPr>
            <w:fldChar w:fldCharType="end"/>
          </w:r>
          <w:r>
            <w:rPr>
              <w:rFonts w:hint="eastAsia" w:ascii="黑体" w:hAnsi="黑体" w:eastAsia="黑体" w:cs="黑体"/>
              <w:sz w:val="22"/>
              <w:szCs w:val="28"/>
            </w:rPr>
            <w:fldChar w:fldCharType="end"/>
          </w:r>
        </w:p>
        <w:p w14:paraId="0171D314">
          <w:pPr>
            <w:pStyle w:val="12"/>
            <w:tabs>
              <w:tab w:val="right" w:leader="dot" w:pos="8306"/>
              <w:tab w:val="clear" w:pos="8296"/>
            </w:tabs>
            <w:rPr>
              <w:sz w:val="22"/>
              <w:szCs w:val="28"/>
            </w:rPr>
          </w:pP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HYPERLINK \l _Toc16648 </w:instrText>
          </w:r>
          <w:r>
            <w:rPr>
              <w:rFonts w:hint="eastAsia" w:ascii="黑体" w:hAnsi="黑体" w:eastAsia="黑体" w:cs="黑体"/>
              <w:sz w:val="22"/>
              <w:szCs w:val="28"/>
            </w:rPr>
            <w:fldChar w:fldCharType="separate"/>
          </w:r>
          <w:r>
            <w:rPr>
              <w:rFonts w:hint="eastAsia" w:ascii="黑体" w:hAnsi="黑体" w:eastAsia="黑体" w:cs="黑体"/>
              <w:bCs w:val="0"/>
              <w:sz w:val="22"/>
              <w:szCs w:val="28"/>
              <w:highlight w:val="none"/>
            </w:rPr>
            <w:t>十三、</w:t>
          </w:r>
          <w:r>
            <w:rPr>
              <w:rFonts w:hint="eastAsia" w:ascii="黑体" w:hAnsi="黑体" w:eastAsia="黑体" w:cs="黑体"/>
              <w:bCs w:val="0"/>
              <w:sz w:val="22"/>
              <w:szCs w:val="28"/>
              <w:highlight w:val="none"/>
              <w:lang w:eastAsia="zh-CN"/>
            </w:rPr>
            <w:t>财政拨款“三公”经费支出决算表</w:t>
          </w:r>
          <w:r>
            <w:rPr>
              <w:rFonts w:hint="eastAsia" w:ascii="黑体" w:hAnsi="黑体" w:eastAsia="黑体" w:cs="黑体"/>
              <w:sz w:val="22"/>
              <w:szCs w:val="28"/>
            </w:rPr>
            <w:tab/>
          </w:r>
          <w:r>
            <w:rPr>
              <w:rFonts w:hint="eastAsia" w:ascii="黑体" w:hAnsi="黑体" w:eastAsia="黑体" w:cs="黑体"/>
              <w:sz w:val="22"/>
              <w:szCs w:val="28"/>
            </w:rPr>
            <w:fldChar w:fldCharType="begin"/>
          </w:r>
          <w:r>
            <w:rPr>
              <w:rFonts w:hint="eastAsia" w:ascii="黑体" w:hAnsi="黑体" w:eastAsia="黑体" w:cs="黑体"/>
              <w:sz w:val="22"/>
              <w:szCs w:val="28"/>
            </w:rPr>
            <w:instrText xml:space="preserve"> PAGEREF _Toc16648 \h </w:instrText>
          </w:r>
          <w:r>
            <w:rPr>
              <w:rFonts w:hint="eastAsia" w:ascii="黑体" w:hAnsi="黑体" w:eastAsia="黑体" w:cs="黑体"/>
              <w:sz w:val="22"/>
              <w:szCs w:val="28"/>
            </w:rPr>
            <w:fldChar w:fldCharType="separate"/>
          </w:r>
          <w:r>
            <w:rPr>
              <w:rFonts w:hint="eastAsia" w:ascii="黑体" w:hAnsi="黑体" w:eastAsia="黑体" w:cs="黑体"/>
              <w:sz w:val="22"/>
              <w:szCs w:val="28"/>
            </w:rPr>
            <w:t>24</w:t>
          </w:r>
          <w:r>
            <w:rPr>
              <w:rFonts w:hint="eastAsia" w:ascii="黑体" w:hAnsi="黑体" w:eastAsia="黑体" w:cs="黑体"/>
              <w:sz w:val="22"/>
              <w:szCs w:val="28"/>
            </w:rPr>
            <w:fldChar w:fldCharType="end"/>
          </w:r>
          <w:r>
            <w:rPr>
              <w:rFonts w:hint="eastAsia" w:ascii="黑体" w:hAnsi="黑体" w:eastAsia="黑体" w:cs="黑体"/>
              <w:sz w:val="22"/>
              <w:szCs w:val="28"/>
            </w:rPr>
            <w:fldChar w:fldCharType="end"/>
          </w:r>
        </w:p>
        <w:p w14:paraId="26AA6445">
          <w:pPr>
            <w:pStyle w:val="2"/>
            <w:rPr>
              <w:rFonts w:ascii="Calibri" w:hAnsi="Calibri" w:eastAsia="宋体" w:cs="Times New Roman"/>
              <w:kern w:val="0"/>
              <w:sz w:val="18"/>
              <w:szCs w:val="18"/>
              <w:lang w:val="en-US" w:eastAsia="zh-CN" w:bidi="ar-SA"/>
            </w:rPr>
          </w:pPr>
          <w:r>
            <w:rPr>
              <w:sz w:val="20"/>
              <w:szCs w:val="20"/>
            </w:rPr>
            <w:fldChar w:fldCharType="end"/>
          </w:r>
        </w:p>
      </w:sdtContent>
    </w:sdt>
    <w:p w14:paraId="5307162B">
      <w:pPr>
        <w:pStyle w:val="2"/>
        <w:rPr>
          <w:rFonts w:ascii="Calibri" w:hAnsi="Calibri" w:eastAsia="宋体" w:cs="Times New Roman"/>
          <w:kern w:val="0"/>
          <w:sz w:val="18"/>
          <w:szCs w:val="18"/>
          <w:lang w:val="en-US" w:eastAsia="zh-CN" w:bidi="ar-SA"/>
        </w:rPr>
      </w:pPr>
    </w:p>
    <w:p w14:paraId="3D2A1E66">
      <w:pPr>
        <w:widowControl/>
        <w:jc w:val="center"/>
        <w:rPr>
          <w:rFonts w:ascii="黑体" w:hAnsi="黑体" w:eastAsia="黑体" w:cstheme="minorBidi"/>
          <w:color w:val="auto"/>
          <w:sz w:val="28"/>
          <w:szCs w:val="28"/>
          <w:highlight w:val="none"/>
        </w:rPr>
      </w:pPr>
    </w:p>
    <w:p w14:paraId="04812386">
      <w:pPr>
        <w:widowControl/>
        <w:spacing w:line="440" w:lineRule="exact"/>
        <w:jc w:val="left"/>
        <w:rPr>
          <w:rFonts w:ascii="仿宋" w:hAnsi="仿宋" w:eastAsia="仿宋"/>
          <w:bCs/>
          <w:color w:val="auto"/>
          <w:kern w:val="44"/>
          <w:sz w:val="24"/>
          <w:highlight w:val="none"/>
        </w:rPr>
      </w:pPr>
      <w:bookmarkStart w:id="14" w:name="_Toc15377196"/>
      <w:bookmarkStart w:id="15" w:name="_Toc15396599"/>
      <w:r>
        <w:rPr>
          <w:rFonts w:ascii="仿宋" w:hAnsi="仿宋" w:eastAsia="仿宋"/>
          <w:b/>
          <w:color w:val="auto"/>
          <w:sz w:val="24"/>
          <w:highlight w:val="none"/>
        </w:rPr>
        <w:br w:type="page"/>
      </w:r>
    </w:p>
    <w:p w14:paraId="3031D611">
      <w:pPr>
        <w:pStyle w:val="3"/>
        <w:jc w:val="center"/>
        <w:rPr>
          <w:rFonts w:ascii="黑体" w:eastAsia="黑体"/>
          <w:color w:val="auto"/>
          <w:sz w:val="32"/>
          <w:szCs w:val="32"/>
          <w:highlight w:val="none"/>
        </w:rPr>
      </w:pPr>
      <w:bookmarkStart w:id="16" w:name="_Toc7756"/>
      <w:r>
        <w:rPr>
          <w:rFonts w:hint="eastAsia" w:ascii="黑体" w:hAnsi="黑体" w:eastAsia="黑体"/>
          <w:b w:val="0"/>
          <w:color w:val="auto"/>
          <w:highlight w:val="none"/>
        </w:rPr>
        <w:t xml:space="preserve">第一部分 </w:t>
      </w:r>
      <w:r>
        <w:rPr>
          <w:rFonts w:hint="eastAsia" w:ascii="黑体" w:hAnsi="黑体" w:eastAsia="黑体"/>
          <w:b w:val="0"/>
          <w:color w:val="auto"/>
          <w:highlight w:val="none"/>
          <w:lang w:eastAsia="zh-CN"/>
        </w:rPr>
        <w:t>部门</w:t>
      </w:r>
      <w:r>
        <w:rPr>
          <w:rStyle w:val="28"/>
          <w:rFonts w:hint="eastAsia" w:ascii="黑体" w:hAnsi="黑体" w:eastAsia="黑体"/>
          <w:b w:val="0"/>
          <w:bCs w:val="0"/>
          <w:color w:val="auto"/>
          <w:highlight w:val="none"/>
        </w:rPr>
        <w:t>概况</w:t>
      </w:r>
      <w:bookmarkEnd w:id="14"/>
      <w:bookmarkEnd w:id="15"/>
      <w:bookmarkEnd w:id="16"/>
    </w:p>
    <w:p w14:paraId="50C6B0B1">
      <w:pPr>
        <w:pStyle w:val="4"/>
        <w:pageBreakBefore w:val="0"/>
        <w:widowControl w:val="0"/>
        <w:kinsoku/>
        <w:wordWrap/>
        <w:overflowPunct/>
        <w:topLinePunct w:val="0"/>
        <w:autoSpaceDE/>
        <w:autoSpaceDN/>
        <w:bidi w:val="0"/>
        <w:adjustRightInd/>
        <w:snapToGrid/>
        <w:spacing w:line="520" w:lineRule="exact"/>
        <w:ind w:firstLine="640" w:firstLineChars="200"/>
        <w:textAlignment w:val="auto"/>
        <w:rPr>
          <w:rStyle w:val="29"/>
          <w:rFonts w:hint="eastAsia" w:ascii="仿宋" w:hAnsi="仿宋" w:eastAsia="黑体"/>
          <w:b w:val="0"/>
          <w:bCs w:val="0"/>
          <w:color w:val="auto"/>
          <w:highlight w:val="none"/>
          <w:lang w:eastAsia="zh-CN"/>
        </w:rPr>
      </w:pPr>
      <w:bookmarkStart w:id="17" w:name="_Toc15396600"/>
      <w:bookmarkStart w:id="18" w:name="_Toc15377197"/>
      <w:bookmarkStart w:id="19" w:name="_Toc17103"/>
      <w:r>
        <w:rPr>
          <w:rFonts w:hint="eastAsia" w:ascii="黑体" w:hAnsi="黑体" w:eastAsia="黑体"/>
          <w:b w:val="0"/>
          <w:color w:val="auto"/>
          <w:highlight w:val="none"/>
        </w:rPr>
        <w:t>一、</w:t>
      </w:r>
      <w:bookmarkEnd w:id="17"/>
      <w:bookmarkEnd w:id="18"/>
      <w:r>
        <w:rPr>
          <w:rFonts w:hint="eastAsia" w:ascii="黑体" w:hAnsi="黑体" w:eastAsia="黑体"/>
          <w:b w:val="0"/>
          <w:color w:val="auto"/>
          <w:highlight w:val="none"/>
          <w:lang w:eastAsia="zh-CN"/>
        </w:rPr>
        <w:t>部门职责</w:t>
      </w:r>
      <w:bookmarkEnd w:id="19"/>
    </w:p>
    <w:p w14:paraId="1E012FCD">
      <w:pPr>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eastAsia="zh-CN"/>
        </w:rPr>
      </w:pPr>
      <w:bookmarkStart w:id="20" w:name="_Toc15396601"/>
      <w:bookmarkStart w:id="21" w:name="_Toc15377200"/>
      <w:r>
        <w:rPr>
          <w:rFonts w:hint="eastAsia" w:ascii="仿宋_GB2312" w:hAnsi="仿宋_GB2312" w:eastAsia="仿宋_GB2312" w:cs="仿宋_GB2312"/>
          <w:color w:val="auto"/>
          <w:sz w:val="32"/>
          <w:szCs w:val="32"/>
          <w:lang w:eastAsia="zh-CN"/>
        </w:rPr>
        <w:t xml:space="preserve">1.贯彻执行国家、省、市有关档案工作的法律、法规和方针政策。      </w:t>
      </w:r>
    </w:p>
    <w:p w14:paraId="70F1244D">
      <w:pPr>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2.拟定全县档案发展规划、年度计划和规范性文件并组织实施。        </w:t>
      </w:r>
    </w:p>
    <w:p w14:paraId="62069611">
      <w:pPr>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3.负责收集和接收保管全县范围内对国家和社会有保存价值的档案，承担全县自然、政治、社会、经济、文化等方面历史与现状资料的收集、整理、抢救、保护和编纂、出版工作。  </w:t>
      </w:r>
    </w:p>
    <w:p w14:paraId="7901D329">
      <w:pPr>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4.按照规定整理和保管档案、资料，承担县档案馆馆藏档案、资料的安全责任。        </w:t>
      </w:r>
    </w:p>
    <w:p w14:paraId="24EA5734">
      <w:pPr>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5.按规定组织开发利用档案；按规定发布档案信息，为社会利用档案提供服务；收集政府公开文件，依法为公民、法人或者其他组织提供政府公开信息服务；配合有关部门开展相关社会教育服务工作。        </w:t>
      </w:r>
    </w:p>
    <w:p w14:paraId="35ED0103">
      <w:pPr>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6.拟定全县档案信息化和数字档案馆建设规划，管理档案信息资源库，负责全县电子文件档案的接收和管理工作。   </w:t>
      </w:r>
    </w:p>
    <w:p w14:paraId="531739A0">
      <w:pPr>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7.承担职责范围内的安全生产和职业健康、生态环境保护等工作。      </w:t>
      </w:r>
      <w:bookmarkStart w:id="22" w:name="_Toc11699"/>
    </w:p>
    <w:p w14:paraId="0F22B97B">
      <w:pPr>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Style w:val="29"/>
          <w:b w:val="0"/>
          <w:bCs w:val="0"/>
          <w:color w:val="auto"/>
          <w:highlight w:val="none"/>
        </w:rPr>
      </w:pPr>
      <w:r>
        <w:rPr>
          <w:rFonts w:hint="eastAsia" w:ascii="仿宋" w:hAnsi="仿宋" w:eastAsia="仿宋" w:cs="Times New Roman"/>
          <w:b w:val="0"/>
          <w:bCs w:val="0"/>
          <w:color w:val="auto"/>
          <w:kern w:val="2"/>
          <w:sz w:val="32"/>
          <w:szCs w:val="32"/>
          <w:highlight w:val="none"/>
          <w:lang w:val="en-US" w:eastAsia="zh-CN" w:bidi="ar-SA"/>
        </w:rPr>
        <w:t>8.承办县委、县政府和上级业务部门交办的其他事项。</w:t>
      </w:r>
      <w:bookmarkEnd w:id="22"/>
      <w:bookmarkStart w:id="23" w:name="_Toc19764"/>
      <w:r>
        <w:rPr>
          <w:rFonts w:hint="eastAsia" w:ascii="黑体" w:hAnsi="黑体" w:eastAsia="黑体" w:cstheme="majorBidi"/>
          <w:b w:val="0"/>
          <w:bCs/>
          <w:color w:val="auto"/>
          <w:kern w:val="2"/>
          <w:sz w:val="32"/>
          <w:szCs w:val="32"/>
          <w:highlight w:val="none"/>
          <w:lang w:val="en-US" w:eastAsia="zh-CN" w:bidi="ar-SA"/>
        </w:rPr>
        <w:t>二、机构设置</w:t>
      </w:r>
      <w:bookmarkEnd w:id="20"/>
      <w:bookmarkEnd w:id="21"/>
      <w:bookmarkEnd w:id="23"/>
    </w:p>
    <w:p w14:paraId="500EB74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县档案馆属县委直属参公事业单位，</w:t>
      </w:r>
      <w:r>
        <w:rPr>
          <w:rFonts w:hint="eastAsia" w:ascii="仿宋" w:hAnsi="仿宋" w:eastAsia="仿宋"/>
          <w:color w:val="auto"/>
          <w:sz w:val="32"/>
          <w:szCs w:val="32"/>
          <w:highlight w:val="none"/>
        </w:rPr>
        <w:t>下属二级</w:t>
      </w:r>
      <w:r>
        <w:rPr>
          <w:rFonts w:hint="eastAsia" w:ascii="仿宋" w:hAnsi="仿宋" w:eastAsia="仿宋"/>
          <w:color w:val="auto"/>
          <w:sz w:val="32"/>
          <w:szCs w:val="32"/>
          <w:highlight w:val="none"/>
          <w:lang w:eastAsia="zh-CN"/>
        </w:rPr>
        <w:t>预算</w:t>
      </w:r>
      <w:r>
        <w:rPr>
          <w:rFonts w:hint="eastAsia" w:ascii="仿宋" w:hAnsi="仿宋" w:eastAsia="仿宋"/>
          <w:color w:val="auto"/>
          <w:sz w:val="32"/>
          <w:szCs w:val="32"/>
          <w:highlight w:val="none"/>
        </w:rPr>
        <w:t>单位</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个，其中行政单位</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个，参照公务员法管理的事业单位</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个，其他事业单位</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个。</w:t>
      </w:r>
    </w:p>
    <w:p w14:paraId="245AB534">
      <w:pPr>
        <w:pStyle w:val="6"/>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color w:val="auto"/>
        </w:rPr>
      </w:pPr>
      <w:r>
        <w:rPr>
          <w:rFonts w:hint="eastAsia" w:hAnsi="仿宋_GB2312" w:cs="仿宋_GB2312"/>
          <w:color w:val="auto"/>
          <w:sz w:val="32"/>
          <w:szCs w:val="32"/>
          <w:lang w:eastAsia="zh-CN"/>
        </w:rPr>
        <w:t>县档案馆内设管理利用股、信息化和编研股三个。人员编制</w:t>
      </w:r>
      <w:r>
        <w:rPr>
          <w:rFonts w:hint="eastAsia" w:hAnsi="仿宋_GB2312" w:cs="仿宋_GB2312"/>
          <w:color w:val="auto"/>
          <w:sz w:val="32"/>
          <w:szCs w:val="32"/>
          <w:lang w:val="en-US" w:eastAsia="zh-CN"/>
        </w:rPr>
        <w:t>7</w:t>
      </w:r>
      <w:r>
        <w:rPr>
          <w:rFonts w:hint="eastAsia" w:hAnsi="仿宋_GB2312" w:cs="仿宋_GB2312"/>
          <w:color w:val="auto"/>
          <w:sz w:val="32"/>
          <w:szCs w:val="32"/>
          <w:lang w:eastAsia="zh-CN"/>
        </w:rPr>
        <w:t>名，实际在职</w:t>
      </w:r>
      <w:r>
        <w:rPr>
          <w:rFonts w:hint="eastAsia" w:hAnsi="仿宋_GB2312" w:cs="仿宋_GB2312"/>
          <w:color w:val="auto"/>
          <w:sz w:val="32"/>
          <w:szCs w:val="32"/>
          <w:lang w:val="en-US" w:eastAsia="zh-CN"/>
        </w:rPr>
        <w:t>8</w:t>
      </w:r>
      <w:r>
        <w:rPr>
          <w:rFonts w:hint="eastAsia" w:hAnsi="仿宋_GB2312" w:cs="仿宋_GB2312"/>
          <w:color w:val="auto"/>
          <w:sz w:val="32"/>
          <w:szCs w:val="32"/>
          <w:lang w:eastAsia="zh-CN"/>
        </w:rPr>
        <w:t>名，其中领导</w:t>
      </w:r>
      <w:r>
        <w:rPr>
          <w:rFonts w:hint="eastAsia" w:hAnsi="仿宋_GB2312" w:cs="仿宋_GB2312"/>
          <w:color w:val="auto"/>
          <w:sz w:val="32"/>
          <w:szCs w:val="32"/>
          <w:lang w:val="en-US" w:eastAsia="zh-CN"/>
        </w:rPr>
        <w:t>1</w:t>
      </w:r>
      <w:r>
        <w:rPr>
          <w:rFonts w:hint="eastAsia" w:hAnsi="仿宋_GB2312" w:cs="仿宋_GB2312"/>
          <w:color w:val="auto"/>
          <w:sz w:val="32"/>
          <w:szCs w:val="32"/>
          <w:lang w:eastAsia="zh-CN"/>
        </w:rPr>
        <w:t>名，中层干部3名，工作人员</w:t>
      </w:r>
      <w:r>
        <w:rPr>
          <w:rFonts w:hint="eastAsia" w:hAnsi="仿宋_GB2312" w:cs="仿宋_GB2312"/>
          <w:color w:val="auto"/>
          <w:sz w:val="32"/>
          <w:szCs w:val="32"/>
          <w:lang w:val="en-US" w:eastAsia="zh-CN"/>
        </w:rPr>
        <w:t>4</w:t>
      </w:r>
      <w:r>
        <w:rPr>
          <w:rFonts w:hint="eastAsia" w:hAnsi="仿宋_GB2312" w:cs="仿宋_GB2312"/>
          <w:color w:val="auto"/>
          <w:sz w:val="32"/>
          <w:szCs w:val="32"/>
          <w:lang w:eastAsia="zh-CN"/>
        </w:rPr>
        <w:t>名，临时人员1名。</w:t>
      </w:r>
    </w:p>
    <w:p w14:paraId="4620CF36">
      <w:pPr>
        <w:widowControl/>
        <w:jc w:val="left"/>
        <w:rPr>
          <w:rFonts w:ascii="仿宋" w:hAnsi="仿宋" w:eastAsia="仿宋"/>
          <w:color w:val="auto"/>
          <w:kern w:val="0"/>
          <w:sz w:val="32"/>
          <w:szCs w:val="32"/>
          <w:highlight w:val="none"/>
        </w:rPr>
      </w:pPr>
      <w:r>
        <w:rPr>
          <w:rFonts w:ascii="仿宋" w:hAnsi="仿宋" w:eastAsia="仿宋"/>
          <w:color w:val="auto"/>
          <w:sz w:val="32"/>
          <w:szCs w:val="32"/>
          <w:highlight w:val="none"/>
        </w:rPr>
        <w:br w:type="page"/>
      </w:r>
    </w:p>
    <w:p w14:paraId="5BD7A0AE">
      <w:pPr>
        <w:pStyle w:val="3"/>
        <w:ind w:right="440"/>
        <w:jc w:val="center"/>
        <w:rPr>
          <w:rStyle w:val="28"/>
          <w:rFonts w:ascii="黑体" w:hAnsi="黑体" w:eastAsia="黑体"/>
          <w:b w:val="0"/>
          <w:bCs/>
          <w:color w:val="auto"/>
          <w:highlight w:val="none"/>
        </w:rPr>
      </w:pPr>
      <w:bookmarkStart w:id="24" w:name="_Toc15377204"/>
      <w:bookmarkStart w:id="25" w:name="_Toc15396602"/>
      <w:bookmarkStart w:id="26" w:name="_Toc20952"/>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2024年度部门</w:t>
      </w:r>
      <w:r>
        <w:rPr>
          <w:rStyle w:val="28"/>
          <w:rFonts w:hint="eastAsia" w:ascii="黑体" w:hAnsi="黑体" w:eastAsia="黑体"/>
          <w:b w:val="0"/>
          <w:bCs/>
          <w:color w:val="auto"/>
          <w:highlight w:val="none"/>
        </w:rPr>
        <w:t>决算情况说明</w:t>
      </w:r>
      <w:bookmarkEnd w:id="24"/>
      <w:bookmarkEnd w:id="25"/>
      <w:bookmarkEnd w:id="26"/>
    </w:p>
    <w:p w14:paraId="155AD15F">
      <w:pPr>
        <w:rPr>
          <w:color w:val="auto"/>
          <w:highlight w:val="none"/>
        </w:rPr>
      </w:pPr>
    </w:p>
    <w:p w14:paraId="58F9C5A4">
      <w:pPr>
        <w:pStyle w:val="27"/>
        <w:numPr>
          <w:ilvl w:val="0"/>
          <w:numId w:val="1"/>
        </w:numPr>
        <w:spacing w:line="600" w:lineRule="exact"/>
        <w:ind w:firstLineChars="0"/>
        <w:outlineLvl w:val="1"/>
        <w:rPr>
          <w:rStyle w:val="29"/>
          <w:rFonts w:ascii="黑体" w:hAnsi="黑体" w:eastAsia="黑体"/>
          <w:b w:val="0"/>
          <w:color w:val="auto"/>
          <w:highlight w:val="none"/>
        </w:rPr>
      </w:pPr>
      <w:bookmarkStart w:id="27" w:name="_Toc15396603"/>
      <w:bookmarkStart w:id="28" w:name="_Toc15377205"/>
      <w:bookmarkStart w:id="29" w:name="_Toc20322"/>
      <w:r>
        <w:rPr>
          <w:rFonts w:hint="eastAsia" w:ascii="黑体" w:hAnsi="黑体" w:eastAsia="黑体"/>
          <w:color w:val="auto"/>
          <w:sz w:val="32"/>
          <w:szCs w:val="32"/>
          <w:highlight w:val="none"/>
        </w:rPr>
        <w:t>收</w:t>
      </w:r>
      <w:r>
        <w:rPr>
          <w:rStyle w:val="29"/>
          <w:rFonts w:hint="eastAsia" w:ascii="黑体" w:hAnsi="黑体" w:eastAsia="黑体"/>
          <w:b w:val="0"/>
          <w:color w:val="auto"/>
          <w:highlight w:val="none"/>
        </w:rPr>
        <w:t>入支出决算总体情况说明</w:t>
      </w:r>
      <w:bookmarkEnd w:id="27"/>
      <w:bookmarkEnd w:id="28"/>
      <w:bookmarkEnd w:id="29"/>
    </w:p>
    <w:p w14:paraId="51B1633D">
      <w:pPr>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年度收、支总计</w:t>
      </w:r>
      <w:r>
        <w:rPr>
          <w:rFonts w:hint="eastAsia" w:ascii="仿宋" w:hAnsi="仿宋" w:eastAsia="仿宋"/>
          <w:color w:val="auto"/>
          <w:sz w:val="32"/>
          <w:szCs w:val="32"/>
          <w:highlight w:val="none"/>
          <w:lang w:val="en-US" w:eastAsia="zh-CN"/>
        </w:rPr>
        <w:t>164.85</w:t>
      </w:r>
      <w:r>
        <w:rPr>
          <w:rFonts w:hint="eastAsia" w:ascii="仿宋" w:hAnsi="仿宋" w:eastAsia="仿宋"/>
          <w:color w:val="auto"/>
          <w:sz w:val="32"/>
          <w:szCs w:val="32"/>
          <w:highlight w:val="none"/>
        </w:rPr>
        <w:t>万元。与20</w:t>
      </w:r>
      <w:r>
        <w:rPr>
          <w:rFonts w:hint="eastAsia" w:ascii="仿宋" w:hAnsi="仿宋" w:eastAsia="仿宋"/>
          <w:color w:val="auto"/>
          <w:sz w:val="32"/>
          <w:szCs w:val="32"/>
          <w:highlight w:val="none"/>
          <w:lang w:val="en-US" w:eastAsia="zh-CN"/>
        </w:rPr>
        <w:t>23</w:t>
      </w:r>
      <w:r>
        <w:rPr>
          <w:rFonts w:hint="eastAsia" w:ascii="仿宋" w:hAnsi="仿宋" w:eastAsia="仿宋"/>
          <w:color w:val="auto"/>
          <w:sz w:val="32"/>
          <w:szCs w:val="32"/>
          <w:highlight w:val="none"/>
        </w:rPr>
        <w:t>年相比，收、支总计各</w:t>
      </w:r>
      <w:r>
        <w:rPr>
          <w:rFonts w:hint="eastAsia" w:ascii="仿宋" w:hAnsi="仿宋" w:eastAsia="仿宋"/>
          <w:color w:val="auto"/>
          <w:sz w:val="32"/>
          <w:szCs w:val="32"/>
          <w:highlight w:val="none"/>
          <w:lang w:eastAsia="zh-CN"/>
        </w:rPr>
        <w:t>减少</w:t>
      </w:r>
      <w:r>
        <w:rPr>
          <w:rFonts w:hint="eastAsia" w:ascii="仿宋" w:hAnsi="仿宋" w:eastAsia="仿宋"/>
          <w:color w:val="auto"/>
          <w:sz w:val="32"/>
          <w:szCs w:val="32"/>
          <w:highlight w:val="none"/>
          <w:lang w:val="en-US" w:eastAsia="zh-CN"/>
        </w:rPr>
        <w:t>58.53</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下降</w:t>
      </w:r>
      <w:r>
        <w:rPr>
          <w:rFonts w:hint="eastAsia" w:ascii="仿宋" w:hAnsi="仿宋" w:eastAsia="仿宋"/>
          <w:color w:val="auto"/>
          <w:sz w:val="32"/>
          <w:szCs w:val="32"/>
          <w:highlight w:val="none"/>
          <w:lang w:val="en-US" w:eastAsia="zh-CN"/>
        </w:rPr>
        <w:t>26.20</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2023年7月死亡1名在职人员增加了人员经费支出</w:t>
      </w:r>
      <w:r>
        <w:rPr>
          <w:rFonts w:hint="eastAsia" w:ascii="仿宋" w:hAnsi="仿宋" w:eastAsia="仿宋"/>
          <w:color w:val="auto"/>
          <w:sz w:val="32"/>
          <w:szCs w:val="32"/>
          <w:highlight w:val="none"/>
          <w:lang w:eastAsia="zh-CN"/>
        </w:rPr>
        <w:t>。</w:t>
      </w:r>
    </w:p>
    <w:p w14:paraId="5E3A7BD6">
      <w:pPr>
        <w:spacing w:line="600" w:lineRule="exact"/>
        <w:ind w:firstLine="420" w:firstLineChars="200"/>
        <w:rPr>
          <w:rFonts w:hint="eastAsia" w:ascii="仿宋" w:hAnsi="仿宋" w:eastAsia="仿宋"/>
          <w:color w:val="auto"/>
          <w:sz w:val="32"/>
          <w:szCs w:val="32"/>
          <w:highlight w:val="none"/>
        </w:rPr>
      </w:pPr>
      <w:r>
        <w:rPr>
          <w:color w:val="auto"/>
        </w:rPr>
        <w:drawing>
          <wp:anchor distT="0" distB="0" distL="114300" distR="114300" simplePos="0" relativeHeight="251662336" behindDoc="1" locked="0" layoutInCell="1" allowOverlap="1">
            <wp:simplePos x="0" y="0"/>
            <wp:positionH relativeFrom="column">
              <wp:posOffset>70485</wp:posOffset>
            </wp:positionH>
            <wp:positionV relativeFrom="paragraph">
              <wp:posOffset>54610</wp:posOffset>
            </wp:positionV>
            <wp:extent cx="4197985" cy="2259330"/>
            <wp:effectExtent l="4445" t="5080" r="7620" b="21590"/>
            <wp:wrapThrough wrapText="bothSides">
              <wp:wrapPolygon>
                <wp:start x="-23" y="-49"/>
                <wp:lineTo x="-23" y="21442"/>
                <wp:lineTo x="21541" y="21442"/>
                <wp:lineTo x="21541" y="-49"/>
                <wp:lineTo x="-23" y="-49"/>
              </wp:wrapPolygon>
            </wp:wrapThrough>
            <wp:docPr id="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4F296C65">
      <w:pPr>
        <w:spacing w:line="600" w:lineRule="exact"/>
        <w:ind w:firstLine="640" w:firstLineChars="200"/>
        <w:rPr>
          <w:rFonts w:hint="eastAsia" w:ascii="仿宋" w:hAnsi="仿宋" w:eastAsia="仿宋"/>
          <w:color w:val="auto"/>
          <w:sz w:val="32"/>
          <w:szCs w:val="32"/>
          <w:highlight w:val="none"/>
        </w:rPr>
      </w:pPr>
    </w:p>
    <w:p w14:paraId="33314591">
      <w:pPr>
        <w:spacing w:line="600" w:lineRule="exact"/>
        <w:ind w:firstLine="640" w:firstLineChars="200"/>
        <w:rPr>
          <w:rFonts w:hint="eastAsia" w:ascii="仿宋" w:hAnsi="仿宋" w:eastAsia="仿宋"/>
          <w:color w:val="auto"/>
          <w:sz w:val="32"/>
          <w:szCs w:val="32"/>
          <w:highlight w:val="none"/>
        </w:rPr>
      </w:pPr>
    </w:p>
    <w:p w14:paraId="121BC371">
      <w:pPr>
        <w:pStyle w:val="27"/>
        <w:numPr>
          <w:ilvl w:val="0"/>
          <w:numId w:val="1"/>
        </w:numPr>
        <w:spacing w:line="600" w:lineRule="exact"/>
        <w:ind w:firstLineChars="0"/>
        <w:outlineLvl w:val="1"/>
        <w:rPr>
          <w:rStyle w:val="29"/>
          <w:rFonts w:ascii="黑体" w:hAnsi="黑体" w:eastAsia="黑体"/>
          <w:b w:val="0"/>
          <w:color w:val="auto"/>
          <w:highlight w:val="none"/>
        </w:rPr>
      </w:pPr>
      <w:bookmarkStart w:id="30" w:name="_Toc15377206"/>
      <w:bookmarkStart w:id="31" w:name="_Toc15396604"/>
      <w:bookmarkStart w:id="32" w:name="_Toc21906"/>
      <w:r>
        <w:rPr>
          <w:rFonts w:hint="eastAsia" w:ascii="黑体" w:hAnsi="黑体" w:eastAsia="黑体"/>
          <w:color w:val="auto"/>
          <w:sz w:val="32"/>
          <w:szCs w:val="32"/>
          <w:highlight w:val="none"/>
        </w:rPr>
        <w:t>收</w:t>
      </w:r>
      <w:r>
        <w:rPr>
          <w:rStyle w:val="29"/>
          <w:rFonts w:hint="eastAsia" w:ascii="黑体" w:hAnsi="黑体" w:eastAsia="黑体"/>
          <w:b w:val="0"/>
          <w:color w:val="auto"/>
          <w:highlight w:val="none"/>
        </w:rPr>
        <w:t>入决算情况说明</w:t>
      </w:r>
      <w:bookmarkEnd w:id="30"/>
      <w:bookmarkEnd w:id="31"/>
      <w:bookmarkEnd w:id="32"/>
    </w:p>
    <w:p w14:paraId="37EA44D2">
      <w:pPr>
        <w:spacing w:line="600" w:lineRule="exact"/>
        <w:ind w:firstLine="640" w:firstLineChars="200"/>
        <w:outlineLvl w:val="1"/>
        <w:rPr>
          <w:rFonts w:ascii="仿宋" w:hAnsi="仿宋" w:eastAsia="仿宋"/>
          <w:color w:val="auto"/>
          <w:sz w:val="32"/>
          <w:szCs w:val="32"/>
          <w:highlight w:val="none"/>
        </w:rPr>
      </w:pPr>
      <w:bookmarkStart w:id="33" w:name="_Toc8971"/>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年本年收入合计</w:t>
      </w:r>
      <w:r>
        <w:rPr>
          <w:rFonts w:hint="eastAsia" w:ascii="仿宋" w:hAnsi="仿宋" w:eastAsia="仿宋"/>
          <w:color w:val="auto"/>
          <w:sz w:val="32"/>
          <w:szCs w:val="32"/>
          <w:highlight w:val="none"/>
          <w:lang w:val="en-US" w:eastAsia="zh-CN"/>
        </w:rPr>
        <w:t>164.85</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142.85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86.66</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13.34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；上级补助收入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；事业收入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；附属单位上缴收入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；其他收入</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年初结转和结余</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33"/>
    </w:p>
    <w:p w14:paraId="4BD8A8D9">
      <w:pPr>
        <w:spacing w:line="600" w:lineRule="exact"/>
        <w:ind w:firstLine="420" w:firstLineChars="200"/>
        <w:rPr>
          <w:rFonts w:ascii="仿宋" w:hAnsi="仿宋" w:eastAsia="仿宋"/>
          <w:color w:val="auto"/>
          <w:sz w:val="32"/>
          <w:szCs w:val="32"/>
          <w:highlight w:val="none"/>
        </w:rPr>
      </w:pPr>
      <w:r>
        <w:rPr>
          <w:color w:val="auto"/>
        </w:rPr>
        <w:drawing>
          <wp:anchor distT="0" distB="0" distL="114300" distR="114300" simplePos="0" relativeHeight="251659264" behindDoc="1" locked="0" layoutInCell="1" allowOverlap="1">
            <wp:simplePos x="0" y="0"/>
            <wp:positionH relativeFrom="column">
              <wp:posOffset>58420</wp:posOffset>
            </wp:positionH>
            <wp:positionV relativeFrom="paragraph">
              <wp:posOffset>127635</wp:posOffset>
            </wp:positionV>
            <wp:extent cx="4197985" cy="2259330"/>
            <wp:effectExtent l="4445" t="5080" r="7620" b="21590"/>
            <wp:wrapThrough wrapText="bothSides">
              <wp:wrapPolygon>
                <wp:start x="-23" y="-49"/>
                <wp:lineTo x="-23" y="21442"/>
                <wp:lineTo x="21541" y="21442"/>
                <wp:lineTo x="21541" y="-49"/>
                <wp:lineTo x="-23" y="-49"/>
              </wp:wrapPolygon>
            </wp:wrapThrough>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5DE70F0C">
      <w:pPr>
        <w:spacing w:line="600" w:lineRule="exact"/>
        <w:ind w:firstLine="640" w:firstLineChars="200"/>
        <w:rPr>
          <w:rFonts w:ascii="仿宋_GB2312" w:eastAsia="仿宋_GB2312"/>
          <w:color w:val="auto"/>
          <w:sz w:val="32"/>
          <w:szCs w:val="32"/>
          <w:highlight w:val="none"/>
        </w:rPr>
      </w:pPr>
    </w:p>
    <w:p w14:paraId="42A76F9C">
      <w:pPr>
        <w:pStyle w:val="2"/>
        <w:rPr>
          <w:rFonts w:ascii="仿宋_GB2312" w:eastAsia="仿宋_GB2312"/>
          <w:color w:val="auto"/>
          <w:sz w:val="32"/>
          <w:szCs w:val="32"/>
          <w:highlight w:val="none"/>
        </w:rPr>
      </w:pPr>
    </w:p>
    <w:p w14:paraId="60078CFE">
      <w:pPr>
        <w:pStyle w:val="2"/>
        <w:rPr>
          <w:rFonts w:ascii="仿宋_GB2312" w:eastAsia="仿宋_GB2312"/>
          <w:color w:val="auto"/>
          <w:sz w:val="32"/>
          <w:szCs w:val="32"/>
          <w:highlight w:val="none"/>
        </w:rPr>
      </w:pPr>
    </w:p>
    <w:p w14:paraId="4D7EBA64">
      <w:pPr>
        <w:pStyle w:val="27"/>
        <w:numPr>
          <w:ilvl w:val="0"/>
          <w:numId w:val="1"/>
        </w:numPr>
        <w:spacing w:line="600" w:lineRule="exact"/>
        <w:ind w:firstLineChars="0"/>
        <w:outlineLvl w:val="1"/>
        <w:rPr>
          <w:rStyle w:val="29"/>
          <w:rFonts w:ascii="黑体" w:hAnsi="黑体" w:eastAsia="黑体"/>
          <w:b w:val="0"/>
          <w:color w:val="auto"/>
          <w:highlight w:val="none"/>
        </w:rPr>
      </w:pPr>
      <w:bookmarkStart w:id="34" w:name="_Toc15396605"/>
      <w:bookmarkStart w:id="35" w:name="_Toc15377207"/>
      <w:bookmarkStart w:id="36" w:name="_Toc17713"/>
      <w:r>
        <w:rPr>
          <w:rFonts w:hint="eastAsia" w:ascii="黑体" w:hAnsi="黑体" w:eastAsia="黑体"/>
          <w:color w:val="auto"/>
          <w:sz w:val="32"/>
          <w:szCs w:val="32"/>
          <w:highlight w:val="none"/>
        </w:rPr>
        <w:t>支</w:t>
      </w:r>
      <w:r>
        <w:rPr>
          <w:rStyle w:val="29"/>
          <w:rFonts w:hint="eastAsia" w:ascii="黑体" w:hAnsi="黑体" w:eastAsia="黑体"/>
          <w:b w:val="0"/>
          <w:color w:val="auto"/>
          <w:highlight w:val="none"/>
        </w:rPr>
        <w:t>出决算情况说明</w:t>
      </w:r>
      <w:bookmarkEnd w:id="34"/>
      <w:bookmarkEnd w:id="35"/>
      <w:bookmarkEnd w:id="36"/>
    </w:p>
    <w:p w14:paraId="22E0BB9D">
      <w:pPr>
        <w:spacing w:line="600" w:lineRule="exact"/>
        <w:ind w:firstLine="640" w:firstLineChars="200"/>
        <w:outlineLvl w:val="1"/>
        <w:rPr>
          <w:rFonts w:ascii="仿宋" w:hAnsi="仿宋" w:eastAsia="仿宋"/>
          <w:color w:val="auto"/>
          <w:sz w:val="32"/>
          <w:szCs w:val="32"/>
          <w:highlight w:val="none"/>
        </w:rPr>
      </w:pPr>
      <w:bookmarkStart w:id="37" w:name="_Toc32514"/>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年本年支出合计</w:t>
      </w:r>
      <w:r>
        <w:rPr>
          <w:rFonts w:hint="eastAsia" w:ascii="仿宋" w:hAnsi="仿宋" w:eastAsia="仿宋"/>
          <w:color w:val="auto"/>
          <w:sz w:val="32"/>
          <w:szCs w:val="32"/>
          <w:highlight w:val="none"/>
          <w:lang w:val="en-US" w:eastAsia="zh-CN"/>
        </w:rPr>
        <w:t>164.85</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141.2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85.65</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23.65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14.35</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；上缴上级支出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；对附属单位补助支出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37"/>
    </w:p>
    <w:p w14:paraId="4787B312">
      <w:pPr>
        <w:spacing w:line="600" w:lineRule="exact"/>
        <w:ind w:firstLine="643" w:firstLineChars="200"/>
        <w:outlineLvl w:val="1"/>
        <w:rPr>
          <w:rFonts w:hint="eastAsia" w:ascii="仿宋" w:hAnsi="仿宋" w:eastAsia="仿宋"/>
          <w:b/>
          <w:color w:val="auto"/>
          <w:sz w:val="32"/>
          <w:szCs w:val="32"/>
          <w:highlight w:val="none"/>
        </w:rPr>
      </w:pPr>
    </w:p>
    <w:p w14:paraId="70F9B7AB">
      <w:pPr>
        <w:pStyle w:val="2"/>
        <w:rPr>
          <w:rFonts w:hint="eastAsia" w:ascii="仿宋" w:hAnsi="仿宋" w:eastAsia="仿宋"/>
          <w:b/>
          <w:color w:val="auto"/>
          <w:sz w:val="32"/>
          <w:szCs w:val="32"/>
          <w:highlight w:val="none"/>
        </w:rPr>
      </w:pPr>
      <w:r>
        <w:rPr>
          <w:color w:val="auto"/>
        </w:rPr>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962847D">
      <w:pPr>
        <w:spacing w:line="600" w:lineRule="exact"/>
        <w:rPr>
          <w:rFonts w:ascii="仿宋_GB2312" w:eastAsia="仿宋_GB2312"/>
          <w:color w:val="auto"/>
          <w:sz w:val="32"/>
          <w:szCs w:val="32"/>
          <w:highlight w:val="none"/>
        </w:rPr>
      </w:pPr>
    </w:p>
    <w:p w14:paraId="3654395F">
      <w:pPr>
        <w:spacing w:line="600" w:lineRule="exact"/>
        <w:ind w:firstLine="640" w:firstLineChars="200"/>
        <w:outlineLvl w:val="1"/>
        <w:rPr>
          <w:rStyle w:val="29"/>
          <w:rFonts w:ascii="黑体" w:hAnsi="黑体" w:eastAsia="黑体"/>
          <w:b w:val="0"/>
          <w:color w:val="auto"/>
          <w:highlight w:val="none"/>
        </w:rPr>
      </w:pPr>
      <w:bookmarkStart w:id="38" w:name="_Toc15377208"/>
      <w:bookmarkStart w:id="39" w:name="_Toc15396606"/>
      <w:bookmarkStart w:id="40" w:name="_Toc28919"/>
      <w:r>
        <w:rPr>
          <w:rFonts w:hint="eastAsia" w:ascii="黑体" w:hAnsi="黑体" w:eastAsia="黑体"/>
          <w:color w:val="auto"/>
          <w:sz w:val="32"/>
          <w:szCs w:val="32"/>
          <w:highlight w:val="none"/>
        </w:rPr>
        <w:t>四、财</w:t>
      </w:r>
      <w:r>
        <w:rPr>
          <w:rStyle w:val="29"/>
          <w:rFonts w:hint="eastAsia" w:ascii="黑体" w:hAnsi="黑体" w:eastAsia="黑体"/>
          <w:b w:val="0"/>
          <w:color w:val="auto"/>
          <w:highlight w:val="none"/>
        </w:rPr>
        <w:t>政拨款收入支出决算总体情况说明</w:t>
      </w:r>
      <w:bookmarkEnd w:id="38"/>
      <w:bookmarkEnd w:id="39"/>
      <w:bookmarkEnd w:id="40"/>
    </w:p>
    <w:p w14:paraId="37085A2E">
      <w:pPr>
        <w:spacing w:line="600" w:lineRule="exact"/>
        <w:ind w:firstLine="640"/>
        <w:rPr>
          <w:rFonts w:hint="eastAsia" w:ascii="仿宋" w:hAnsi="仿宋" w:eastAsia="仿宋"/>
          <w:color w:val="auto"/>
          <w:sz w:val="32"/>
          <w:szCs w:val="32"/>
          <w:highlight w:val="none"/>
          <w:lang w:eastAsia="zh-CN"/>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年财政拨款收、支总计</w:t>
      </w:r>
      <w:r>
        <w:rPr>
          <w:rFonts w:hint="eastAsia" w:ascii="仿宋" w:hAnsi="仿宋" w:eastAsia="仿宋"/>
          <w:color w:val="auto"/>
          <w:sz w:val="32"/>
          <w:szCs w:val="32"/>
          <w:highlight w:val="none"/>
          <w:lang w:val="en-US" w:eastAsia="zh-CN"/>
        </w:rPr>
        <w:t>164.85</w:t>
      </w:r>
      <w:r>
        <w:rPr>
          <w:rFonts w:hint="eastAsia" w:ascii="仿宋" w:hAnsi="仿宋" w:eastAsia="仿宋"/>
          <w:color w:val="auto"/>
          <w:sz w:val="32"/>
          <w:szCs w:val="32"/>
          <w:highlight w:val="none"/>
        </w:rPr>
        <w:t>万元。与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23</w:t>
      </w:r>
      <w:r>
        <w:rPr>
          <w:rFonts w:hint="eastAsia" w:ascii="仿宋" w:hAnsi="仿宋" w:eastAsia="仿宋"/>
          <w:color w:val="auto"/>
          <w:sz w:val="32"/>
          <w:szCs w:val="32"/>
          <w:highlight w:val="none"/>
        </w:rPr>
        <w:t>年相比，财政拨款收、支总计各</w:t>
      </w:r>
      <w:r>
        <w:rPr>
          <w:rFonts w:hint="eastAsia" w:ascii="仿宋" w:hAnsi="仿宋" w:eastAsia="仿宋"/>
          <w:color w:val="auto"/>
          <w:sz w:val="32"/>
          <w:szCs w:val="32"/>
          <w:highlight w:val="none"/>
          <w:lang w:eastAsia="zh-CN"/>
        </w:rPr>
        <w:t>减少</w:t>
      </w:r>
      <w:r>
        <w:rPr>
          <w:rFonts w:hint="eastAsia" w:ascii="仿宋" w:hAnsi="仿宋" w:eastAsia="仿宋"/>
          <w:color w:val="auto"/>
          <w:sz w:val="32"/>
          <w:szCs w:val="32"/>
          <w:highlight w:val="none"/>
          <w:lang w:val="en-US" w:eastAsia="zh-CN"/>
        </w:rPr>
        <w:t>58.53</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下降</w:t>
      </w:r>
      <w:r>
        <w:rPr>
          <w:rFonts w:hint="eastAsia" w:ascii="仿宋" w:hAnsi="仿宋" w:eastAsia="仿宋"/>
          <w:color w:val="auto"/>
          <w:sz w:val="32"/>
          <w:szCs w:val="32"/>
          <w:highlight w:val="none"/>
          <w:lang w:val="en-US" w:eastAsia="zh-CN"/>
        </w:rPr>
        <w:t>26.20</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2023年死亡1名在职人员增加了人员经费支出</w:t>
      </w:r>
      <w:r>
        <w:rPr>
          <w:rFonts w:hint="eastAsia" w:ascii="仿宋" w:hAnsi="仿宋" w:eastAsia="仿宋"/>
          <w:color w:val="auto"/>
          <w:sz w:val="32"/>
          <w:szCs w:val="32"/>
          <w:highlight w:val="none"/>
          <w:lang w:eastAsia="zh-CN"/>
        </w:rPr>
        <w:t>。</w:t>
      </w:r>
    </w:p>
    <w:p w14:paraId="4DEF71C4">
      <w:pPr>
        <w:spacing w:line="600" w:lineRule="exact"/>
        <w:ind w:firstLine="640"/>
        <w:rPr>
          <w:rFonts w:hint="eastAsia" w:ascii="仿宋" w:hAnsi="仿宋" w:eastAsia="仿宋"/>
          <w:b/>
          <w:color w:val="auto"/>
          <w:sz w:val="32"/>
          <w:szCs w:val="32"/>
          <w:highlight w:val="none"/>
        </w:rPr>
      </w:pPr>
      <w:r>
        <w:rPr>
          <w:color w:val="auto"/>
        </w:rPr>
        <w:drawing>
          <wp:anchor distT="0" distB="0" distL="114300" distR="114300" simplePos="0" relativeHeight="251660288" behindDoc="1" locked="0" layoutInCell="1" allowOverlap="1">
            <wp:simplePos x="0" y="0"/>
            <wp:positionH relativeFrom="column">
              <wp:posOffset>721995</wp:posOffset>
            </wp:positionH>
            <wp:positionV relativeFrom="paragraph">
              <wp:posOffset>19685</wp:posOffset>
            </wp:positionV>
            <wp:extent cx="3495040" cy="1901190"/>
            <wp:effectExtent l="4445" t="4445" r="5715" b="18415"/>
            <wp:wrapThrough wrapText="bothSides">
              <wp:wrapPolygon>
                <wp:start x="-27" y="-51"/>
                <wp:lineTo x="-27" y="21376"/>
                <wp:lineTo x="21518" y="21376"/>
                <wp:lineTo x="21518" y="-51"/>
                <wp:lineTo x="-27" y="-51"/>
              </wp:wrapPolygon>
            </wp:wrapThrough>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52711A52">
      <w:pPr>
        <w:spacing w:line="600" w:lineRule="exact"/>
        <w:ind w:firstLine="640"/>
        <w:rPr>
          <w:rFonts w:hint="eastAsia" w:ascii="仿宋" w:hAnsi="仿宋" w:eastAsia="仿宋"/>
          <w:b/>
          <w:color w:val="auto"/>
          <w:sz w:val="32"/>
          <w:szCs w:val="32"/>
          <w:highlight w:val="none"/>
        </w:rPr>
      </w:pPr>
    </w:p>
    <w:p w14:paraId="2B054582">
      <w:pPr>
        <w:spacing w:line="600" w:lineRule="exact"/>
        <w:outlineLvl w:val="1"/>
        <w:rPr>
          <w:rFonts w:hint="eastAsia" w:ascii="黑体" w:hAnsi="黑体" w:eastAsia="黑体"/>
          <w:color w:val="auto"/>
          <w:sz w:val="32"/>
          <w:szCs w:val="32"/>
          <w:highlight w:val="none"/>
        </w:rPr>
      </w:pPr>
      <w:bookmarkStart w:id="41" w:name="_Toc15396607"/>
      <w:bookmarkStart w:id="42" w:name="_Toc15377209"/>
    </w:p>
    <w:p w14:paraId="5137D0A6">
      <w:pPr>
        <w:spacing w:line="600" w:lineRule="exact"/>
        <w:ind w:firstLine="640" w:firstLineChars="200"/>
        <w:outlineLvl w:val="1"/>
        <w:rPr>
          <w:rStyle w:val="29"/>
          <w:rFonts w:ascii="黑体" w:hAnsi="黑体" w:eastAsia="黑体"/>
          <w:b w:val="0"/>
          <w:color w:val="auto"/>
          <w:highlight w:val="none"/>
        </w:rPr>
      </w:pPr>
      <w:bookmarkStart w:id="43" w:name="_Toc31819"/>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29"/>
          <w:rFonts w:hint="eastAsia" w:ascii="黑体" w:hAnsi="黑体" w:eastAsia="黑体"/>
          <w:b w:val="0"/>
          <w:color w:val="auto"/>
          <w:highlight w:val="none"/>
        </w:rPr>
        <w:t>般公共预算财政拨款支出决算情况说明</w:t>
      </w:r>
      <w:bookmarkEnd w:id="41"/>
      <w:bookmarkEnd w:id="42"/>
      <w:bookmarkEnd w:id="43"/>
    </w:p>
    <w:p w14:paraId="5B38B6E6">
      <w:pPr>
        <w:spacing w:line="600" w:lineRule="exact"/>
        <w:ind w:firstLine="643" w:firstLineChars="200"/>
        <w:outlineLvl w:val="2"/>
        <w:rPr>
          <w:rFonts w:ascii="仿宋" w:hAnsi="仿宋" w:eastAsia="仿宋"/>
          <w:b/>
          <w:color w:val="auto"/>
          <w:sz w:val="32"/>
          <w:szCs w:val="32"/>
          <w:highlight w:val="none"/>
        </w:rPr>
      </w:pPr>
      <w:bookmarkStart w:id="44" w:name="_Toc15377210"/>
      <w:r>
        <w:rPr>
          <w:rFonts w:hint="eastAsia" w:ascii="仿宋" w:hAnsi="仿宋" w:eastAsia="仿宋"/>
          <w:b/>
          <w:color w:val="auto"/>
          <w:sz w:val="32"/>
          <w:szCs w:val="32"/>
          <w:highlight w:val="none"/>
        </w:rPr>
        <w:t>（一）一般公共预算财政拨款支出决算总体情况</w:t>
      </w:r>
      <w:bookmarkEnd w:id="44"/>
    </w:p>
    <w:p w14:paraId="4E6B4243">
      <w:pPr>
        <w:spacing w:line="600" w:lineRule="exact"/>
        <w:ind w:firstLine="640" w:firstLineChars="200"/>
        <w:rPr>
          <w:rFonts w:hint="eastAsia" w:ascii="仿宋" w:hAnsi="仿宋" w:eastAsia="仿宋"/>
          <w:color w:val="auto"/>
          <w:sz w:val="32"/>
          <w:szCs w:val="32"/>
          <w:highlight w:val="none"/>
          <w:lang w:eastAsia="zh-CN"/>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142.85</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86.66</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23</w:t>
      </w:r>
      <w:r>
        <w:rPr>
          <w:rFonts w:hint="eastAsia" w:ascii="仿宋" w:hAnsi="仿宋" w:eastAsia="仿宋"/>
          <w:color w:val="auto"/>
          <w:sz w:val="32"/>
          <w:szCs w:val="32"/>
          <w:highlight w:val="none"/>
        </w:rPr>
        <w:t>年相比，一般公共预算财政拨款</w:t>
      </w:r>
      <w:r>
        <w:rPr>
          <w:rFonts w:hint="eastAsia" w:ascii="仿宋" w:hAnsi="仿宋" w:eastAsia="仿宋"/>
          <w:color w:val="auto"/>
          <w:sz w:val="32"/>
          <w:szCs w:val="32"/>
          <w:highlight w:val="none"/>
          <w:lang w:eastAsia="zh-CN"/>
        </w:rPr>
        <w:t>支出减少</w:t>
      </w:r>
      <w:r>
        <w:rPr>
          <w:rFonts w:hint="eastAsia" w:ascii="仿宋" w:hAnsi="仿宋" w:eastAsia="仿宋"/>
          <w:color w:val="auto"/>
          <w:sz w:val="32"/>
          <w:szCs w:val="32"/>
          <w:highlight w:val="none"/>
          <w:lang w:val="en-US" w:eastAsia="zh-CN"/>
        </w:rPr>
        <w:t>60.59</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下降</w:t>
      </w:r>
      <w:r>
        <w:rPr>
          <w:rFonts w:hint="eastAsia" w:ascii="仿宋" w:hAnsi="仿宋" w:eastAsia="仿宋"/>
          <w:color w:val="auto"/>
          <w:sz w:val="32"/>
          <w:szCs w:val="32"/>
          <w:highlight w:val="none"/>
          <w:lang w:val="en-US" w:eastAsia="zh-CN"/>
        </w:rPr>
        <w:t>29.78</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2023年死亡1名在职人员增加了人员经费支出</w:t>
      </w:r>
      <w:r>
        <w:rPr>
          <w:rFonts w:hint="eastAsia" w:ascii="仿宋" w:hAnsi="仿宋" w:eastAsia="仿宋"/>
          <w:color w:val="auto"/>
          <w:sz w:val="32"/>
          <w:szCs w:val="32"/>
          <w:highlight w:val="none"/>
          <w:lang w:eastAsia="zh-CN"/>
        </w:rPr>
        <w:t>。</w:t>
      </w:r>
    </w:p>
    <w:p w14:paraId="2C55BCAD">
      <w:pPr>
        <w:pStyle w:val="2"/>
        <w:rPr>
          <w:rFonts w:hint="eastAsia" w:ascii="仿宋" w:hAnsi="仿宋" w:eastAsia="仿宋"/>
          <w:color w:val="auto"/>
          <w:sz w:val="32"/>
          <w:szCs w:val="32"/>
          <w:highlight w:val="none"/>
          <w:lang w:eastAsia="zh-CN"/>
        </w:rPr>
      </w:pPr>
      <w:r>
        <w:rPr>
          <w:color w:val="auto"/>
        </w:rPr>
        <w:drawing>
          <wp:inline distT="0" distB="0" distL="114300" distR="114300">
            <wp:extent cx="4572000" cy="2743200"/>
            <wp:effectExtent l="4445" t="4445" r="1460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9216A3C">
      <w:pPr>
        <w:pStyle w:val="2"/>
        <w:rPr>
          <w:rFonts w:hint="eastAsia" w:ascii="仿宋" w:hAnsi="仿宋" w:eastAsia="仿宋"/>
          <w:color w:val="auto"/>
          <w:sz w:val="32"/>
          <w:szCs w:val="32"/>
          <w:highlight w:val="none"/>
          <w:lang w:eastAsia="zh-CN"/>
        </w:rPr>
      </w:pPr>
    </w:p>
    <w:p w14:paraId="781F0A27">
      <w:pPr>
        <w:pStyle w:val="2"/>
        <w:rPr>
          <w:rFonts w:hint="eastAsia" w:ascii="仿宋" w:hAnsi="仿宋" w:eastAsia="仿宋"/>
          <w:color w:val="auto"/>
          <w:sz w:val="32"/>
          <w:szCs w:val="32"/>
          <w:highlight w:val="none"/>
          <w:lang w:eastAsia="zh-CN"/>
        </w:rPr>
      </w:pPr>
    </w:p>
    <w:p w14:paraId="0E481C93">
      <w:pPr>
        <w:pStyle w:val="2"/>
        <w:rPr>
          <w:rFonts w:hint="eastAsia" w:ascii="仿宋" w:hAnsi="仿宋" w:eastAsia="仿宋"/>
          <w:color w:val="auto"/>
          <w:sz w:val="32"/>
          <w:szCs w:val="32"/>
          <w:highlight w:val="none"/>
          <w:lang w:eastAsia="zh-CN"/>
        </w:rPr>
      </w:pPr>
    </w:p>
    <w:p w14:paraId="48E14201">
      <w:pPr>
        <w:spacing w:line="600" w:lineRule="exact"/>
        <w:ind w:firstLine="643" w:firstLineChars="200"/>
        <w:outlineLvl w:val="2"/>
        <w:rPr>
          <w:rFonts w:ascii="仿宋" w:hAnsi="仿宋" w:eastAsia="仿宋"/>
          <w:b/>
          <w:color w:val="auto"/>
          <w:sz w:val="32"/>
          <w:szCs w:val="32"/>
          <w:highlight w:val="none"/>
        </w:rPr>
      </w:pPr>
      <w:bookmarkStart w:id="45" w:name="_Toc15377211"/>
      <w:r>
        <w:rPr>
          <w:rFonts w:hint="eastAsia" w:ascii="仿宋" w:hAnsi="仿宋" w:eastAsia="仿宋"/>
          <w:b/>
          <w:color w:val="auto"/>
          <w:sz w:val="32"/>
          <w:szCs w:val="32"/>
          <w:highlight w:val="none"/>
        </w:rPr>
        <w:t>（二）一般公共预算财政拨款支出决算结构情况</w:t>
      </w:r>
      <w:bookmarkEnd w:id="45"/>
    </w:p>
    <w:p w14:paraId="13B74890">
      <w:pPr>
        <w:spacing w:line="600" w:lineRule="exact"/>
        <w:ind w:firstLine="640"/>
        <w:rPr>
          <w:rFonts w:hint="eastAsia" w:ascii="仿宋" w:hAnsi="仿宋" w:eastAsia="仿宋"/>
          <w:b/>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142.85</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一般公共服务</w:t>
      </w:r>
      <w:r>
        <w:rPr>
          <w:rFonts w:hint="eastAsia" w:ascii="仿宋" w:hAnsi="仿宋" w:eastAsia="仿宋"/>
          <w:b/>
          <w:bCs/>
          <w:color w:val="auto"/>
          <w:sz w:val="32"/>
          <w:szCs w:val="32"/>
          <w:highlight w:val="none"/>
        </w:rPr>
        <w:t>支出</w:t>
      </w:r>
      <w:r>
        <w:rPr>
          <w:rFonts w:hint="eastAsia" w:ascii="仿宋" w:hAnsi="仿宋" w:eastAsia="仿宋"/>
          <w:b/>
          <w:bCs/>
          <w:color w:val="auto"/>
          <w:sz w:val="32"/>
          <w:szCs w:val="32"/>
          <w:highlight w:val="none"/>
          <w:lang w:val="en-US" w:eastAsia="zh-CN"/>
        </w:rPr>
        <w:t>102.94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72.06</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教育支出</w:t>
      </w:r>
      <w:r>
        <w:rPr>
          <w:rFonts w:hint="eastAsia" w:ascii="仿宋" w:hAnsi="仿宋" w:eastAsia="仿宋"/>
          <w:b/>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科学技术</w:t>
      </w:r>
      <w:r>
        <w:rPr>
          <w:rFonts w:hint="eastAsia" w:ascii="仿宋" w:hAnsi="仿宋" w:eastAsia="仿宋"/>
          <w:b/>
          <w:bCs/>
          <w:color w:val="auto"/>
          <w:sz w:val="32"/>
          <w:szCs w:val="32"/>
          <w:highlight w:val="none"/>
        </w:rPr>
        <w:t>支出</w:t>
      </w:r>
      <w:r>
        <w:rPr>
          <w:rFonts w:hint="eastAsia" w:ascii="仿宋" w:hAnsi="仿宋" w:eastAsia="仿宋"/>
          <w:b/>
          <w:bCs/>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文化旅游体育与传媒支出</w:t>
      </w:r>
      <w:r>
        <w:rPr>
          <w:rFonts w:hint="eastAsia" w:ascii="仿宋" w:hAnsi="仿宋" w:eastAsia="仿宋"/>
          <w:b/>
          <w:bCs/>
          <w:color w:val="auto"/>
          <w:sz w:val="32"/>
          <w:szCs w:val="32"/>
          <w:highlight w:val="none"/>
          <w:lang w:val="en-US" w:eastAsia="zh-CN"/>
        </w:rPr>
        <w:t>0</w:t>
      </w:r>
      <w:r>
        <w:rPr>
          <w:rFonts w:hint="eastAsia" w:ascii="仿宋" w:hAnsi="仿宋" w:eastAsia="仿宋"/>
          <w:b/>
          <w:bCs/>
          <w:color w:val="auto"/>
          <w:sz w:val="32"/>
          <w:szCs w:val="32"/>
          <w:highlight w:val="none"/>
        </w:rPr>
        <w:t>万元，占</w:t>
      </w:r>
      <w:r>
        <w:rPr>
          <w:rFonts w:hint="eastAsia" w:ascii="仿宋" w:hAnsi="仿宋" w:eastAsia="仿宋"/>
          <w:b/>
          <w:bCs/>
          <w:color w:val="auto"/>
          <w:sz w:val="32"/>
          <w:szCs w:val="32"/>
          <w:highlight w:val="none"/>
          <w:lang w:val="en-US" w:eastAsia="zh-CN"/>
        </w:rPr>
        <w:t>0</w:t>
      </w:r>
      <w:r>
        <w:rPr>
          <w:rFonts w:ascii="仿宋" w:hAnsi="仿宋" w:eastAsia="仿宋"/>
          <w:b/>
          <w:bCs/>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b/>
          <w:bCs/>
          <w:color w:val="auto"/>
          <w:sz w:val="32"/>
          <w:szCs w:val="32"/>
          <w:highlight w:val="none"/>
          <w:lang w:val="en-US" w:eastAsia="zh-CN"/>
        </w:rPr>
        <w:t>22.42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15.69</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b/>
          <w:bCs/>
          <w:color w:val="auto"/>
          <w:sz w:val="32"/>
          <w:szCs w:val="32"/>
          <w:highlight w:val="none"/>
          <w:lang w:val="en-US" w:eastAsia="zh-CN"/>
        </w:rPr>
        <w:t>4.82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3.37</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b/>
          <w:bCs/>
          <w:color w:val="auto"/>
          <w:sz w:val="32"/>
          <w:szCs w:val="32"/>
          <w:highlight w:val="none"/>
          <w:lang w:val="en-US" w:eastAsia="zh-CN"/>
        </w:rPr>
        <w:t>11.02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7.71</w:t>
      </w:r>
      <w:r>
        <w:rPr>
          <w:rFonts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w:t>
      </w:r>
      <w:r>
        <w:rPr>
          <w:rFonts w:hint="eastAsia" w:ascii="仿宋" w:hAnsi="仿宋" w:eastAsia="仿宋"/>
          <w:b/>
          <w:bCs/>
          <w:color w:val="auto"/>
          <w:sz w:val="32"/>
          <w:szCs w:val="32"/>
          <w:highlight w:val="none"/>
          <w:lang w:val="en-US" w:eastAsia="zh-CN"/>
        </w:rPr>
        <w:t>农林水支出1.65</w:t>
      </w:r>
      <w:r>
        <w:rPr>
          <w:rFonts w:hint="eastAsia" w:ascii="仿宋" w:hAnsi="仿宋" w:eastAsia="仿宋"/>
          <w:color w:val="auto"/>
          <w:sz w:val="32"/>
          <w:szCs w:val="32"/>
          <w:highlight w:val="none"/>
          <w:lang w:val="en-US" w:eastAsia="zh-CN"/>
        </w:rPr>
        <w:t>万元，占1.17%</w:t>
      </w:r>
      <w:r>
        <w:rPr>
          <w:rFonts w:hint="eastAsia" w:ascii="仿宋" w:hAnsi="仿宋" w:eastAsia="仿宋"/>
          <w:color w:val="auto"/>
          <w:sz w:val="32"/>
          <w:szCs w:val="32"/>
          <w:highlight w:val="none"/>
        </w:rPr>
        <w:t>。</w:t>
      </w:r>
    </w:p>
    <w:p w14:paraId="1F46D32F">
      <w:pPr>
        <w:spacing w:line="600" w:lineRule="exact"/>
        <w:ind w:left="638" w:leftChars="304" w:firstLine="0" w:firstLineChars="0"/>
        <w:outlineLvl w:val="2"/>
        <w:rPr>
          <w:rFonts w:hint="eastAsia" w:ascii="仿宋" w:hAnsi="仿宋" w:eastAsia="仿宋"/>
          <w:b/>
          <w:color w:val="auto"/>
          <w:sz w:val="32"/>
          <w:szCs w:val="32"/>
          <w:highlight w:val="none"/>
        </w:rPr>
      </w:pPr>
      <w:bookmarkStart w:id="46" w:name="_Toc15377212"/>
      <w:r>
        <w:rPr>
          <w:color w:val="auto"/>
        </w:rPr>
        <w:drawing>
          <wp:anchor distT="0" distB="0" distL="114300" distR="114300" simplePos="0" relativeHeight="251661312" behindDoc="1" locked="0" layoutInCell="1" allowOverlap="1">
            <wp:simplePos x="0" y="0"/>
            <wp:positionH relativeFrom="column">
              <wp:posOffset>248285</wp:posOffset>
            </wp:positionH>
            <wp:positionV relativeFrom="paragraph">
              <wp:posOffset>137795</wp:posOffset>
            </wp:positionV>
            <wp:extent cx="4572000" cy="2743200"/>
            <wp:effectExtent l="4445" t="4445" r="14605" b="14605"/>
            <wp:wrapThrough wrapText="bothSides">
              <wp:wrapPolygon>
                <wp:start x="-21" y="-35"/>
                <wp:lineTo x="-21" y="21565"/>
                <wp:lineTo x="21579" y="21565"/>
                <wp:lineTo x="21579" y="-35"/>
                <wp:lineTo x="-21" y="-35"/>
              </wp:wrapPolygon>
            </wp:wrapThrough>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20FF8FCC">
      <w:pPr>
        <w:spacing w:line="600" w:lineRule="exact"/>
        <w:ind w:left="638" w:leftChars="304" w:firstLine="0" w:firstLineChars="0"/>
        <w:outlineLvl w:val="2"/>
        <w:rPr>
          <w:rFonts w:hint="eastAsia" w:ascii="仿宋" w:hAnsi="仿宋" w:eastAsia="仿宋"/>
          <w:b/>
          <w:color w:val="auto"/>
          <w:sz w:val="32"/>
          <w:szCs w:val="32"/>
          <w:highlight w:val="none"/>
        </w:rPr>
      </w:pPr>
    </w:p>
    <w:p w14:paraId="4F88CB27">
      <w:pPr>
        <w:spacing w:line="600" w:lineRule="exact"/>
        <w:ind w:left="638" w:leftChars="304" w:firstLine="0" w:firstLineChars="0"/>
        <w:outlineLvl w:val="2"/>
        <w:rPr>
          <w:rFonts w:hint="eastAsia" w:ascii="仿宋" w:hAnsi="仿宋" w:eastAsia="仿宋"/>
          <w:b/>
          <w:color w:val="auto"/>
          <w:sz w:val="32"/>
          <w:szCs w:val="32"/>
          <w:highlight w:val="none"/>
        </w:rPr>
      </w:pPr>
    </w:p>
    <w:p w14:paraId="3CABF892">
      <w:pPr>
        <w:spacing w:line="600" w:lineRule="exact"/>
        <w:ind w:left="638" w:leftChars="304" w:firstLine="0" w:firstLineChars="0"/>
        <w:outlineLvl w:val="2"/>
        <w:rPr>
          <w:rFonts w:hint="eastAsia" w:ascii="仿宋" w:hAnsi="仿宋" w:eastAsia="仿宋"/>
          <w:b/>
          <w:color w:val="auto"/>
          <w:sz w:val="32"/>
          <w:szCs w:val="32"/>
          <w:highlight w:val="none"/>
        </w:rPr>
      </w:pPr>
    </w:p>
    <w:p w14:paraId="1DE94F82">
      <w:pPr>
        <w:spacing w:line="600" w:lineRule="exact"/>
        <w:ind w:left="638" w:leftChars="304" w:firstLine="0" w:firstLineChars="0"/>
        <w:outlineLvl w:val="2"/>
        <w:rPr>
          <w:rFonts w:hint="eastAsia" w:ascii="楷体_GB2312" w:hAnsi="楷体_GB2312" w:eastAsia="楷体_GB2312" w:cs="楷体_GB2312"/>
          <w:b w:val="0"/>
          <w:bCs/>
          <w:color w:val="auto"/>
          <w:sz w:val="32"/>
          <w:szCs w:val="32"/>
          <w:highlight w:val="none"/>
        </w:rPr>
      </w:pPr>
      <w:r>
        <w:rPr>
          <w:rFonts w:hint="eastAsia" w:ascii="仿宋" w:hAnsi="仿宋" w:eastAsia="仿宋"/>
          <w:b/>
          <w:color w:val="auto"/>
          <w:sz w:val="32"/>
          <w:szCs w:val="32"/>
          <w:highlight w:val="none"/>
        </w:rPr>
        <w:t>（三）一般公共预算</w:t>
      </w:r>
      <w:r>
        <w:rPr>
          <w:rFonts w:hint="eastAsia" w:ascii="楷体_GB2312" w:hAnsi="楷体_GB2312" w:eastAsia="楷体_GB2312" w:cs="楷体_GB2312"/>
          <w:b w:val="0"/>
          <w:bCs/>
          <w:color w:val="auto"/>
          <w:sz w:val="32"/>
          <w:szCs w:val="32"/>
          <w:highlight w:val="none"/>
          <w:lang w:eastAsia="zh-CN"/>
        </w:rPr>
        <w:t>（三）</w:t>
      </w:r>
      <w:r>
        <w:rPr>
          <w:rFonts w:hint="eastAsia" w:ascii="楷体_GB2312" w:hAnsi="楷体_GB2312" w:eastAsia="楷体_GB2312" w:cs="楷体_GB2312"/>
          <w:b w:val="0"/>
          <w:bCs/>
          <w:color w:val="auto"/>
          <w:sz w:val="32"/>
          <w:szCs w:val="32"/>
          <w:highlight w:val="none"/>
        </w:rPr>
        <w:t>财政拨款支出决算具体情况</w:t>
      </w:r>
      <w:bookmarkEnd w:id="46"/>
    </w:p>
    <w:p w14:paraId="36FE405A">
      <w:pPr>
        <w:spacing w:line="600" w:lineRule="exact"/>
        <w:ind w:firstLine="643" w:firstLineChars="200"/>
        <w:outlineLvl w:val="2"/>
        <w:rPr>
          <w:rFonts w:ascii="仿宋" w:hAnsi="仿宋" w:eastAsia="仿宋"/>
          <w:color w:val="auto"/>
          <w:sz w:val="32"/>
          <w:szCs w:val="32"/>
          <w:highlight w:val="none"/>
        </w:rPr>
      </w:pPr>
      <w:bookmarkStart w:id="47" w:name="_Toc15378460"/>
      <w:bookmarkStart w:id="48" w:name="_Toc15377444"/>
      <w:bookmarkStart w:id="49" w:name="_Toc15377213"/>
      <w:r>
        <w:rPr>
          <w:rFonts w:hint="eastAsia" w:ascii="仿宋" w:hAnsi="仿宋" w:eastAsia="仿宋"/>
          <w:b/>
          <w:color w:val="auto"/>
          <w:sz w:val="32"/>
          <w:szCs w:val="32"/>
          <w:highlight w:val="none"/>
        </w:rPr>
        <w:t>20</w:t>
      </w:r>
      <w:r>
        <w:rPr>
          <w:rFonts w:hint="eastAsia" w:ascii="仿宋" w:hAnsi="仿宋" w:eastAsia="仿宋"/>
          <w:b/>
          <w:color w:val="auto"/>
          <w:sz w:val="32"/>
          <w:szCs w:val="32"/>
          <w:highlight w:val="none"/>
          <w:lang w:val="en-US" w:eastAsia="zh-CN"/>
        </w:rPr>
        <w:t>24</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142.85</w:t>
      </w:r>
      <w:r>
        <w:rPr>
          <w:rFonts w:hint="eastAsia" w:ascii="仿宋" w:hAnsi="仿宋" w:eastAsia="仿宋"/>
          <w:color w:val="auto"/>
          <w:sz w:val="32"/>
          <w:szCs w:val="32"/>
          <w:highlight w:val="none"/>
        </w:rPr>
        <w:t>，</w:t>
      </w:r>
      <w:r>
        <w:rPr>
          <w:rStyle w:val="17"/>
          <w:rFonts w:hint="eastAsia" w:ascii="仿宋" w:hAnsi="仿宋" w:eastAsia="仿宋"/>
          <w:bCs/>
          <w:color w:val="auto"/>
          <w:sz w:val="32"/>
          <w:szCs w:val="32"/>
          <w:highlight w:val="none"/>
        </w:rPr>
        <w:t>完成预算</w:t>
      </w:r>
      <w:r>
        <w:rPr>
          <w:rStyle w:val="17"/>
          <w:rFonts w:hint="eastAsia" w:ascii="仿宋" w:hAnsi="仿宋" w:eastAsia="仿宋"/>
          <w:bCs/>
          <w:color w:val="auto"/>
          <w:sz w:val="32"/>
          <w:szCs w:val="32"/>
          <w:highlight w:val="none"/>
          <w:lang w:val="en-US" w:eastAsia="zh-CN"/>
        </w:rPr>
        <w:t>100</w:t>
      </w:r>
      <w:r>
        <w:rPr>
          <w:rStyle w:val="17"/>
          <w:rFonts w:ascii="仿宋" w:hAnsi="仿宋" w:eastAsia="仿宋"/>
          <w:bCs/>
          <w:color w:val="auto"/>
          <w:sz w:val="32"/>
          <w:szCs w:val="32"/>
          <w:highlight w:val="none"/>
        </w:rPr>
        <w:t>%</w:t>
      </w:r>
      <w:r>
        <w:rPr>
          <w:rStyle w:val="17"/>
          <w:rFonts w:hint="eastAsia" w:ascii="仿宋" w:hAnsi="仿宋" w:eastAsia="仿宋"/>
          <w:bCs/>
          <w:color w:val="auto"/>
          <w:sz w:val="32"/>
          <w:szCs w:val="32"/>
          <w:highlight w:val="none"/>
        </w:rPr>
        <w:t>。其中：</w:t>
      </w:r>
      <w:bookmarkEnd w:id="47"/>
      <w:bookmarkEnd w:id="48"/>
      <w:bookmarkEnd w:id="49"/>
    </w:p>
    <w:p w14:paraId="4664120D">
      <w:pPr>
        <w:spacing w:line="600" w:lineRule="exact"/>
        <w:ind w:firstLine="643" w:firstLineChars="200"/>
        <w:rPr>
          <w:rFonts w:ascii="仿宋" w:hAnsi="仿宋" w:eastAsia="仿宋"/>
          <w:b/>
          <w:color w:val="auto"/>
          <w:sz w:val="32"/>
          <w:szCs w:val="32"/>
          <w:highlight w:val="none"/>
        </w:rPr>
      </w:pPr>
      <w:r>
        <w:rPr>
          <w:rStyle w:val="17"/>
          <w:rFonts w:ascii="仿宋" w:hAnsi="仿宋" w:eastAsia="仿宋"/>
          <w:bCs/>
          <w:color w:val="auto"/>
          <w:sz w:val="32"/>
          <w:szCs w:val="32"/>
          <w:highlight w:val="none"/>
        </w:rPr>
        <w:t>1.</w:t>
      </w:r>
      <w:r>
        <w:rPr>
          <w:rStyle w:val="17"/>
          <w:rFonts w:hint="eastAsia" w:ascii="仿宋" w:hAnsi="仿宋" w:eastAsia="仿宋"/>
          <w:bCs/>
          <w:color w:val="auto"/>
          <w:sz w:val="32"/>
          <w:szCs w:val="32"/>
          <w:highlight w:val="none"/>
        </w:rPr>
        <w:t>一般公共服务（</w:t>
      </w:r>
      <w:r>
        <w:rPr>
          <w:rStyle w:val="17"/>
          <w:rFonts w:hint="eastAsia" w:ascii="仿宋" w:hAnsi="仿宋" w:eastAsia="仿宋"/>
          <w:bCs/>
          <w:color w:val="auto"/>
          <w:sz w:val="32"/>
          <w:szCs w:val="32"/>
          <w:highlight w:val="none"/>
          <w:lang w:val="en-US" w:eastAsia="zh-CN"/>
        </w:rPr>
        <w:t>201</w:t>
      </w:r>
      <w:r>
        <w:rPr>
          <w:rStyle w:val="17"/>
          <w:rFonts w:hint="eastAsia" w:ascii="仿宋" w:hAnsi="仿宋" w:eastAsia="仿宋"/>
          <w:bCs/>
          <w:color w:val="auto"/>
          <w:sz w:val="32"/>
          <w:szCs w:val="32"/>
          <w:highlight w:val="none"/>
        </w:rPr>
        <w:t>类）</w:t>
      </w:r>
      <w:r>
        <w:rPr>
          <w:rStyle w:val="17"/>
          <w:rFonts w:hint="eastAsia" w:ascii="仿宋" w:hAnsi="仿宋" w:eastAsia="仿宋"/>
          <w:bCs/>
          <w:color w:val="auto"/>
          <w:sz w:val="32"/>
          <w:szCs w:val="32"/>
          <w:highlight w:val="none"/>
          <w:lang w:val="en-US" w:eastAsia="zh-CN"/>
        </w:rPr>
        <w:t>档案事务</w:t>
      </w:r>
      <w:r>
        <w:rPr>
          <w:rStyle w:val="17"/>
          <w:rFonts w:hint="eastAsia" w:ascii="仿宋" w:hAnsi="仿宋" w:eastAsia="仿宋"/>
          <w:bCs/>
          <w:color w:val="auto"/>
          <w:sz w:val="32"/>
          <w:szCs w:val="32"/>
          <w:highlight w:val="none"/>
        </w:rPr>
        <w:t>（</w:t>
      </w:r>
      <w:r>
        <w:rPr>
          <w:rStyle w:val="17"/>
          <w:rFonts w:hint="eastAsia" w:ascii="仿宋" w:hAnsi="仿宋" w:eastAsia="仿宋"/>
          <w:bCs/>
          <w:color w:val="auto"/>
          <w:sz w:val="32"/>
          <w:szCs w:val="32"/>
          <w:highlight w:val="none"/>
          <w:lang w:val="en-US" w:eastAsia="zh-CN"/>
        </w:rPr>
        <w:t>26</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val="en-US" w:eastAsia="zh-CN"/>
        </w:rPr>
        <w:t>行政运行</w:t>
      </w:r>
      <w:r>
        <w:rPr>
          <w:rStyle w:val="17"/>
          <w:rFonts w:hint="eastAsia" w:ascii="仿宋" w:hAnsi="仿宋" w:eastAsia="仿宋"/>
          <w:bCs/>
          <w:color w:val="auto"/>
          <w:sz w:val="32"/>
          <w:szCs w:val="32"/>
          <w:highlight w:val="none"/>
        </w:rPr>
        <w:t>（</w:t>
      </w:r>
      <w:r>
        <w:rPr>
          <w:rStyle w:val="17"/>
          <w:rFonts w:hint="eastAsia" w:ascii="仿宋" w:hAnsi="仿宋" w:eastAsia="仿宋"/>
          <w:bCs/>
          <w:color w:val="auto"/>
          <w:sz w:val="32"/>
          <w:szCs w:val="32"/>
          <w:highlight w:val="none"/>
          <w:lang w:val="en-US" w:eastAsia="zh-CN"/>
        </w:rPr>
        <w:t>01</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102.94</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，决算数等于预算数。</w:t>
      </w:r>
    </w:p>
    <w:p w14:paraId="7BDE9FA3">
      <w:pPr>
        <w:spacing w:line="600" w:lineRule="exact"/>
        <w:ind w:firstLine="643"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2</w:t>
      </w:r>
      <w:r>
        <w:rPr>
          <w:rStyle w:val="17"/>
          <w:rFonts w:ascii="仿宋" w:hAnsi="仿宋" w:eastAsia="仿宋"/>
          <w:bCs/>
          <w:color w:val="auto"/>
          <w:sz w:val="32"/>
          <w:szCs w:val="32"/>
          <w:highlight w:val="none"/>
        </w:rPr>
        <w:t>.</w:t>
      </w:r>
      <w:r>
        <w:rPr>
          <w:rStyle w:val="17"/>
          <w:rFonts w:hint="eastAsia" w:ascii="仿宋" w:hAnsi="仿宋" w:eastAsia="仿宋"/>
          <w:bCs/>
          <w:color w:val="auto"/>
          <w:sz w:val="32"/>
          <w:szCs w:val="32"/>
          <w:highlight w:val="none"/>
        </w:rPr>
        <w:t>社会保障和就业（</w:t>
      </w:r>
      <w:r>
        <w:rPr>
          <w:rStyle w:val="17"/>
          <w:rFonts w:hint="eastAsia" w:ascii="仿宋" w:hAnsi="仿宋" w:eastAsia="仿宋"/>
          <w:bCs/>
          <w:color w:val="auto"/>
          <w:sz w:val="32"/>
          <w:szCs w:val="32"/>
          <w:highlight w:val="none"/>
          <w:lang w:val="en-US" w:eastAsia="zh-CN"/>
        </w:rPr>
        <w:t>208</w:t>
      </w:r>
      <w:r>
        <w:rPr>
          <w:rStyle w:val="17"/>
          <w:rFonts w:hint="eastAsia" w:ascii="仿宋" w:hAnsi="仿宋" w:eastAsia="仿宋"/>
          <w:bCs/>
          <w:color w:val="auto"/>
          <w:sz w:val="32"/>
          <w:szCs w:val="32"/>
          <w:highlight w:val="none"/>
        </w:rPr>
        <w:t>类）行政事业单位养老支出（</w:t>
      </w:r>
      <w:r>
        <w:rPr>
          <w:rStyle w:val="17"/>
          <w:rFonts w:hint="eastAsia" w:ascii="仿宋" w:hAnsi="仿宋" w:eastAsia="仿宋"/>
          <w:bCs/>
          <w:color w:val="auto"/>
          <w:sz w:val="32"/>
          <w:szCs w:val="32"/>
          <w:highlight w:val="none"/>
          <w:lang w:val="en-US" w:eastAsia="zh-CN"/>
        </w:rPr>
        <w:t>05</w:t>
      </w:r>
      <w:r>
        <w:rPr>
          <w:rStyle w:val="17"/>
          <w:rFonts w:hint="eastAsia" w:ascii="仿宋" w:hAnsi="仿宋" w:eastAsia="仿宋"/>
          <w:bCs/>
          <w:color w:val="auto"/>
          <w:sz w:val="32"/>
          <w:szCs w:val="32"/>
          <w:highlight w:val="none"/>
        </w:rPr>
        <w:t>款）机关事业单位基本养老保险缴费支出（</w:t>
      </w:r>
      <w:r>
        <w:rPr>
          <w:rStyle w:val="17"/>
          <w:rFonts w:hint="eastAsia" w:ascii="仿宋" w:hAnsi="仿宋" w:eastAsia="仿宋"/>
          <w:bCs/>
          <w:color w:val="auto"/>
          <w:sz w:val="32"/>
          <w:szCs w:val="32"/>
          <w:highlight w:val="none"/>
          <w:lang w:val="en-US" w:eastAsia="zh-CN"/>
        </w:rPr>
        <w:t>05</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19.28</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，决算数等于预算数。</w:t>
      </w:r>
    </w:p>
    <w:p w14:paraId="3059521A">
      <w:pPr>
        <w:spacing w:line="600" w:lineRule="exact"/>
        <w:ind w:firstLine="643" w:firstLineChars="200"/>
        <w:rPr>
          <w:rStyle w:val="17"/>
          <w:rFonts w:ascii="仿宋" w:hAnsi="仿宋" w:eastAsia="仿宋"/>
          <w:bCs/>
          <w:color w:val="auto"/>
          <w:sz w:val="32"/>
          <w:szCs w:val="32"/>
          <w:highlight w:val="none"/>
        </w:rPr>
      </w:pPr>
    </w:p>
    <w:p w14:paraId="29AE2D34">
      <w:pPr>
        <w:numPr>
          <w:ilvl w:val="0"/>
          <w:numId w:val="0"/>
        </w:numPr>
        <w:spacing w:line="600" w:lineRule="exact"/>
        <w:ind w:firstLine="643" w:firstLineChars="200"/>
        <w:rPr>
          <w:rStyle w:val="17"/>
          <w:rFonts w:hint="eastAsia" w:ascii="仿宋" w:hAnsi="仿宋" w:eastAsia="仿宋"/>
          <w:b w:val="0"/>
          <w:bCs/>
          <w:color w:val="auto"/>
          <w:sz w:val="32"/>
          <w:szCs w:val="32"/>
          <w:highlight w:val="none"/>
        </w:rPr>
      </w:pPr>
      <w:r>
        <w:rPr>
          <w:rStyle w:val="17"/>
          <w:rFonts w:hint="eastAsia" w:ascii="仿宋" w:hAnsi="仿宋" w:eastAsia="仿宋"/>
          <w:bCs/>
          <w:color w:val="auto"/>
          <w:sz w:val="32"/>
          <w:szCs w:val="32"/>
          <w:highlight w:val="none"/>
          <w:lang w:val="en-US" w:eastAsia="zh-CN"/>
        </w:rPr>
        <w:t>3.</w:t>
      </w:r>
      <w:r>
        <w:rPr>
          <w:rStyle w:val="17"/>
          <w:rFonts w:hint="eastAsia" w:ascii="仿宋" w:hAnsi="仿宋" w:eastAsia="仿宋"/>
          <w:bCs/>
          <w:color w:val="auto"/>
          <w:sz w:val="32"/>
          <w:szCs w:val="32"/>
          <w:highlight w:val="none"/>
        </w:rPr>
        <w:t>社会保障和就业（</w:t>
      </w:r>
      <w:r>
        <w:rPr>
          <w:rStyle w:val="17"/>
          <w:rFonts w:hint="eastAsia" w:ascii="仿宋" w:hAnsi="仿宋" w:eastAsia="仿宋"/>
          <w:bCs/>
          <w:color w:val="auto"/>
          <w:sz w:val="32"/>
          <w:szCs w:val="32"/>
          <w:highlight w:val="none"/>
          <w:lang w:val="en-US" w:eastAsia="zh-CN"/>
        </w:rPr>
        <w:t>208</w:t>
      </w:r>
      <w:r>
        <w:rPr>
          <w:rStyle w:val="17"/>
          <w:rFonts w:hint="eastAsia" w:ascii="仿宋" w:hAnsi="仿宋" w:eastAsia="仿宋"/>
          <w:bCs/>
          <w:color w:val="auto"/>
          <w:sz w:val="32"/>
          <w:szCs w:val="32"/>
          <w:highlight w:val="none"/>
        </w:rPr>
        <w:t>类）行政事业单位养老支出（</w:t>
      </w:r>
      <w:r>
        <w:rPr>
          <w:rStyle w:val="17"/>
          <w:rFonts w:hint="eastAsia" w:ascii="仿宋" w:hAnsi="仿宋" w:eastAsia="仿宋"/>
          <w:bCs/>
          <w:color w:val="auto"/>
          <w:sz w:val="32"/>
          <w:szCs w:val="32"/>
          <w:highlight w:val="none"/>
          <w:lang w:val="en-US" w:eastAsia="zh-CN"/>
        </w:rPr>
        <w:t>05</w:t>
      </w:r>
      <w:r>
        <w:rPr>
          <w:rStyle w:val="17"/>
          <w:rFonts w:hint="eastAsia" w:ascii="仿宋" w:hAnsi="仿宋" w:eastAsia="仿宋"/>
          <w:bCs/>
          <w:color w:val="auto"/>
          <w:sz w:val="32"/>
          <w:szCs w:val="32"/>
          <w:highlight w:val="none"/>
        </w:rPr>
        <w:t>款）机关事业单位职业年金缴费支出（</w:t>
      </w:r>
      <w:r>
        <w:rPr>
          <w:rStyle w:val="17"/>
          <w:rFonts w:hint="eastAsia" w:ascii="仿宋" w:hAnsi="仿宋" w:eastAsia="仿宋"/>
          <w:bCs/>
          <w:color w:val="auto"/>
          <w:sz w:val="32"/>
          <w:szCs w:val="32"/>
          <w:highlight w:val="none"/>
          <w:lang w:val="en-US" w:eastAsia="zh-CN"/>
        </w:rPr>
        <w:t>06</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6.06</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，决算数等于预算数。</w:t>
      </w:r>
    </w:p>
    <w:p w14:paraId="2750CFF1">
      <w:pPr>
        <w:spacing w:line="600" w:lineRule="exact"/>
        <w:ind w:firstLine="643" w:firstLineChars="200"/>
        <w:rPr>
          <w:rStyle w:val="17"/>
          <w:rFonts w:ascii="仿宋" w:hAnsi="仿宋" w:eastAsia="仿宋"/>
          <w:bCs/>
          <w:color w:val="auto"/>
          <w:sz w:val="32"/>
          <w:szCs w:val="32"/>
          <w:highlight w:val="none"/>
        </w:rPr>
      </w:pPr>
      <w:r>
        <w:rPr>
          <w:rStyle w:val="17"/>
          <w:rFonts w:hint="eastAsia" w:ascii="仿宋" w:hAnsi="仿宋" w:eastAsia="仿宋"/>
          <w:bCs/>
          <w:color w:val="auto"/>
          <w:sz w:val="32"/>
          <w:szCs w:val="32"/>
          <w:highlight w:val="none"/>
          <w:lang w:val="en-US" w:eastAsia="zh-CN"/>
        </w:rPr>
        <w:t>4.</w:t>
      </w:r>
      <w:r>
        <w:rPr>
          <w:rStyle w:val="17"/>
          <w:rFonts w:hint="eastAsia" w:ascii="仿宋" w:hAnsi="仿宋" w:eastAsia="仿宋"/>
          <w:bCs/>
          <w:color w:val="auto"/>
          <w:sz w:val="32"/>
          <w:szCs w:val="32"/>
          <w:highlight w:val="none"/>
        </w:rPr>
        <w:t>社会保障和就业（</w:t>
      </w:r>
      <w:r>
        <w:rPr>
          <w:rStyle w:val="17"/>
          <w:rFonts w:hint="eastAsia" w:ascii="仿宋" w:hAnsi="仿宋" w:eastAsia="仿宋"/>
          <w:bCs/>
          <w:color w:val="auto"/>
          <w:sz w:val="32"/>
          <w:szCs w:val="32"/>
          <w:highlight w:val="none"/>
          <w:lang w:val="en-US" w:eastAsia="zh-CN"/>
        </w:rPr>
        <w:t>208</w:t>
      </w:r>
      <w:r>
        <w:rPr>
          <w:rStyle w:val="17"/>
          <w:rFonts w:hint="eastAsia" w:ascii="仿宋" w:hAnsi="仿宋" w:eastAsia="仿宋"/>
          <w:bCs/>
          <w:color w:val="auto"/>
          <w:sz w:val="32"/>
          <w:szCs w:val="32"/>
          <w:highlight w:val="none"/>
        </w:rPr>
        <w:t>类）其他社会保障和就业支出（</w:t>
      </w:r>
      <w:r>
        <w:rPr>
          <w:rStyle w:val="17"/>
          <w:rFonts w:hint="eastAsia" w:ascii="仿宋" w:hAnsi="仿宋" w:eastAsia="仿宋"/>
          <w:bCs/>
          <w:color w:val="auto"/>
          <w:sz w:val="32"/>
          <w:szCs w:val="32"/>
          <w:highlight w:val="none"/>
          <w:lang w:val="en-US" w:eastAsia="zh-CN"/>
        </w:rPr>
        <w:t>99</w:t>
      </w:r>
      <w:r>
        <w:rPr>
          <w:rStyle w:val="17"/>
          <w:rFonts w:hint="eastAsia" w:ascii="仿宋" w:hAnsi="仿宋" w:eastAsia="仿宋"/>
          <w:bCs/>
          <w:color w:val="auto"/>
          <w:sz w:val="32"/>
          <w:szCs w:val="32"/>
          <w:highlight w:val="none"/>
        </w:rPr>
        <w:t>款）其他社会保障和就业支出（</w:t>
      </w:r>
      <w:r>
        <w:rPr>
          <w:rStyle w:val="17"/>
          <w:rFonts w:hint="eastAsia" w:ascii="仿宋" w:hAnsi="仿宋" w:eastAsia="仿宋"/>
          <w:bCs/>
          <w:color w:val="auto"/>
          <w:sz w:val="32"/>
          <w:szCs w:val="32"/>
          <w:highlight w:val="none"/>
          <w:lang w:val="en-US" w:eastAsia="zh-CN"/>
        </w:rPr>
        <w:t>99</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3.14</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，决算数等于预算数。</w:t>
      </w:r>
    </w:p>
    <w:p w14:paraId="609CE67B">
      <w:pPr>
        <w:spacing w:line="600" w:lineRule="exact"/>
        <w:ind w:firstLine="643" w:firstLineChars="200"/>
        <w:rPr>
          <w:rStyle w:val="17"/>
          <w:rFonts w:hint="eastAsia" w:ascii="仿宋" w:hAnsi="仿宋" w:eastAsia="仿宋"/>
          <w:b w:val="0"/>
          <w:bCs/>
          <w:color w:val="auto"/>
          <w:sz w:val="32"/>
          <w:szCs w:val="32"/>
          <w:highlight w:val="none"/>
        </w:rPr>
      </w:pPr>
      <w:r>
        <w:rPr>
          <w:rStyle w:val="17"/>
          <w:rFonts w:hint="eastAsia" w:ascii="仿宋" w:hAnsi="仿宋" w:eastAsia="仿宋"/>
          <w:bCs/>
          <w:color w:val="auto"/>
          <w:sz w:val="32"/>
          <w:szCs w:val="32"/>
          <w:highlight w:val="none"/>
          <w:lang w:val="en-US" w:eastAsia="zh-CN"/>
        </w:rPr>
        <w:t>5</w:t>
      </w:r>
      <w:r>
        <w:rPr>
          <w:rStyle w:val="17"/>
          <w:rFonts w:ascii="仿宋" w:hAnsi="仿宋" w:eastAsia="仿宋"/>
          <w:bCs/>
          <w:color w:val="auto"/>
          <w:sz w:val="32"/>
          <w:szCs w:val="32"/>
          <w:highlight w:val="none"/>
        </w:rPr>
        <w:t>.</w:t>
      </w:r>
      <w:r>
        <w:rPr>
          <w:rFonts w:hint="eastAsia" w:ascii="仿宋" w:hAnsi="仿宋" w:eastAsia="仿宋"/>
          <w:b/>
          <w:bCs/>
          <w:color w:val="auto"/>
          <w:sz w:val="32"/>
          <w:szCs w:val="32"/>
          <w:highlight w:val="none"/>
        </w:rPr>
        <w:t>卫生健康</w:t>
      </w:r>
      <w:r>
        <w:rPr>
          <w:rStyle w:val="17"/>
          <w:rFonts w:hint="eastAsia" w:ascii="仿宋" w:hAnsi="仿宋" w:eastAsia="仿宋"/>
          <w:bCs/>
          <w:color w:val="auto"/>
          <w:sz w:val="32"/>
          <w:szCs w:val="32"/>
          <w:highlight w:val="none"/>
        </w:rPr>
        <w:t>（</w:t>
      </w:r>
      <w:r>
        <w:rPr>
          <w:rStyle w:val="17"/>
          <w:rFonts w:hint="eastAsia" w:ascii="仿宋" w:hAnsi="仿宋" w:eastAsia="仿宋"/>
          <w:bCs/>
          <w:color w:val="auto"/>
          <w:sz w:val="32"/>
          <w:szCs w:val="32"/>
          <w:highlight w:val="none"/>
          <w:lang w:val="en-US" w:eastAsia="zh-CN"/>
        </w:rPr>
        <w:t>210</w:t>
      </w:r>
      <w:r>
        <w:rPr>
          <w:rStyle w:val="17"/>
          <w:rFonts w:hint="eastAsia" w:ascii="仿宋" w:hAnsi="仿宋" w:eastAsia="仿宋"/>
          <w:bCs/>
          <w:color w:val="auto"/>
          <w:sz w:val="32"/>
          <w:szCs w:val="32"/>
          <w:highlight w:val="none"/>
        </w:rPr>
        <w:t>类）行政事业单位医疗（</w:t>
      </w:r>
      <w:r>
        <w:rPr>
          <w:rStyle w:val="17"/>
          <w:rFonts w:hint="eastAsia" w:ascii="仿宋" w:hAnsi="仿宋" w:eastAsia="仿宋"/>
          <w:bCs/>
          <w:color w:val="auto"/>
          <w:sz w:val="32"/>
          <w:szCs w:val="32"/>
          <w:highlight w:val="none"/>
          <w:lang w:val="en-US" w:eastAsia="zh-CN"/>
        </w:rPr>
        <w:t>11</w:t>
      </w:r>
      <w:r>
        <w:rPr>
          <w:rStyle w:val="17"/>
          <w:rFonts w:hint="eastAsia" w:ascii="仿宋" w:hAnsi="仿宋" w:eastAsia="仿宋"/>
          <w:bCs/>
          <w:color w:val="auto"/>
          <w:sz w:val="32"/>
          <w:szCs w:val="32"/>
          <w:highlight w:val="none"/>
        </w:rPr>
        <w:t>款）行政单位医疗（</w:t>
      </w:r>
      <w:r>
        <w:rPr>
          <w:rStyle w:val="17"/>
          <w:rFonts w:hint="eastAsia" w:ascii="仿宋" w:hAnsi="仿宋" w:eastAsia="仿宋"/>
          <w:bCs/>
          <w:color w:val="auto"/>
          <w:sz w:val="32"/>
          <w:szCs w:val="32"/>
          <w:highlight w:val="none"/>
          <w:lang w:val="en-US" w:eastAsia="zh-CN"/>
        </w:rPr>
        <w:t>01</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3.77</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，决算数等于预算数。</w:t>
      </w:r>
    </w:p>
    <w:p w14:paraId="192DC7EC">
      <w:pPr>
        <w:spacing w:line="600" w:lineRule="exact"/>
        <w:ind w:firstLine="643" w:firstLineChars="200"/>
        <w:rPr>
          <w:color w:val="auto"/>
        </w:rPr>
      </w:pPr>
      <w:r>
        <w:rPr>
          <w:rStyle w:val="17"/>
          <w:rFonts w:hint="eastAsia" w:ascii="仿宋" w:hAnsi="仿宋" w:eastAsia="仿宋"/>
          <w:bCs/>
          <w:color w:val="auto"/>
          <w:sz w:val="32"/>
          <w:szCs w:val="32"/>
          <w:highlight w:val="none"/>
          <w:lang w:val="en-US" w:eastAsia="zh-CN"/>
        </w:rPr>
        <w:t>6</w:t>
      </w:r>
      <w:r>
        <w:rPr>
          <w:rStyle w:val="17"/>
          <w:rFonts w:ascii="仿宋" w:hAnsi="仿宋" w:eastAsia="仿宋"/>
          <w:bCs/>
          <w:color w:val="auto"/>
          <w:sz w:val="32"/>
          <w:szCs w:val="32"/>
          <w:highlight w:val="none"/>
        </w:rPr>
        <w:t>.</w:t>
      </w:r>
      <w:r>
        <w:rPr>
          <w:rFonts w:hint="eastAsia" w:ascii="仿宋" w:hAnsi="仿宋" w:eastAsia="仿宋"/>
          <w:b/>
          <w:bCs/>
          <w:color w:val="auto"/>
          <w:sz w:val="32"/>
          <w:szCs w:val="32"/>
          <w:highlight w:val="none"/>
        </w:rPr>
        <w:t>卫生健康</w:t>
      </w:r>
      <w:r>
        <w:rPr>
          <w:rStyle w:val="17"/>
          <w:rFonts w:hint="eastAsia" w:ascii="仿宋" w:hAnsi="仿宋" w:eastAsia="仿宋"/>
          <w:bCs/>
          <w:color w:val="auto"/>
          <w:sz w:val="32"/>
          <w:szCs w:val="32"/>
          <w:highlight w:val="none"/>
        </w:rPr>
        <w:t>（</w:t>
      </w:r>
      <w:r>
        <w:rPr>
          <w:rStyle w:val="17"/>
          <w:rFonts w:hint="eastAsia" w:ascii="仿宋" w:hAnsi="仿宋" w:eastAsia="仿宋"/>
          <w:bCs/>
          <w:color w:val="auto"/>
          <w:sz w:val="32"/>
          <w:szCs w:val="32"/>
          <w:highlight w:val="none"/>
          <w:lang w:val="en-US" w:eastAsia="zh-CN"/>
        </w:rPr>
        <w:t>210</w:t>
      </w:r>
      <w:r>
        <w:rPr>
          <w:rStyle w:val="17"/>
          <w:rFonts w:hint="eastAsia" w:ascii="仿宋" w:hAnsi="仿宋" w:eastAsia="仿宋"/>
          <w:bCs/>
          <w:color w:val="auto"/>
          <w:sz w:val="32"/>
          <w:szCs w:val="32"/>
          <w:highlight w:val="none"/>
        </w:rPr>
        <w:t>类）行政事业单位医疗（</w:t>
      </w:r>
      <w:r>
        <w:rPr>
          <w:rStyle w:val="17"/>
          <w:rFonts w:hint="eastAsia" w:ascii="仿宋" w:hAnsi="仿宋" w:eastAsia="仿宋"/>
          <w:bCs/>
          <w:color w:val="auto"/>
          <w:sz w:val="32"/>
          <w:szCs w:val="32"/>
          <w:highlight w:val="none"/>
          <w:lang w:val="en-US" w:eastAsia="zh-CN"/>
        </w:rPr>
        <w:t>11</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公务员</w:t>
      </w:r>
      <w:r>
        <w:rPr>
          <w:rStyle w:val="17"/>
          <w:rFonts w:hint="eastAsia" w:ascii="仿宋" w:hAnsi="仿宋" w:eastAsia="仿宋"/>
          <w:bCs/>
          <w:color w:val="auto"/>
          <w:sz w:val="32"/>
          <w:szCs w:val="32"/>
          <w:highlight w:val="none"/>
        </w:rPr>
        <w:t>医疗</w:t>
      </w:r>
      <w:r>
        <w:rPr>
          <w:rStyle w:val="17"/>
          <w:rFonts w:hint="eastAsia" w:ascii="仿宋" w:hAnsi="仿宋" w:eastAsia="仿宋"/>
          <w:bCs/>
          <w:color w:val="auto"/>
          <w:sz w:val="32"/>
          <w:szCs w:val="32"/>
          <w:highlight w:val="none"/>
          <w:lang w:eastAsia="zh-CN"/>
        </w:rPr>
        <w:t>补助</w:t>
      </w:r>
      <w:r>
        <w:rPr>
          <w:rStyle w:val="17"/>
          <w:rFonts w:hint="eastAsia" w:ascii="仿宋" w:hAnsi="仿宋" w:eastAsia="仿宋"/>
          <w:bCs/>
          <w:color w:val="auto"/>
          <w:sz w:val="32"/>
          <w:szCs w:val="32"/>
          <w:highlight w:val="none"/>
        </w:rPr>
        <w:t>（</w:t>
      </w:r>
      <w:r>
        <w:rPr>
          <w:rStyle w:val="17"/>
          <w:rFonts w:hint="eastAsia" w:ascii="仿宋" w:hAnsi="仿宋" w:eastAsia="仿宋"/>
          <w:bCs/>
          <w:color w:val="auto"/>
          <w:sz w:val="32"/>
          <w:szCs w:val="32"/>
          <w:highlight w:val="none"/>
          <w:lang w:val="en-US" w:eastAsia="zh-CN"/>
        </w:rPr>
        <w:t>03</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1.06</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，决算数等于预算数。</w:t>
      </w:r>
    </w:p>
    <w:p w14:paraId="4C35F423">
      <w:pPr>
        <w:spacing w:line="600" w:lineRule="exact"/>
        <w:ind w:firstLine="643" w:firstLineChars="200"/>
        <w:rPr>
          <w:rFonts w:hint="eastAsia" w:ascii="仿宋" w:hAnsi="仿宋" w:eastAsia="仿宋"/>
          <w:color w:val="auto"/>
          <w:sz w:val="32"/>
          <w:szCs w:val="32"/>
          <w:highlight w:val="none"/>
          <w:lang w:val="en-US" w:eastAsia="zh-CN"/>
        </w:rPr>
      </w:pPr>
      <w:r>
        <w:rPr>
          <w:rFonts w:hint="eastAsia" w:ascii="仿宋" w:hAnsi="仿宋" w:eastAsia="仿宋"/>
          <w:b/>
          <w:bCs/>
          <w:color w:val="auto"/>
          <w:sz w:val="32"/>
          <w:szCs w:val="32"/>
          <w:highlight w:val="none"/>
          <w:lang w:val="en-US" w:eastAsia="zh-CN"/>
        </w:rPr>
        <w:t>7.农林水支出（213类）农业农村（01款）其他农业农村支出（99项）：</w:t>
      </w:r>
      <w:r>
        <w:rPr>
          <w:rFonts w:hint="eastAsia" w:ascii="仿宋" w:hAnsi="仿宋" w:eastAsia="仿宋"/>
          <w:color w:val="auto"/>
          <w:sz w:val="32"/>
          <w:szCs w:val="32"/>
          <w:highlight w:val="none"/>
          <w:lang w:val="en-US" w:eastAsia="zh-CN"/>
        </w:rPr>
        <w:t>支出决算为1.65万元，完成预算100%，决算数等于预算数。</w:t>
      </w:r>
    </w:p>
    <w:p w14:paraId="21BB7776">
      <w:pPr>
        <w:pStyle w:val="6"/>
        <w:ind w:firstLine="643" w:firstLineChars="200"/>
        <w:rPr>
          <w:rFonts w:ascii="仿宋" w:hAnsi="仿宋" w:eastAsia="仿宋"/>
          <w:b/>
          <w:color w:val="auto"/>
          <w:sz w:val="32"/>
          <w:szCs w:val="32"/>
          <w:highlight w:val="none"/>
        </w:rPr>
      </w:pPr>
      <w:r>
        <w:rPr>
          <w:rFonts w:hint="eastAsia" w:ascii="仿宋" w:hAnsi="仿宋" w:eastAsia="仿宋"/>
          <w:b/>
          <w:bCs/>
          <w:color w:val="auto"/>
          <w:sz w:val="32"/>
          <w:szCs w:val="32"/>
          <w:highlight w:val="none"/>
          <w:lang w:val="en-US" w:eastAsia="zh-CN"/>
        </w:rPr>
        <w:t>8.住房保障支出（221类）住房改革支出（02款）住房公积金（01项）：</w:t>
      </w:r>
      <w:r>
        <w:rPr>
          <w:rFonts w:hint="eastAsia" w:ascii="仿宋" w:hAnsi="仿宋" w:eastAsia="仿宋"/>
          <w:color w:val="auto"/>
          <w:sz w:val="32"/>
          <w:szCs w:val="32"/>
          <w:highlight w:val="none"/>
          <w:lang w:val="en-US" w:eastAsia="zh-CN"/>
        </w:rPr>
        <w:t>支出决算为11.02万元，完成预算100%，决算等于预算数。</w:t>
      </w:r>
    </w:p>
    <w:p w14:paraId="51899947">
      <w:pPr>
        <w:tabs>
          <w:tab w:val="right" w:pos="8306"/>
        </w:tabs>
        <w:spacing w:line="600" w:lineRule="exact"/>
        <w:ind w:firstLine="640"/>
        <w:outlineLvl w:val="1"/>
        <w:rPr>
          <w:rStyle w:val="29"/>
          <w:color w:val="auto"/>
          <w:highlight w:val="none"/>
        </w:rPr>
      </w:pPr>
      <w:bookmarkStart w:id="50" w:name="_Toc15396608"/>
      <w:bookmarkStart w:id="51" w:name="_Toc15377214"/>
      <w:bookmarkStart w:id="52" w:name="_Toc14433"/>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29"/>
          <w:rFonts w:hint="eastAsia" w:ascii="黑体" w:hAnsi="黑体" w:eastAsia="黑体"/>
          <w:b w:val="0"/>
          <w:color w:val="auto"/>
          <w:highlight w:val="none"/>
        </w:rPr>
        <w:t>般公共预算财政拨款基本支出决算情况说明</w:t>
      </w:r>
      <w:bookmarkEnd w:id="50"/>
      <w:bookmarkEnd w:id="51"/>
      <w:bookmarkEnd w:id="52"/>
      <w:r>
        <w:rPr>
          <w:rStyle w:val="29"/>
          <w:rFonts w:ascii="黑体" w:hAnsi="黑体" w:eastAsia="黑体"/>
          <w:b w:val="0"/>
          <w:color w:val="auto"/>
          <w:highlight w:val="none"/>
        </w:rPr>
        <w:tab/>
      </w:r>
    </w:p>
    <w:p w14:paraId="5E5E70F1">
      <w:pPr>
        <w:spacing w:line="600" w:lineRule="exact"/>
        <w:ind w:firstLine="645"/>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年一般公共预算财政拨款基本支出</w:t>
      </w:r>
      <w:r>
        <w:rPr>
          <w:rFonts w:hint="eastAsia" w:ascii="仿宋" w:hAnsi="仿宋" w:eastAsia="仿宋"/>
          <w:color w:val="auto"/>
          <w:sz w:val="32"/>
          <w:szCs w:val="32"/>
          <w:highlight w:val="none"/>
          <w:lang w:val="en-US" w:eastAsia="zh-CN"/>
        </w:rPr>
        <w:t>141.20</w:t>
      </w:r>
      <w:r>
        <w:rPr>
          <w:rFonts w:hint="eastAsia" w:ascii="仿宋" w:hAnsi="仿宋" w:eastAsia="仿宋"/>
          <w:color w:val="auto"/>
          <w:sz w:val="32"/>
          <w:szCs w:val="32"/>
          <w:highlight w:val="none"/>
        </w:rPr>
        <w:t>万元，其中：</w:t>
      </w:r>
    </w:p>
    <w:p w14:paraId="10DBF300">
      <w:pPr>
        <w:spacing w:line="600" w:lineRule="exact"/>
        <w:ind w:firstLine="645"/>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125.57</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 w:hAnsi="仿宋" w:eastAsia="仿宋"/>
          <w:color w:val="auto"/>
          <w:sz w:val="32"/>
          <w:szCs w:val="32"/>
          <w:highlight w:val="none"/>
          <w:lang w:eastAsia="zh-CN"/>
        </w:rPr>
        <w:t>其中：</w:t>
      </w:r>
    </w:p>
    <w:p w14:paraId="0FB1FA4E">
      <w:pPr>
        <w:pStyle w:val="6"/>
        <w:ind w:firstLine="640"/>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基本工资35.35万元；津贴补贴47.44万元；伙食补助费1.56万元；其他工资福利支出0.56万元；机关事业单位基本养老保险缴费支出13.22万元；机关事业单位职业年金缴费支出6.06万元；其他社会保障和就业支出0.90万元；行政单位医疗</w:t>
      </w:r>
      <w:r>
        <w:rPr>
          <w:rStyle w:val="17"/>
          <w:rFonts w:hint="eastAsia" w:ascii="仿宋" w:hAnsi="仿宋" w:eastAsia="仿宋"/>
          <w:b w:val="0"/>
          <w:bCs/>
          <w:color w:val="auto"/>
          <w:sz w:val="32"/>
          <w:szCs w:val="32"/>
          <w:highlight w:val="none"/>
          <w:lang w:val="en-US" w:eastAsia="zh-CN"/>
        </w:rPr>
        <w:t>3.77</w:t>
      </w:r>
      <w:r>
        <w:rPr>
          <w:rFonts w:hint="eastAsia" w:ascii="仿宋" w:hAnsi="仿宋" w:eastAsia="仿宋"/>
          <w:color w:val="auto"/>
          <w:sz w:val="32"/>
          <w:szCs w:val="32"/>
          <w:highlight w:val="none"/>
          <w:lang w:val="en-US" w:eastAsia="zh-CN"/>
        </w:rPr>
        <w:t>万元；公务员医疗补助1.06；住房公积金11.02万元；生活补助4.52万元；奖励金0.15万元。</w:t>
      </w:r>
    </w:p>
    <w:p w14:paraId="75365577">
      <w:pPr>
        <w:pStyle w:val="6"/>
        <w:ind w:firstLine="64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公用经费</w:t>
      </w:r>
      <w:r>
        <w:rPr>
          <w:rFonts w:hint="eastAsia" w:ascii="仿宋" w:hAnsi="仿宋" w:eastAsia="仿宋"/>
          <w:color w:val="auto"/>
          <w:sz w:val="32"/>
          <w:szCs w:val="32"/>
          <w:highlight w:val="none"/>
          <w:lang w:val="en-US" w:eastAsia="zh-CN"/>
        </w:rPr>
        <w:t>15.62</w:t>
      </w:r>
      <w:r>
        <w:rPr>
          <w:rFonts w:hint="eastAsia" w:ascii="仿宋" w:hAnsi="仿宋" w:eastAsia="仿宋"/>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r>
        <w:rPr>
          <w:rFonts w:hint="eastAsia" w:ascii="仿宋" w:hAnsi="仿宋" w:eastAsia="仿宋"/>
          <w:color w:val="auto"/>
          <w:sz w:val="32"/>
          <w:szCs w:val="32"/>
          <w:highlight w:val="none"/>
          <w:lang w:eastAsia="zh-CN"/>
        </w:rPr>
        <w:t>其中：</w:t>
      </w:r>
    </w:p>
    <w:p w14:paraId="130094E8">
      <w:pPr>
        <w:pStyle w:val="6"/>
        <w:ind w:firstLine="640"/>
        <w:rPr>
          <w:rFonts w:ascii="仿宋" w:hAnsi="仿宋" w:eastAsia="仿宋"/>
          <w:b/>
          <w:color w:val="auto"/>
          <w:sz w:val="32"/>
          <w:szCs w:val="32"/>
          <w:highlight w:val="none"/>
        </w:rPr>
      </w:pPr>
      <w:r>
        <w:rPr>
          <w:rFonts w:hint="eastAsia" w:ascii="仿宋" w:hAnsi="仿宋" w:eastAsia="仿宋"/>
          <w:color w:val="auto"/>
          <w:sz w:val="32"/>
          <w:szCs w:val="32"/>
          <w:highlight w:val="none"/>
          <w:lang w:eastAsia="zh-CN"/>
        </w:rPr>
        <w:t>办公费</w:t>
      </w:r>
      <w:r>
        <w:rPr>
          <w:rFonts w:hint="eastAsia" w:ascii="仿宋" w:hAnsi="仿宋" w:eastAsia="仿宋"/>
          <w:color w:val="auto"/>
          <w:sz w:val="32"/>
          <w:szCs w:val="32"/>
          <w:highlight w:val="none"/>
          <w:lang w:val="en-US" w:eastAsia="zh-CN"/>
        </w:rPr>
        <w:t>1.52万元；邮电费3.27万元；差旅费0.8万元；工会经费0.57万元；福利费2.12万元；其他交通费4.97万元；其他商品服务支出2.37万元。</w:t>
      </w:r>
    </w:p>
    <w:p w14:paraId="594A06A2">
      <w:pPr>
        <w:spacing w:line="600" w:lineRule="exact"/>
        <w:ind w:firstLine="640"/>
        <w:outlineLvl w:val="1"/>
        <w:rPr>
          <w:rStyle w:val="29"/>
          <w:rFonts w:ascii="黑体" w:hAnsi="黑体" w:eastAsia="黑体"/>
          <w:b w:val="0"/>
          <w:color w:val="auto"/>
          <w:highlight w:val="none"/>
        </w:rPr>
      </w:pPr>
      <w:bookmarkStart w:id="53" w:name="_Toc15377215"/>
      <w:bookmarkStart w:id="54" w:name="_Toc15396609"/>
      <w:bookmarkStart w:id="55" w:name="_Toc9434"/>
      <w:r>
        <w:rPr>
          <w:rFonts w:hint="eastAsia" w:ascii="黑体" w:eastAsia="黑体"/>
          <w:color w:val="auto"/>
          <w:sz w:val="32"/>
          <w:szCs w:val="32"/>
          <w:highlight w:val="none"/>
        </w:rPr>
        <w:t>七、</w:t>
      </w:r>
      <w:r>
        <w:rPr>
          <w:rStyle w:val="29"/>
          <w:rFonts w:hint="eastAsia" w:ascii="黑体" w:hAnsi="黑体" w:eastAsia="黑体"/>
          <w:b w:val="0"/>
          <w:color w:val="auto"/>
          <w:highlight w:val="none"/>
        </w:rPr>
        <w:t>财政拨款</w:t>
      </w:r>
      <w:r>
        <w:rPr>
          <w:rStyle w:val="29"/>
          <w:rFonts w:hint="eastAsia" w:ascii="黑体" w:hAnsi="黑体" w:eastAsia="黑体"/>
          <w:color w:val="auto"/>
          <w:highlight w:val="none"/>
        </w:rPr>
        <w:t>“</w:t>
      </w:r>
      <w:r>
        <w:rPr>
          <w:rStyle w:val="29"/>
          <w:rFonts w:hint="eastAsia" w:ascii="黑体" w:hAnsi="黑体" w:eastAsia="黑体"/>
          <w:b w:val="0"/>
          <w:color w:val="auto"/>
          <w:highlight w:val="none"/>
        </w:rPr>
        <w:t>三公”经费支出决算情况说明</w:t>
      </w:r>
      <w:bookmarkEnd w:id="53"/>
      <w:bookmarkEnd w:id="54"/>
      <w:bookmarkEnd w:id="55"/>
    </w:p>
    <w:p w14:paraId="4F17ED19">
      <w:pPr>
        <w:spacing w:line="600" w:lineRule="exact"/>
        <w:ind w:firstLine="640"/>
        <w:outlineLvl w:val="2"/>
        <w:rPr>
          <w:rFonts w:ascii="仿宋" w:hAnsi="仿宋" w:eastAsia="仿宋"/>
          <w:b/>
          <w:color w:val="auto"/>
          <w:sz w:val="32"/>
          <w:szCs w:val="32"/>
          <w:highlight w:val="none"/>
        </w:rPr>
      </w:pPr>
      <w:bookmarkStart w:id="56" w:name="_Toc15377216"/>
      <w:r>
        <w:rPr>
          <w:rFonts w:hint="eastAsia" w:ascii="仿宋" w:hAnsi="仿宋" w:eastAsia="仿宋"/>
          <w:b/>
          <w:color w:val="auto"/>
          <w:sz w:val="32"/>
          <w:szCs w:val="32"/>
          <w:highlight w:val="none"/>
        </w:rPr>
        <w:t>（一）“三公”经费财政拨款支出决算总体情况说明</w:t>
      </w:r>
      <w:bookmarkEnd w:id="56"/>
    </w:p>
    <w:p w14:paraId="76D135EC">
      <w:pPr>
        <w:spacing w:line="600" w:lineRule="exact"/>
        <w:ind w:firstLine="640"/>
        <w:rPr>
          <w:rFonts w:hint="eastAsia" w:ascii="仿宋" w:hAnsi="仿宋" w:eastAsia="仿宋"/>
          <w:b/>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年“三公”经费财政拨款支出决算为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较上年减少</w:t>
      </w:r>
      <w:r>
        <w:rPr>
          <w:rFonts w:hint="eastAsia" w:ascii="仿宋" w:hAnsi="仿宋" w:eastAsia="仿宋"/>
          <w:color w:val="auto"/>
          <w:sz w:val="32"/>
          <w:szCs w:val="32"/>
          <w:highlight w:val="none"/>
          <w:lang w:val="en-US" w:eastAsia="zh-CN"/>
        </w:rPr>
        <w:t>0.06万元，下降100%。</w:t>
      </w:r>
      <w:r>
        <w:rPr>
          <w:rFonts w:hint="eastAsia" w:ascii="仿宋" w:hAnsi="仿宋" w:eastAsia="仿宋"/>
          <w:color w:val="auto"/>
          <w:sz w:val="32"/>
          <w:szCs w:val="32"/>
          <w:highlight w:val="none"/>
        </w:rPr>
        <w:t>主要原因是</w:t>
      </w:r>
      <w:r>
        <w:rPr>
          <w:rFonts w:hint="eastAsia" w:ascii="仿宋" w:hAnsi="仿宋" w:eastAsia="仿宋"/>
          <w:color w:val="auto"/>
          <w:sz w:val="32"/>
          <w:szCs w:val="32"/>
          <w:highlight w:val="none"/>
          <w:lang w:val="en-US" w:eastAsia="zh-CN"/>
        </w:rPr>
        <w:t>2024年开展公务接待0次，支出“三公”经费0万元，2023年开展公务接待0次，支出0.00万元。另外，</w:t>
      </w:r>
      <w:r>
        <w:rPr>
          <w:rFonts w:hint="eastAsia" w:ascii="仿宋" w:hAnsi="仿宋" w:eastAsia="仿宋"/>
          <w:color w:val="auto"/>
          <w:sz w:val="32"/>
          <w:szCs w:val="32"/>
          <w:highlight w:val="none"/>
          <w:lang w:eastAsia="zh-CN"/>
        </w:rPr>
        <w:t>加强“三公”经费管理，“三公”经费决算支出比预算数明显下降。</w:t>
      </w:r>
      <w:bookmarkStart w:id="57" w:name="_Toc15377217"/>
    </w:p>
    <w:p w14:paraId="7ED37EFF">
      <w:pPr>
        <w:spacing w:line="600" w:lineRule="exact"/>
        <w:ind w:firstLine="640"/>
        <w:outlineLvl w:val="2"/>
        <w:rPr>
          <w:rFonts w:hint="eastAsia" w:ascii="楷体_GB2312" w:hAnsi="楷体_GB2312" w:eastAsia="楷体_GB2312" w:cs="楷体_GB2312"/>
          <w:b w:val="0"/>
          <w:bCs/>
          <w:color w:val="auto"/>
          <w:sz w:val="32"/>
          <w:szCs w:val="32"/>
          <w:highlight w:val="none"/>
        </w:rPr>
      </w:pPr>
      <w:r>
        <w:rPr>
          <w:rFonts w:hint="eastAsia" w:ascii="楷体_GB2312" w:hAnsi="楷体_GB2312" w:eastAsia="楷体_GB2312" w:cs="楷体_GB2312"/>
          <w:b w:val="0"/>
          <w:bCs/>
          <w:color w:val="auto"/>
          <w:sz w:val="32"/>
          <w:szCs w:val="32"/>
          <w:highlight w:val="none"/>
          <w:lang w:eastAsia="zh-CN"/>
        </w:rPr>
        <w:t>（</w:t>
      </w:r>
      <w:r>
        <w:rPr>
          <w:rFonts w:hint="eastAsia" w:ascii="楷体_GB2312" w:hAnsi="楷体_GB2312" w:eastAsia="楷体_GB2312" w:cs="楷体_GB2312"/>
          <w:b w:val="0"/>
          <w:bCs/>
          <w:color w:val="auto"/>
          <w:sz w:val="32"/>
          <w:szCs w:val="32"/>
          <w:highlight w:val="none"/>
        </w:rPr>
        <w:t>二）“三公”经费财政拨款支出决算具体情况说明</w:t>
      </w:r>
      <w:bookmarkEnd w:id="57"/>
    </w:p>
    <w:p w14:paraId="13A69470">
      <w:pPr>
        <w:spacing w:line="600" w:lineRule="exact"/>
        <w:ind w:firstLine="640"/>
        <w:rPr>
          <w:rFonts w:hint="eastAsia"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14:paraId="24332359">
      <w:pPr>
        <w:pStyle w:val="2"/>
        <w:rPr>
          <w:rFonts w:hint="eastAsia" w:ascii="仿宋" w:hAnsi="仿宋" w:eastAsia="仿宋"/>
          <w:color w:val="auto"/>
          <w:sz w:val="32"/>
          <w:szCs w:val="32"/>
          <w:highlight w:val="none"/>
        </w:rPr>
      </w:pPr>
      <w:r>
        <w:rPr>
          <w:color w:val="auto"/>
        </w:rPr>
        <w:drawing>
          <wp:anchor distT="0" distB="0" distL="114300" distR="114300" simplePos="0" relativeHeight="251663360" behindDoc="1" locked="0" layoutInCell="1" allowOverlap="1">
            <wp:simplePos x="0" y="0"/>
            <wp:positionH relativeFrom="column">
              <wp:posOffset>557530</wp:posOffset>
            </wp:positionH>
            <wp:positionV relativeFrom="paragraph">
              <wp:posOffset>205105</wp:posOffset>
            </wp:positionV>
            <wp:extent cx="3392170" cy="1974215"/>
            <wp:effectExtent l="4445" t="4445" r="13335" b="21590"/>
            <wp:wrapThrough wrapText="bothSides">
              <wp:wrapPolygon>
                <wp:start x="-28" y="-49"/>
                <wp:lineTo x="-28" y="21419"/>
                <wp:lineTo x="21564" y="21419"/>
                <wp:lineTo x="21564" y="-49"/>
                <wp:lineTo x="-28" y="-49"/>
              </wp:wrapPolygon>
            </wp:wrapThrough>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D30CFC8">
      <w:pPr>
        <w:pStyle w:val="2"/>
        <w:rPr>
          <w:rFonts w:hint="eastAsia" w:ascii="仿宋" w:hAnsi="仿宋" w:eastAsia="仿宋"/>
          <w:color w:val="auto"/>
          <w:sz w:val="32"/>
          <w:szCs w:val="32"/>
          <w:highlight w:val="none"/>
        </w:rPr>
      </w:pPr>
    </w:p>
    <w:p w14:paraId="0F7EB6D0">
      <w:pPr>
        <w:pStyle w:val="2"/>
        <w:rPr>
          <w:rFonts w:hint="eastAsia" w:ascii="仿宋" w:hAnsi="仿宋" w:eastAsia="仿宋"/>
          <w:color w:val="auto"/>
          <w:sz w:val="32"/>
          <w:szCs w:val="32"/>
          <w:highlight w:val="none"/>
          <w:lang w:val="en-US" w:eastAsia="zh-CN"/>
        </w:rPr>
      </w:pPr>
    </w:p>
    <w:p w14:paraId="681B0088">
      <w:pPr>
        <w:spacing w:line="600" w:lineRule="exact"/>
        <w:ind w:firstLine="643" w:firstLineChars="200"/>
        <w:rPr>
          <w:rFonts w:hint="eastAsia" w:ascii="仿宋_GB2312" w:eastAsia="仿宋_GB2312"/>
          <w:b/>
          <w:color w:val="auto"/>
          <w:sz w:val="32"/>
          <w:szCs w:val="32"/>
          <w:highlight w:val="none"/>
          <w:lang w:val="en-US" w:eastAsia="zh-CN"/>
        </w:rPr>
      </w:pPr>
    </w:p>
    <w:p w14:paraId="2E731942">
      <w:pPr>
        <w:spacing w:line="600" w:lineRule="exact"/>
        <w:ind w:firstLine="643" w:firstLineChars="200"/>
        <w:rPr>
          <w:rFonts w:hint="eastAsia" w:ascii="仿宋_GB2312" w:eastAsia="仿宋_GB2312"/>
          <w:b/>
          <w:color w:val="auto"/>
          <w:sz w:val="32"/>
          <w:szCs w:val="32"/>
          <w:highlight w:val="none"/>
          <w:lang w:val="en-US" w:eastAsia="zh-CN"/>
        </w:rPr>
      </w:pPr>
    </w:p>
    <w:p w14:paraId="185E7965">
      <w:pPr>
        <w:spacing w:line="600" w:lineRule="exact"/>
        <w:ind w:firstLine="643" w:firstLineChars="200"/>
        <w:rPr>
          <w:rFonts w:hint="eastAsia" w:ascii="仿宋_GB2312" w:eastAsia="仿宋_GB2312"/>
          <w:b/>
          <w:color w:val="auto"/>
          <w:sz w:val="32"/>
          <w:szCs w:val="32"/>
          <w:highlight w:val="none"/>
          <w:lang w:val="en-US" w:eastAsia="zh-CN"/>
        </w:rPr>
      </w:pPr>
    </w:p>
    <w:p w14:paraId="5DCA5C9C">
      <w:pPr>
        <w:spacing w:line="600" w:lineRule="exact"/>
        <w:ind w:firstLine="643" w:firstLineChars="200"/>
        <w:rPr>
          <w:rFonts w:hint="eastAsia" w:ascii="仿宋_GB2312" w:eastAsia="仿宋_GB2312"/>
          <w:b/>
          <w:color w:val="auto"/>
          <w:sz w:val="32"/>
          <w:szCs w:val="32"/>
          <w:highlight w:val="none"/>
          <w:lang w:val="en-US" w:eastAsia="zh-CN"/>
        </w:rPr>
      </w:pPr>
    </w:p>
    <w:p w14:paraId="6468068D">
      <w:pPr>
        <w:spacing w:line="600" w:lineRule="exact"/>
        <w:ind w:firstLine="643" w:firstLineChars="200"/>
        <w:rPr>
          <w:rFonts w:ascii="仿宋_GB2312" w:eastAsia="仿宋_GB2312"/>
          <w:b/>
          <w:color w:val="auto"/>
          <w:sz w:val="32"/>
          <w:szCs w:val="32"/>
          <w:highlight w:val="none"/>
        </w:rPr>
      </w:pPr>
      <w:r>
        <w:rPr>
          <w:rFonts w:hint="eastAsia" w:ascii="仿宋_GB2312" w:eastAsia="仿宋_GB2312"/>
          <w:b/>
          <w:color w:val="auto"/>
          <w:sz w:val="32"/>
          <w:szCs w:val="32"/>
          <w:highlight w:val="none"/>
          <w:lang w:val="en-US" w:eastAsia="zh-CN"/>
        </w:rPr>
        <w:t>1.</w:t>
      </w:r>
      <w:r>
        <w:rPr>
          <w:rFonts w:hint="eastAsia" w:ascii="仿宋_GB2312" w:eastAsia="仿宋_GB2312"/>
          <w:b/>
          <w:color w:val="auto"/>
          <w:sz w:val="32"/>
          <w:szCs w:val="32"/>
          <w:highlight w:val="none"/>
        </w:rPr>
        <w:t>因公出国（境）经费支出</w:t>
      </w:r>
      <w:r>
        <w:rPr>
          <w:rFonts w:hint="eastAsia" w:ascii="仿宋_GB2312" w:eastAsia="仿宋_GB2312"/>
          <w:b/>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w:t>
      </w:r>
      <w:r>
        <w:rPr>
          <w:rFonts w:hint="eastAsia" w:ascii="仿宋_GB2312" w:eastAsia="仿宋_GB2312"/>
          <w:color w:val="auto"/>
          <w:sz w:val="32"/>
          <w:szCs w:val="32"/>
          <w:highlight w:val="none"/>
          <w:lang w:eastAsia="zh-CN"/>
        </w:rPr>
        <w:t>与</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持平</w:t>
      </w:r>
      <w:r>
        <w:rPr>
          <w:rFonts w:hint="eastAsia" w:ascii="仿宋_GB2312" w:eastAsia="仿宋_GB2312"/>
          <w:color w:val="auto"/>
          <w:sz w:val="32"/>
          <w:szCs w:val="32"/>
          <w:highlight w:val="none"/>
        </w:rPr>
        <w:t>。</w:t>
      </w:r>
    </w:p>
    <w:p w14:paraId="59C34579">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b/>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w:t>
      </w:r>
      <w:r>
        <w:rPr>
          <w:rFonts w:hint="eastAsia" w:ascii="仿宋_GB2312" w:eastAsia="仿宋_GB2312"/>
          <w:color w:val="auto"/>
          <w:sz w:val="32"/>
          <w:szCs w:val="32"/>
          <w:highlight w:val="none"/>
          <w:lang w:eastAsia="zh-CN"/>
        </w:rPr>
        <w:t>与</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持平</w:t>
      </w:r>
      <w:r>
        <w:rPr>
          <w:rFonts w:hint="eastAsia" w:ascii="仿宋_GB2312" w:eastAsia="仿宋_GB2312"/>
          <w:color w:val="auto"/>
          <w:sz w:val="32"/>
          <w:szCs w:val="32"/>
          <w:highlight w:val="none"/>
        </w:rPr>
        <w:t>。</w:t>
      </w:r>
    </w:p>
    <w:p w14:paraId="61489A68">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b/>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23</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月底，单位共有公务用车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14:paraId="4A49647A">
      <w:p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b/>
          <w:color w:val="auto"/>
          <w:sz w:val="32"/>
          <w:szCs w:val="32"/>
          <w:highlight w:val="none"/>
          <w:lang w:val="en-US" w:eastAsia="zh-CN"/>
        </w:rPr>
        <w:t>0</w:t>
      </w:r>
      <w:r>
        <w:rPr>
          <w:rFonts w:hint="eastAsia" w:ascii="仿宋_GB2312" w:eastAsia="仿宋_GB2312"/>
          <w:color w:val="auto"/>
          <w:sz w:val="32"/>
          <w:szCs w:val="32"/>
          <w:highlight w:val="none"/>
        </w:rPr>
        <w:t>万元。</w:t>
      </w:r>
    </w:p>
    <w:p w14:paraId="4C923DC1">
      <w:pPr>
        <w:numPr>
          <w:ilvl w:val="0"/>
          <w:numId w:val="0"/>
        </w:numPr>
        <w:spacing w:line="600" w:lineRule="exact"/>
        <w:ind w:firstLine="643" w:firstLineChars="200"/>
        <w:rPr>
          <w:rFonts w:hint="eastAsia" w:ascii="仿宋_GB2312" w:eastAsia="仿宋_GB2312"/>
          <w:color w:val="auto"/>
          <w:sz w:val="32"/>
          <w:szCs w:val="32"/>
          <w:highlight w:val="none"/>
          <w:lang w:val="en-US" w:eastAsia="zh-CN"/>
        </w:rPr>
      </w:pPr>
      <w:r>
        <w:rPr>
          <w:rFonts w:hint="eastAsia" w:ascii="仿宋_GB2312" w:eastAsia="仿宋_GB2312"/>
          <w:b/>
          <w:color w:val="auto"/>
          <w:sz w:val="32"/>
          <w:szCs w:val="32"/>
          <w:highlight w:val="none"/>
          <w:lang w:val="en-US" w:eastAsia="zh-CN"/>
        </w:rPr>
        <w:t>3.</w:t>
      </w:r>
      <w:r>
        <w:rPr>
          <w:rFonts w:hint="eastAsia" w:ascii="仿宋_GB2312" w:eastAsia="仿宋_GB2312"/>
          <w:b/>
          <w:color w:val="auto"/>
          <w:sz w:val="32"/>
          <w:szCs w:val="32"/>
          <w:highlight w:val="none"/>
        </w:rPr>
        <w:t>公务接待费支出</w:t>
      </w:r>
      <w:r>
        <w:rPr>
          <w:rFonts w:hint="eastAsia" w:ascii="仿宋_GB2312" w:eastAsia="仿宋_GB2312"/>
          <w:b/>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与</w:t>
      </w:r>
      <w:r>
        <w:rPr>
          <w:rFonts w:hint="eastAsia" w:ascii="仿宋_GB2312" w:eastAsia="仿宋_GB2312"/>
          <w:color w:val="auto"/>
          <w:sz w:val="32"/>
          <w:szCs w:val="32"/>
          <w:highlight w:val="none"/>
          <w:lang w:val="en-US" w:eastAsia="zh-CN"/>
        </w:rPr>
        <w:t>2023年持平。</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2023年和2024年没有开展公务接待。</w:t>
      </w:r>
    </w:p>
    <w:p w14:paraId="5B2EA8EB">
      <w:pPr>
        <w:numPr>
          <w:ilvl w:val="0"/>
          <w:numId w:val="0"/>
        </w:numPr>
        <w:spacing w:line="600" w:lineRule="exact"/>
        <w:ind w:firstLine="643" w:firstLineChars="200"/>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 w:hAnsi="仿宋" w:eastAsia="仿宋"/>
          <w:b/>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国内公务接待</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人次（不包括陪同人员），共计支出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p>
    <w:p w14:paraId="179A89BF">
      <w:pPr>
        <w:spacing w:line="600" w:lineRule="exact"/>
        <w:ind w:firstLine="643" w:firstLineChars="200"/>
        <w:rPr>
          <w:rFonts w:ascii="黑体" w:eastAsia="黑体"/>
          <w:color w:val="auto"/>
          <w:sz w:val="32"/>
          <w:szCs w:val="32"/>
          <w:highlight w:val="none"/>
        </w:rPr>
      </w:pPr>
      <w:r>
        <w:rPr>
          <w:rFonts w:hint="eastAsia" w:ascii="仿宋" w:hAnsi="仿宋" w:eastAsia="仿宋"/>
          <w:b/>
          <w:color w:val="auto"/>
          <w:sz w:val="32"/>
          <w:szCs w:val="32"/>
          <w:highlight w:val="none"/>
        </w:rPr>
        <w:t>外事接待支出</w:t>
      </w:r>
      <w:r>
        <w:rPr>
          <w:rFonts w:hint="eastAsia" w:ascii="仿宋" w:hAnsi="仿宋" w:eastAsia="仿宋"/>
          <w:b/>
          <w:color w:val="auto"/>
          <w:sz w:val="32"/>
          <w:szCs w:val="32"/>
          <w:highlight w:val="none"/>
          <w:lang w:val="en-US" w:eastAsia="zh-CN"/>
        </w:rPr>
        <w:t>0</w:t>
      </w:r>
      <w:r>
        <w:rPr>
          <w:rFonts w:hint="eastAsia" w:ascii="仿宋_GB2312" w:eastAsia="仿宋_GB2312"/>
          <w:color w:val="auto"/>
          <w:sz w:val="32"/>
          <w:szCs w:val="32"/>
          <w:highlight w:val="none"/>
        </w:rPr>
        <w:t>万元。</w:t>
      </w:r>
      <w:bookmarkStart w:id="58" w:name="_Toc15377218"/>
      <w:bookmarkStart w:id="59" w:name="_Toc15396610"/>
    </w:p>
    <w:p w14:paraId="1C4B270E">
      <w:pPr>
        <w:spacing w:line="600" w:lineRule="exact"/>
        <w:ind w:firstLine="640"/>
        <w:outlineLvl w:val="1"/>
        <w:rPr>
          <w:rStyle w:val="29"/>
          <w:rFonts w:ascii="黑体" w:hAnsi="黑体" w:eastAsia="黑体"/>
          <w:color w:val="auto"/>
          <w:highlight w:val="none"/>
        </w:rPr>
      </w:pPr>
      <w:bookmarkStart w:id="60" w:name="_Toc3187"/>
      <w:r>
        <w:rPr>
          <w:rFonts w:hint="eastAsia" w:ascii="黑体" w:eastAsia="黑体"/>
          <w:color w:val="auto"/>
          <w:sz w:val="32"/>
          <w:szCs w:val="32"/>
          <w:highlight w:val="none"/>
        </w:rPr>
        <w:t>八、</w:t>
      </w:r>
      <w:r>
        <w:rPr>
          <w:rStyle w:val="29"/>
          <w:rFonts w:hint="eastAsia" w:ascii="黑体" w:hAnsi="黑体" w:eastAsia="黑体"/>
          <w:b w:val="0"/>
          <w:color w:val="auto"/>
          <w:highlight w:val="none"/>
        </w:rPr>
        <w:t>政府性基金预算支出决算情况说明</w:t>
      </w:r>
      <w:bookmarkEnd w:id="58"/>
      <w:bookmarkEnd w:id="59"/>
      <w:bookmarkEnd w:id="60"/>
    </w:p>
    <w:p w14:paraId="70F7D89E">
      <w:pPr>
        <w:spacing w:line="600" w:lineRule="exact"/>
        <w:ind w:firstLine="640"/>
        <w:rPr>
          <w:rFonts w:ascii="仿宋_GB2312" w:eastAsia="仿宋_GB2312"/>
          <w:color w:val="auto"/>
          <w:sz w:val="32"/>
          <w:szCs w:val="32"/>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年政府性基金预算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20</w:t>
      </w:r>
      <w:r>
        <w:rPr>
          <w:rFonts w:hint="eastAsia" w:ascii="仿宋_GB2312" w:eastAsia="仿宋_GB2312"/>
          <w:color w:val="auto"/>
          <w:sz w:val="32"/>
          <w:szCs w:val="32"/>
          <w:highlight w:val="none"/>
        </w:rPr>
        <w:t>万元。</w:t>
      </w:r>
    </w:p>
    <w:p w14:paraId="28C607E9">
      <w:pPr>
        <w:numPr>
          <w:ilvl w:val="0"/>
          <w:numId w:val="2"/>
        </w:numPr>
        <w:spacing w:line="600" w:lineRule="exact"/>
        <w:ind w:firstLine="640"/>
        <w:outlineLvl w:val="1"/>
        <w:rPr>
          <w:rStyle w:val="29"/>
          <w:rFonts w:ascii="黑体" w:hAnsi="黑体" w:eastAsia="黑体"/>
          <w:b w:val="0"/>
          <w:color w:val="auto"/>
          <w:highlight w:val="none"/>
        </w:rPr>
      </w:pPr>
      <w:bookmarkStart w:id="61" w:name="_Toc15396611"/>
      <w:bookmarkStart w:id="62" w:name="_Toc15377219"/>
      <w:bookmarkStart w:id="63" w:name="_Toc24850"/>
      <w:r>
        <w:rPr>
          <w:rStyle w:val="29"/>
          <w:rFonts w:hint="eastAsia" w:ascii="黑体" w:hAnsi="黑体" w:eastAsia="黑体"/>
          <w:b w:val="0"/>
          <w:color w:val="auto"/>
          <w:highlight w:val="none"/>
        </w:rPr>
        <w:t>国有资本经营预算支出决算情况说明</w:t>
      </w:r>
      <w:bookmarkEnd w:id="61"/>
      <w:bookmarkEnd w:id="62"/>
      <w:bookmarkEnd w:id="63"/>
    </w:p>
    <w:p w14:paraId="192A7EB9">
      <w:pPr>
        <w:spacing w:line="600" w:lineRule="exact"/>
        <w:ind w:firstLine="640"/>
        <w:rPr>
          <w:rFonts w:ascii="黑体" w:hAnsi="黑体" w:eastAsia="黑体" w:cs="黑体"/>
          <w:color w:val="auto"/>
          <w:sz w:val="44"/>
          <w:szCs w:val="44"/>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年国有资本经营预算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4EC0A916">
      <w:pPr>
        <w:numPr>
          <w:ilvl w:val="0"/>
          <w:numId w:val="2"/>
        </w:numPr>
        <w:spacing w:line="600" w:lineRule="exact"/>
        <w:ind w:firstLine="640"/>
        <w:outlineLvl w:val="1"/>
        <w:rPr>
          <w:rStyle w:val="29"/>
          <w:rFonts w:hint="eastAsia" w:ascii="黑体" w:hAnsi="黑体" w:eastAsia="黑体"/>
          <w:b w:val="0"/>
          <w:color w:val="auto"/>
          <w:highlight w:val="none"/>
        </w:rPr>
      </w:pPr>
      <w:bookmarkStart w:id="64" w:name="_Toc15377221"/>
      <w:bookmarkStart w:id="65" w:name="_Toc15396612"/>
      <w:bookmarkStart w:id="66" w:name="_Toc18853"/>
      <w:r>
        <w:rPr>
          <w:rStyle w:val="29"/>
          <w:rFonts w:hint="eastAsia" w:ascii="黑体" w:hAnsi="黑体" w:eastAsia="黑体"/>
          <w:b w:val="0"/>
          <w:color w:val="auto"/>
          <w:highlight w:val="none"/>
        </w:rPr>
        <w:t>其他重要事项的情况说明</w:t>
      </w:r>
      <w:bookmarkEnd w:id="64"/>
      <w:bookmarkEnd w:id="65"/>
      <w:bookmarkEnd w:id="66"/>
    </w:p>
    <w:p w14:paraId="73598466">
      <w:pPr>
        <w:spacing w:line="600" w:lineRule="exact"/>
        <w:ind w:firstLine="643" w:firstLineChars="200"/>
        <w:outlineLvl w:val="2"/>
        <w:rPr>
          <w:rFonts w:ascii="仿宋" w:hAnsi="仿宋" w:eastAsia="仿宋"/>
          <w:color w:val="auto"/>
          <w:sz w:val="32"/>
          <w:szCs w:val="32"/>
          <w:highlight w:val="none"/>
        </w:rPr>
      </w:pPr>
      <w:bookmarkStart w:id="67" w:name="_Toc15377222"/>
      <w:r>
        <w:rPr>
          <w:rFonts w:hint="eastAsia" w:ascii="仿宋" w:hAnsi="仿宋" w:eastAsia="仿宋"/>
          <w:b/>
          <w:color w:val="auto"/>
          <w:sz w:val="32"/>
          <w:szCs w:val="32"/>
          <w:highlight w:val="none"/>
        </w:rPr>
        <w:t>（一）机关运行经费支出情况</w:t>
      </w:r>
      <w:bookmarkEnd w:id="67"/>
    </w:p>
    <w:p w14:paraId="327ABB46">
      <w:pPr>
        <w:spacing w:line="600" w:lineRule="exact"/>
        <w:ind w:firstLine="640" w:firstLineChars="200"/>
        <w:rPr>
          <w:rFonts w:hint="eastAsia" w:ascii="仿宋_GB2312" w:eastAsia="仿宋_GB2312"/>
          <w:color w:val="auto"/>
          <w:sz w:val="32"/>
          <w:szCs w:val="32"/>
          <w:highlight w:val="none"/>
          <w:lang w:eastAsia="zh-CN"/>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县档案馆</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15.81</w:t>
      </w:r>
      <w:r>
        <w:rPr>
          <w:rFonts w:hint="eastAsia" w:ascii="仿宋_GB2312" w:eastAsia="仿宋_GB2312"/>
          <w:color w:val="auto"/>
          <w:sz w:val="32"/>
          <w:szCs w:val="32"/>
          <w:highlight w:val="none"/>
        </w:rPr>
        <w:t>万元，比</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23</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减少</w:t>
      </w:r>
      <w:r>
        <w:rPr>
          <w:rFonts w:hint="eastAsia" w:ascii="仿宋_GB2312" w:eastAsia="仿宋_GB2312"/>
          <w:color w:val="auto"/>
          <w:sz w:val="32"/>
          <w:szCs w:val="32"/>
          <w:highlight w:val="none"/>
          <w:lang w:val="en-US" w:eastAsia="zh-CN"/>
        </w:rPr>
        <w:t>2.5</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下降</w:t>
      </w:r>
      <w:r>
        <w:rPr>
          <w:rFonts w:hint="eastAsia" w:ascii="仿宋_GB2312" w:eastAsia="仿宋_GB2312"/>
          <w:color w:val="auto"/>
          <w:sz w:val="32"/>
          <w:szCs w:val="32"/>
          <w:highlight w:val="none"/>
          <w:lang w:val="en-US" w:eastAsia="zh-CN"/>
        </w:rPr>
        <w:t>13.65</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2024年减少办公电脑耗材费用支出</w:t>
      </w:r>
      <w:r>
        <w:rPr>
          <w:rFonts w:hint="eastAsia" w:ascii="仿宋_GB2312" w:eastAsia="仿宋_GB2312"/>
          <w:color w:val="auto"/>
          <w:sz w:val="32"/>
          <w:szCs w:val="32"/>
          <w:highlight w:val="none"/>
          <w:lang w:eastAsia="zh-CN"/>
        </w:rPr>
        <w:t>。</w:t>
      </w:r>
    </w:p>
    <w:p w14:paraId="30D6FEAE">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68" w:name="_Toc15377223"/>
      <w:r>
        <w:rPr>
          <w:rFonts w:hint="eastAsia" w:ascii="仿宋" w:hAnsi="仿宋" w:eastAsia="仿宋"/>
          <w:b/>
          <w:color w:val="auto"/>
          <w:sz w:val="32"/>
          <w:szCs w:val="32"/>
          <w:highlight w:val="none"/>
        </w:rPr>
        <w:t>（二）政府采购支出情况</w:t>
      </w:r>
      <w:bookmarkEnd w:id="68"/>
    </w:p>
    <w:p w14:paraId="67CE0621">
      <w:pPr>
        <w:spacing w:line="60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县档案馆</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0BF03AF7">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69" w:name="_Toc15377224"/>
      <w:r>
        <w:rPr>
          <w:rFonts w:hint="eastAsia" w:ascii="仿宋" w:hAnsi="仿宋" w:eastAsia="仿宋"/>
          <w:b/>
          <w:color w:val="auto"/>
          <w:sz w:val="32"/>
          <w:szCs w:val="32"/>
          <w:highlight w:val="none"/>
        </w:rPr>
        <w:t>（三）国有资产占有使用情况</w:t>
      </w:r>
      <w:bookmarkEnd w:id="69"/>
    </w:p>
    <w:p w14:paraId="1EC97470">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eastAsia="zh-CN"/>
        </w:rPr>
        <w:t>县档案馆</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14:paraId="46AFAEC7">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（四）预算绩效管理情况</w:t>
      </w:r>
    </w:p>
    <w:p w14:paraId="5A4B5F8D">
      <w:pPr>
        <w:widowControl/>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根据预算绩效管理要求，本部门在202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年度预算编制阶段，组织对</w:t>
      </w:r>
      <w:r>
        <w:rPr>
          <w:rFonts w:hint="eastAsia" w:ascii="仿宋_GB2312" w:hAnsi="仿宋_GB2312" w:eastAsia="仿宋_GB2312" w:cs="仿宋_GB2312"/>
          <w:color w:val="auto"/>
          <w:sz w:val="32"/>
          <w:szCs w:val="32"/>
          <w:highlight w:val="none"/>
          <w:lang w:eastAsia="zh-CN"/>
        </w:rPr>
        <w:t>馆藏档案数字化</w:t>
      </w:r>
      <w:r>
        <w:rPr>
          <w:rFonts w:hint="eastAsia" w:ascii="仿宋_GB2312" w:hAnsi="仿宋_GB2312" w:eastAsia="仿宋_GB2312" w:cs="仿宋_GB2312"/>
          <w:color w:val="auto"/>
          <w:sz w:val="32"/>
          <w:szCs w:val="32"/>
          <w:highlight w:val="none"/>
        </w:rPr>
        <w:t>项目（项目名称）</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个项目开展了预算事前绩效评估，对</w:t>
      </w:r>
      <w:r>
        <w:rPr>
          <w:rFonts w:hint="eastAsia" w:ascii="仿宋_GB2312" w:hAnsi="仿宋_GB2312" w:eastAsia="仿宋_GB2312" w:cs="仿宋_GB2312"/>
          <w:color w:val="auto"/>
          <w:sz w:val="32"/>
          <w:szCs w:val="32"/>
          <w:highlight w:val="none"/>
          <w:lang w:eastAsia="zh-CN"/>
        </w:rPr>
        <w:t>馆藏档案数字化等</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个项目编制了绩效目标，预算执行过程中，选取</w:t>
      </w:r>
      <w:r>
        <w:rPr>
          <w:rFonts w:hint="eastAsia" w:ascii="仿宋_GB2312" w:hAnsi="仿宋_GB2312" w:eastAsia="仿宋_GB2312" w:cs="仿宋_GB2312"/>
          <w:color w:val="auto"/>
          <w:sz w:val="32"/>
          <w:szCs w:val="32"/>
          <w:highlight w:val="none"/>
          <w:lang w:eastAsia="zh-CN"/>
        </w:rPr>
        <w:t>馆藏档案数字化等</w:t>
      </w:r>
      <w:r>
        <w:rPr>
          <w:rFonts w:hint="eastAsia" w:ascii="仿宋_GB2312" w:hAnsi="仿宋_GB2312" w:eastAsia="仿宋_GB2312" w:cs="仿宋_GB2312"/>
          <w:color w:val="auto"/>
          <w:sz w:val="32"/>
          <w:szCs w:val="32"/>
          <w:highlight w:val="none"/>
          <w:lang w:val="en-US" w:eastAsia="zh-CN"/>
        </w:rPr>
        <w:t>2个</w:t>
      </w:r>
      <w:r>
        <w:rPr>
          <w:rFonts w:hint="eastAsia" w:ascii="仿宋_GB2312" w:hAnsi="仿宋_GB2312" w:eastAsia="仿宋_GB2312" w:cs="仿宋_GB2312"/>
          <w:color w:val="auto"/>
          <w:sz w:val="32"/>
          <w:szCs w:val="32"/>
          <w:highlight w:val="none"/>
        </w:rPr>
        <w:t>个项目开展绩效监控。</w:t>
      </w:r>
    </w:p>
    <w:p w14:paraId="5B343E99">
      <w:pPr>
        <w:widowControl/>
        <w:ind w:firstLine="640" w:firstLineChars="200"/>
        <w:jc w:val="left"/>
        <w:rPr>
          <w:rFonts w:ascii="仿宋_GB2312" w:eastAsia="仿宋_GB2312"/>
          <w:b/>
          <w:color w:val="auto"/>
          <w:sz w:val="32"/>
          <w:szCs w:val="32"/>
          <w:highlight w:val="none"/>
        </w:rPr>
      </w:pPr>
      <w:r>
        <w:rPr>
          <w:rFonts w:hint="eastAsia" w:ascii="仿宋_GB2312" w:hAnsi="仿宋_GB2312" w:eastAsia="仿宋_GB2312" w:cs="仿宋_GB2312"/>
          <w:color w:val="auto"/>
          <w:sz w:val="32"/>
          <w:szCs w:val="32"/>
          <w:highlight w:val="none"/>
        </w:rPr>
        <w:t>组织对202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年度一般公共预算、政府性基金预算、国有资本经营预算、社会保险基金预算以及资本资产、债券资金等全面开展绩效自评，形成</w:t>
      </w:r>
      <w:r>
        <w:rPr>
          <w:rFonts w:hint="eastAsia" w:ascii="仿宋_GB2312" w:hAnsi="仿宋_GB2312" w:eastAsia="仿宋_GB2312" w:cs="仿宋_GB2312"/>
          <w:color w:val="auto"/>
          <w:sz w:val="32"/>
          <w:szCs w:val="32"/>
          <w:highlight w:val="none"/>
          <w:lang w:eastAsia="zh-CN"/>
        </w:rPr>
        <w:t>县档案馆</w:t>
      </w:r>
      <w:r>
        <w:rPr>
          <w:rFonts w:hint="eastAsia" w:ascii="仿宋_GB2312" w:hAnsi="仿宋_GB2312" w:eastAsia="仿宋_GB2312" w:cs="仿宋_GB2312"/>
          <w:color w:val="auto"/>
          <w:sz w:val="32"/>
          <w:szCs w:val="32"/>
          <w:highlight w:val="none"/>
        </w:rPr>
        <w:t>部门整体（含部门预算项目）绩效自评报告、</w:t>
      </w:r>
      <w:r>
        <w:rPr>
          <w:rFonts w:hint="eastAsia" w:ascii="仿宋_GB2312" w:hAnsi="仿宋_GB2312" w:eastAsia="仿宋_GB2312" w:cs="仿宋_GB2312"/>
          <w:color w:val="auto"/>
          <w:sz w:val="32"/>
          <w:szCs w:val="32"/>
          <w:highlight w:val="none"/>
          <w:lang w:eastAsia="zh-CN"/>
        </w:rPr>
        <w:t>馆藏档案数字化</w:t>
      </w:r>
      <w:r>
        <w:rPr>
          <w:rFonts w:hint="eastAsia" w:ascii="仿宋_GB2312" w:hAnsi="仿宋_GB2312" w:eastAsia="仿宋_GB2312" w:cs="仿宋_GB2312"/>
          <w:color w:val="auto"/>
          <w:sz w:val="32"/>
          <w:szCs w:val="32"/>
          <w:highlight w:val="none"/>
        </w:rPr>
        <w:t>等专项预算项目绩效自评报告，其中，</w:t>
      </w:r>
      <w:r>
        <w:rPr>
          <w:rFonts w:hint="eastAsia" w:ascii="仿宋_GB2312" w:hAnsi="仿宋_GB2312" w:eastAsia="仿宋_GB2312" w:cs="仿宋_GB2312"/>
          <w:color w:val="auto"/>
          <w:sz w:val="32"/>
          <w:szCs w:val="32"/>
          <w:highlight w:val="none"/>
          <w:lang w:eastAsia="zh-CN"/>
        </w:rPr>
        <w:t>县档案馆</w:t>
      </w:r>
      <w:r>
        <w:rPr>
          <w:rFonts w:hint="eastAsia" w:ascii="仿宋_GB2312" w:hAnsi="仿宋_GB2312" w:eastAsia="仿宋_GB2312" w:cs="仿宋_GB2312"/>
          <w:color w:val="auto"/>
          <w:sz w:val="32"/>
          <w:szCs w:val="32"/>
          <w:highlight w:val="none"/>
        </w:rPr>
        <w:t>部门整体（含部门预算项目）绩效自评得分为</w:t>
      </w:r>
      <w:r>
        <w:rPr>
          <w:rFonts w:hint="eastAsia" w:ascii="仿宋_GB2312" w:hAnsi="仿宋_GB2312" w:eastAsia="仿宋_GB2312" w:cs="仿宋_GB2312"/>
          <w:color w:val="auto"/>
          <w:sz w:val="32"/>
          <w:szCs w:val="32"/>
          <w:highlight w:val="none"/>
          <w:lang w:val="en-US" w:eastAsia="zh-CN"/>
        </w:rPr>
        <w:t>98</w:t>
      </w:r>
      <w:r>
        <w:rPr>
          <w:rFonts w:hint="eastAsia" w:ascii="仿宋_GB2312" w:hAnsi="仿宋_GB2312" w:eastAsia="仿宋_GB2312" w:cs="仿宋_GB2312"/>
          <w:color w:val="auto"/>
          <w:sz w:val="32"/>
          <w:szCs w:val="32"/>
          <w:highlight w:val="none"/>
        </w:rPr>
        <w:t>分，绩效自评</w:t>
      </w:r>
      <w:r>
        <w:rPr>
          <w:rFonts w:hint="eastAsia" w:ascii="仿宋_GB2312" w:hAnsi="仿宋_GB2312" w:eastAsia="仿宋_GB2312" w:cs="仿宋_GB2312"/>
          <w:color w:val="auto"/>
          <w:sz w:val="32"/>
          <w:szCs w:val="32"/>
          <w:highlight w:val="none"/>
          <w:lang w:eastAsia="zh-CN"/>
        </w:rPr>
        <w:t>为优良</w:t>
      </w:r>
      <w:r>
        <w:rPr>
          <w:rFonts w:hint="eastAsia" w:ascii="仿宋_GB2312" w:hAnsi="仿宋_GB2312" w:eastAsia="仿宋_GB2312" w:cs="仿宋_GB2312"/>
          <w:color w:val="auto"/>
          <w:sz w:val="32"/>
          <w:szCs w:val="32"/>
          <w:highlight w:val="none"/>
        </w:rPr>
        <w:t>综述；</w:t>
      </w:r>
      <w:r>
        <w:rPr>
          <w:rFonts w:hint="eastAsia" w:ascii="仿宋_GB2312" w:hAnsi="仿宋_GB2312" w:eastAsia="仿宋_GB2312" w:cs="仿宋_GB2312"/>
          <w:color w:val="auto"/>
          <w:sz w:val="32"/>
          <w:szCs w:val="32"/>
          <w:highlight w:val="none"/>
          <w:lang w:eastAsia="zh-CN"/>
        </w:rPr>
        <w:t>馆藏档案数字化</w:t>
      </w:r>
      <w:r>
        <w:rPr>
          <w:rFonts w:hint="eastAsia" w:ascii="仿宋_GB2312" w:hAnsi="仿宋_GB2312" w:eastAsia="仿宋_GB2312" w:cs="仿宋_GB2312"/>
          <w:color w:val="auto"/>
          <w:sz w:val="32"/>
          <w:szCs w:val="32"/>
          <w:highlight w:val="none"/>
        </w:rPr>
        <w:t>专项预算项目绩效自评得分为</w:t>
      </w:r>
      <w:r>
        <w:rPr>
          <w:rFonts w:hint="eastAsia" w:ascii="仿宋_GB2312" w:hAnsi="仿宋_GB2312" w:eastAsia="仿宋_GB2312" w:cs="仿宋_GB2312"/>
          <w:color w:val="auto"/>
          <w:sz w:val="32"/>
          <w:szCs w:val="32"/>
          <w:highlight w:val="none"/>
          <w:lang w:val="en-US" w:eastAsia="zh-CN"/>
        </w:rPr>
        <w:t>98</w:t>
      </w:r>
      <w:r>
        <w:rPr>
          <w:rFonts w:hint="eastAsia" w:ascii="仿宋_GB2312" w:hAnsi="仿宋_GB2312" w:eastAsia="仿宋_GB2312" w:cs="仿宋_GB2312"/>
          <w:color w:val="auto"/>
          <w:sz w:val="32"/>
          <w:szCs w:val="32"/>
          <w:highlight w:val="none"/>
        </w:rPr>
        <w:t>分，绩效自评</w:t>
      </w:r>
      <w:r>
        <w:rPr>
          <w:rFonts w:hint="eastAsia" w:ascii="仿宋_GB2312" w:hAnsi="仿宋_GB2312" w:eastAsia="仿宋_GB2312" w:cs="仿宋_GB2312"/>
          <w:color w:val="auto"/>
          <w:sz w:val="32"/>
          <w:szCs w:val="32"/>
          <w:highlight w:val="none"/>
          <w:lang w:eastAsia="zh-CN"/>
        </w:rPr>
        <w:t>为优良，</w:t>
      </w:r>
      <w:r>
        <w:rPr>
          <w:rFonts w:hint="eastAsia" w:ascii="仿宋_GB2312" w:hAnsi="仿宋_GB2312" w:eastAsia="仿宋_GB2312" w:cs="仿宋_GB2312"/>
          <w:color w:val="auto"/>
          <w:sz w:val="32"/>
          <w:szCs w:val="32"/>
          <w:highlight w:val="none"/>
        </w:rPr>
        <w:t>绩效自评报告详见附件。</w:t>
      </w:r>
      <w:r>
        <w:rPr>
          <w:rFonts w:ascii="仿宋_GB2312" w:eastAsia="仿宋_GB2312"/>
          <w:b/>
          <w:color w:val="auto"/>
          <w:sz w:val="32"/>
          <w:szCs w:val="32"/>
          <w:highlight w:val="none"/>
        </w:rPr>
        <w:br w:type="page"/>
      </w:r>
    </w:p>
    <w:p w14:paraId="6FDF634F">
      <w:pPr>
        <w:numPr>
          <w:ilvl w:val="0"/>
          <w:numId w:val="3"/>
        </w:numPr>
        <w:spacing w:line="600" w:lineRule="exact"/>
        <w:ind w:firstLine="660" w:firstLineChars="150"/>
        <w:jc w:val="center"/>
        <w:outlineLvl w:val="0"/>
        <w:rPr>
          <w:rStyle w:val="28"/>
          <w:rFonts w:ascii="黑体" w:hAnsi="黑体" w:eastAsia="黑体"/>
          <w:b w:val="0"/>
          <w:color w:val="auto"/>
          <w:highlight w:val="none"/>
        </w:rPr>
      </w:pPr>
      <w:bookmarkStart w:id="70" w:name="_Toc15396613"/>
      <w:bookmarkStart w:id="71" w:name="_Toc15377225"/>
      <w:bookmarkStart w:id="72" w:name="_Toc648"/>
      <w:r>
        <w:rPr>
          <w:rFonts w:hint="eastAsia" w:ascii="黑体" w:hAnsi="黑体" w:eastAsia="黑体"/>
          <w:color w:val="auto"/>
          <w:sz w:val="44"/>
          <w:szCs w:val="44"/>
          <w:highlight w:val="none"/>
        </w:rPr>
        <w:t>名</w:t>
      </w:r>
      <w:r>
        <w:rPr>
          <w:rStyle w:val="28"/>
          <w:rFonts w:hint="eastAsia" w:ascii="黑体" w:hAnsi="黑体" w:eastAsia="黑体"/>
          <w:b w:val="0"/>
          <w:color w:val="auto"/>
          <w:highlight w:val="none"/>
        </w:rPr>
        <w:t>词解释</w:t>
      </w:r>
      <w:bookmarkEnd w:id="70"/>
      <w:bookmarkEnd w:id="71"/>
      <w:bookmarkEnd w:id="72"/>
    </w:p>
    <w:p w14:paraId="3CF18E49">
      <w:pPr>
        <w:spacing w:line="600" w:lineRule="exact"/>
        <w:jc w:val="left"/>
        <w:rPr>
          <w:rFonts w:ascii="宋体"/>
          <w:b/>
          <w:color w:val="auto"/>
          <w:sz w:val="44"/>
          <w:szCs w:val="44"/>
          <w:highlight w:val="none"/>
        </w:rPr>
      </w:pPr>
    </w:p>
    <w:p w14:paraId="514D4862">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w:t>
      </w:r>
      <w:r>
        <w:rPr>
          <w:rFonts w:hint="eastAsia" w:ascii="仿宋_GB2312" w:eastAsia="仿宋_GB2312"/>
          <w:color w:val="auto"/>
          <w:sz w:val="32"/>
          <w:szCs w:val="32"/>
          <w:highlight w:val="none"/>
          <w:lang w:eastAsia="zh-CN"/>
        </w:rPr>
        <w:t>县档案馆</w:t>
      </w:r>
      <w:r>
        <w:rPr>
          <w:rFonts w:hint="eastAsia" w:ascii="仿宋_GB2312" w:eastAsia="仿宋_GB2312"/>
          <w:color w:val="auto"/>
          <w:sz w:val="32"/>
          <w:szCs w:val="32"/>
          <w:highlight w:val="none"/>
        </w:rPr>
        <w:t>从同级财政部门取得的财政预算资金。</w:t>
      </w:r>
    </w:p>
    <w:p w14:paraId="53ECFDFF">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w:t>
      </w:r>
      <w:r>
        <w:rPr>
          <w:rFonts w:hint="eastAsia" w:ascii="仿宋_GB2312" w:eastAsia="仿宋_GB2312"/>
          <w:color w:val="auto"/>
          <w:sz w:val="32"/>
          <w:szCs w:val="32"/>
          <w:highlight w:val="none"/>
          <w:lang w:eastAsia="zh-CN"/>
        </w:rPr>
        <w:t>县档案馆</w:t>
      </w:r>
      <w:r>
        <w:rPr>
          <w:rFonts w:hint="eastAsia" w:ascii="仿宋_GB2312" w:eastAsia="仿宋_GB2312"/>
          <w:color w:val="auto"/>
          <w:sz w:val="32"/>
          <w:szCs w:val="32"/>
          <w:highlight w:val="none"/>
        </w:rPr>
        <w:t>开展专业业务活动及辅助活动取得的收入。如…（二级预算单位事业收入情况）等。</w:t>
      </w:r>
    </w:p>
    <w:p w14:paraId="29A8B4F0">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w:t>
      </w:r>
      <w:r>
        <w:rPr>
          <w:rFonts w:hint="eastAsia" w:ascii="仿宋_GB2312" w:eastAsia="仿宋_GB2312"/>
          <w:color w:val="auto"/>
          <w:sz w:val="32"/>
          <w:szCs w:val="32"/>
          <w:highlight w:val="none"/>
          <w:lang w:eastAsia="zh-CN"/>
        </w:rPr>
        <w:t>县档案馆</w:t>
      </w:r>
      <w:r>
        <w:rPr>
          <w:rFonts w:hint="eastAsia" w:ascii="仿宋_GB2312" w:eastAsia="仿宋_GB2312"/>
          <w:color w:val="auto"/>
          <w:sz w:val="32"/>
          <w:szCs w:val="32"/>
          <w:highlight w:val="none"/>
        </w:rPr>
        <w:t>在专业业务活动及其辅助活动之外开展非独立核算经营活动取得的收入。如…（二级预算单位经营收入情况）等。</w:t>
      </w:r>
    </w:p>
    <w:p w14:paraId="78DA9BA2">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w:t>
      </w:r>
      <w:r>
        <w:rPr>
          <w:rFonts w:hint="eastAsia" w:ascii="仿宋_GB2312" w:eastAsia="仿宋_GB2312"/>
          <w:color w:val="auto"/>
          <w:sz w:val="32"/>
          <w:szCs w:val="32"/>
          <w:highlight w:val="none"/>
          <w:lang w:eastAsia="zh-CN"/>
        </w:rPr>
        <w:t>县档案馆</w:t>
      </w:r>
      <w:r>
        <w:rPr>
          <w:rFonts w:hint="eastAsia" w:ascii="仿宋_GB2312" w:eastAsia="仿宋_GB2312"/>
          <w:color w:val="auto"/>
          <w:sz w:val="32"/>
          <w:szCs w:val="32"/>
          <w:highlight w:val="none"/>
        </w:rPr>
        <w:t>取得的除上述收入以外的各项收入。主要是…（收入类型）等。</w:t>
      </w:r>
      <w:r>
        <w:rPr>
          <w:rFonts w:ascii="仿宋_GB2312" w:eastAsia="仿宋_GB2312"/>
          <w:color w:val="auto"/>
          <w:sz w:val="32"/>
          <w:szCs w:val="32"/>
          <w:highlight w:val="none"/>
        </w:rPr>
        <w:t xml:space="preserve"> </w:t>
      </w:r>
    </w:p>
    <w:p w14:paraId="1183AABE">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eastAsia="仿宋_GB2312"/>
          <w:color w:val="auto"/>
          <w:sz w:val="32"/>
          <w:szCs w:val="32"/>
          <w:highlight w:val="none"/>
          <w:lang w:eastAsia="zh-CN"/>
        </w:rPr>
        <w:t>使用非财政拨款结余</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县档案馆使用以前年度积累的非财政拨款结余弥补当年收支差额的金额。</w:t>
      </w:r>
      <w:r>
        <w:rPr>
          <w:rFonts w:ascii="仿宋_GB2312" w:eastAsia="仿宋_GB2312"/>
          <w:color w:val="auto"/>
          <w:sz w:val="32"/>
          <w:szCs w:val="32"/>
          <w:highlight w:val="none"/>
        </w:rPr>
        <w:t xml:space="preserve"> </w:t>
      </w:r>
    </w:p>
    <w:p w14:paraId="12C89F49">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2AA8343F">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318CD6B6">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14:paraId="13708E38">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9.</w:t>
      </w:r>
      <w:r>
        <w:rPr>
          <w:rFonts w:hint="eastAsia" w:ascii="仿宋_GB2312" w:eastAsia="仿宋_GB2312"/>
          <w:color w:val="auto"/>
          <w:sz w:val="32"/>
          <w:szCs w:val="32"/>
          <w:highlight w:val="none"/>
        </w:rPr>
        <w:t>一般公共服务（</w:t>
      </w:r>
      <w:r>
        <w:rPr>
          <w:rFonts w:hint="eastAsia" w:ascii="仿宋_GB2312" w:eastAsia="仿宋_GB2312"/>
          <w:color w:val="auto"/>
          <w:sz w:val="32"/>
          <w:szCs w:val="32"/>
          <w:highlight w:val="none"/>
          <w:lang w:val="en-US" w:eastAsia="zh-CN"/>
        </w:rPr>
        <w:t>201</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）档案事物</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26</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行政运行</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县档案馆人员经费支出和公用经费支出</w:t>
      </w:r>
      <w:r>
        <w:rPr>
          <w:rFonts w:hint="eastAsia" w:ascii="仿宋_GB2312" w:eastAsia="仿宋_GB2312"/>
          <w:color w:val="auto"/>
          <w:sz w:val="32"/>
          <w:szCs w:val="32"/>
          <w:highlight w:val="none"/>
        </w:rPr>
        <w:t>。</w:t>
      </w:r>
    </w:p>
    <w:p w14:paraId="0DBF3F9E">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一般公共服务（</w:t>
      </w:r>
      <w:r>
        <w:rPr>
          <w:rFonts w:hint="eastAsia" w:ascii="仿宋_GB2312" w:eastAsia="仿宋_GB2312"/>
          <w:color w:val="auto"/>
          <w:sz w:val="32"/>
          <w:szCs w:val="32"/>
          <w:highlight w:val="none"/>
          <w:lang w:val="en-US" w:eastAsia="zh-CN"/>
        </w:rPr>
        <w:t>201</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）档案事物</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26</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行政运行</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04</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县档案馆用于项目支出</w:t>
      </w:r>
      <w:r>
        <w:rPr>
          <w:rFonts w:hint="eastAsia" w:ascii="仿宋_GB2312" w:eastAsia="仿宋_GB2312"/>
          <w:color w:val="auto"/>
          <w:sz w:val="32"/>
          <w:szCs w:val="32"/>
          <w:highlight w:val="none"/>
        </w:rPr>
        <w:t>。</w:t>
      </w:r>
    </w:p>
    <w:p w14:paraId="6565FE54">
      <w:pPr>
        <w:ind w:firstLine="640" w:firstLineChars="200"/>
        <w:rPr>
          <w:rFonts w:hint="default" w:ascii="仿宋_GB2312" w:eastAsia="仿宋_GB2312"/>
          <w:color w:val="auto"/>
          <w:sz w:val="32"/>
          <w:szCs w:val="32"/>
          <w:highlight w:val="none"/>
          <w:lang w:val="en-US" w:eastAsia="zh-CN"/>
        </w:rPr>
      </w:pPr>
    </w:p>
    <w:p w14:paraId="24825DE7">
      <w:pPr>
        <w:numPr>
          <w:ilvl w:val="0"/>
          <w:numId w:val="0"/>
        </w:num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11.</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类）行政事业单位养老支出（</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款）机关事业单位基本养老保险缴费支出（</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为在职人员缴纳的养老保险单位缴纳部分</w:t>
      </w:r>
      <w:r>
        <w:rPr>
          <w:rFonts w:hint="eastAsia" w:ascii="仿宋_GB2312" w:eastAsia="仿宋_GB2312"/>
          <w:color w:val="auto"/>
          <w:sz w:val="32"/>
          <w:szCs w:val="32"/>
          <w:highlight w:val="none"/>
        </w:rPr>
        <w:t>。</w:t>
      </w:r>
    </w:p>
    <w:p w14:paraId="71805F77">
      <w:pPr>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12.</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类）行政事业单位养老支出（</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款）机关事业单位职业年金缴费支出（</w:t>
      </w:r>
      <w:r>
        <w:rPr>
          <w:rFonts w:hint="eastAsia" w:ascii="仿宋_GB2312" w:eastAsia="仿宋_GB2312"/>
          <w:color w:val="auto"/>
          <w:sz w:val="32"/>
          <w:szCs w:val="32"/>
          <w:highlight w:val="none"/>
          <w:lang w:val="en-US" w:eastAsia="zh-CN"/>
        </w:rPr>
        <w:t>06</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为当年退休人员支付的职业年金支出。</w:t>
      </w:r>
    </w:p>
    <w:p w14:paraId="5FA2D4EE">
      <w:pPr>
        <w:pStyle w:val="6"/>
        <w:ind w:firstLine="640" w:firstLineChars="200"/>
        <w:rPr>
          <w:rFonts w:hint="default"/>
          <w:color w:val="auto"/>
          <w:lang w:val="en-US" w:eastAsia="zh-CN"/>
        </w:rPr>
      </w:pPr>
      <w:r>
        <w:rPr>
          <w:rFonts w:hint="eastAsia"/>
          <w:color w:val="auto"/>
          <w:sz w:val="32"/>
          <w:szCs w:val="32"/>
          <w:highlight w:val="none"/>
          <w:lang w:val="en-US" w:eastAsia="zh-CN"/>
        </w:rPr>
        <w:t>13.社会保障和就业（208）抚血（08）死亡抚血（01）死亡抚血金。</w:t>
      </w:r>
    </w:p>
    <w:p w14:paraId="23E08DE8">
      <w:pPr>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14.</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类）其他社会保障和就业支出（</w:t>
      </w:r>
      <w:r>
        <w:rPr>
          <w:rFonts w:hint="eastAsia" w:ascii="仿宋_GB2312" w:eastAsia="仿宋_GB2312"/>
          <w:color w:val="auto"/>
          <w:sz w:val="32"/>
          <w:szCs w:val="32"/>
          <w:highlight w:val="none"/>
          <w:lang w:val="en-US" w:eastAsia="zh-CN"/>
        </w:rPr>
        <w:t>99</w:t>
      </w:r>
      <w:r>
        <w:rPr>
          <w:rFonts w:hint="eastAsia" w:ascii="仿宋_GB2312" w:eastAsia="仿宋_GB2312"/>
          <w:color w:val="auto"/>
          <w:sz w:val="32"/>
          <w:szCs w:val="32"/>
          <w:highlight w:val="none"/>
        </w:rPr>
        <w:t>款）其他社会保障和就业支出（</w:t>
      </w:r>
      <w:r>
        <w:rPr>
          <w:rFonts w:hint="eastAsia" w:ascii="仿宋_GB2312" w:eastAsia="仿宋_GB2312"/>
          <w:color w:val="auto"/>
          <w:sz w:val="32"/>
          <w:szCs w:val="32"/>
          <w:highlight w:val="none"/>
          <w:lang w:val="en-US" w:eastAsia="zh-CN"/>
        </w:rPr>
        <w:t>99</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为在职人员缴纳工伤保险。</w:t>
      </w:r>
    </w:p>
    <w:p w14:paraId="5D4DE196">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5</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210</w:t>
      </w:r>
      <w:r>
        <w:rPr>
          <w:rFonts w:hint="eastAsia" w:ascii="仿宋_GB2312" w:eastAsia="仿宋_GB2312"/>
          <w:color w:val="auto"/>
          <w:sz w:val="32"/>
          <w:szCs w:val="32"/>
          <w:highlight w:val="none"/>
        </w:rPr>
        <w:t>类）行政事业单位医疗（</w:t>
      </w:r>
      <w:r>
        <w:rPr>
          <w:rFonts w:hint="eastAsia" w:ascii="仿宋_GB2312" w:eastAsia="仿宋_GB2312"/>
          <w:color w:val="auto"/>
          <w:sz w:val="32"/>
          <w:szCs w:val="32"/>
          <w:highlight w:val="none"/>
          <w:lang w:val="en-US" w:eastAsia="zh-CN"/>
        </w:rPr>
        <w:t>11</w:t>
      </w:r>
      <w:r>
        <w:rPr>
          <w:rFonts w:hint="eastAsia" w:ascii="仿宋_GB2312" w:eastAsia="仿宋_GB2312"/>
          <w:color w:val="auto"/>
          <w:sz w:val="32"/>
          <w:szCs w:val="32"/>
          <w:highlight w:val="none"/>
        </w:rPr>
        <w:t>款）行政单位医疗（</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为在职人员缴纳的医疗保险单位部分</w:t>
      </w:r>
      <w:r>
        <w:rPr>
          <w:rFonts w:hint="eastAsia" w:ascii="仿宋_GB2312" w:eastAsia="仿宋_GB2312"/>
          <w:color w:val="auto"/>
          <w:sz w:val="32"/>
          <w:szCs w:val="32"/>
          <w:highlight w:val="none"/>
        </w:rPr>
        <w:t>。</w:t>
      </w:r>
    </w:p>
    <w:p w14:paraId="4680325E">
      <w:pPr>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16.</w:t>
      </w:r>
      <w:r>
        <w:rPr>
          <w:rFonts w:hint="eastAsia" w:ascii="仿宋_GB2312" w:eastAsia="仿宋_GB2312"/>
          <w:color w:val="auto"/>
          <w:sz w:val="32"/>
          <w:szCs w:val="32"/>
          <w:highlight w:val="none"/>
          <w:lang w:eastAsia="zh-CN"/>
        </w:rPr>
        <w:t>卫生健康</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210</w:t>
      </w:r>
      <w:r>
        <w:rPr>
          <w:rFonts w:hint="eastAsia" w:ascii="仿宋_GB2312" w:eastAsia="仿宋_GB2312"/>
          <w:color w:val="auto"/>
          <w:sz w:val="32"/>
          <w:szCs w:val="32"/>
          <w:highlight w:val="none"/>
        </w:rPr>
        <w:t>类）行政事业单位医疗（</w:t>
      </w:r>
      <w:r>
        <w:rPr>
          <w:rFonts w:hint="eastAsia" w:ascii="仿宋_GB2312" w:eastAsia="仿宋_GB2312"/>
          <w:color w:val="auto"/>
          <w:sz w:val="32"/>
          <w:szCs w:val="32"/>
          <w:highlight w:val="none"/>
          <w:lang w:val="en-US" w:eastAsia="zh-CN"/>
        </w:rPr>
        <w:t>11</w:t>
      </w:r>
      <w:r>
        <w:rPr>
          <w:rFonts w:hint="eastAsia" w:ascii="仿宋_GB2312" w:eastAsia="仿宋_GB2312"/>
          <w:color w:val="auto"/>
          <w:sz w:val="32"/>
          <w:szCs w:val="32"/>
          <w:highlight w:val="none"/>
        </w:rPr>
        <w:t>款） 公务员医疗补助（</w:t>
      </w:r>
      <w:r>
        <w:rPr>
          <w:rFonts w:hint="eastAsia" w:ascii="仿宋_GB2312" w:eastAsia="仿宋_GB2312"/>
          <w:color w:val="auto"/>
          <w:sz w:val="32"/>
          <w:szCs w:val="32"/>
          <w:highlight w:val="none"/>
          <w:lang w:val="en-US" w:eastAsia="zh-CN"/>
        </w:rPr>
        <w:t>03</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为在职人员缴纳的公务员医疗补助。</w:t>
      </w:r>
    </w:p>
    <w:p w14:paraId="7ADDFFEF">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7</w:t>
      </w:r>
      <w:r>
        <w:rPr>
          <w:rFonts w:ascii="仿宋_GB2312" w:eastAsia="仿宋_GB2312"/>
          <w:color w:val="auto"/>
          <w:sz w:val="32"/>
          <w:szCs w:val="32"/>
          <w:highlight w:val="none"/>
        </w:rPr>
        <w:t>.</w:t>
      </w:r>
      <w:r>
        <w:rPr>
          <w:rFonts w:hint="eastAsia" w:ascii="仿宋_GB2312" w:eastAsia="仿宋_GB2312"/>
          <w:color w:val="auto"/>
          <w:sz w:val="32"/>
          <w:szCs w:val="32"/>
          <w:highlight w:val="none"/>
        </w:rPr>
        <w:t>农林水（</w:t>
      </w:r>
      <w:r>
        <w:rPr>
          <w:rFonts w:hint="eastAsia" w:ascii="仿宋_GB2312" w:eastAsia="仿宋_GB2312"/>
          <w:color w:val="auto"/>
          <w:sz w:val="32"/>
          <w:szCs w:val="32"/>
          <w:highlight w:val="none"/>
          <w:lang w:val="en-US" w:eastAsia="zh-CN"/>
        </w:rPr>
        <w:t>213</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农业农村</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）其他农业农村支出</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99</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单位驻村队员补助支出</w:t>
      </w:r>
      <w:r>
        <w:rPr>
          <w:rFonts w:hint="eastAsia" w:ascii="仿宋_GB2312" w:eastAsia="仿宋_GB2312"/>
          <w:color w:val="auto"/>
          <w:sz w:val="32"/>
          <w:szCs w:val="32"/>
          <w:highlight w:val="none"/>
        </w:rPr>
        <w:t>。</w:t>
      </w:r>
    </w:p>
    <w:p w14:paraId="5999163D">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18</w:t>
      </w:r>
      <w:r>
        <w:rPr>
          <w:rFonts w:ascii="仿宋_GB2312" w:eastAsia="仿宋_GB2312"/>
          <w:color w:val="auto"/>
          <w:sz w:val="32"/>
          <w:szCs w:val="32"/>
          <w:highlight w:val="none"/>
        </w:rPr>
        <w:t>.</w:t>
      </w:r>
      <w:r>
        <w:rPr>
          <w:rFonts w:hint="eastAsia" w:ascii="仿宋_GB2312" w:eastAsia="仿宋_GB2312"/>
          <w:color w:val="auto"/>
          <w:sz w:val="32"/>
          <w:szCs w:val="32"/>
          <w:highlight w:val="none"/>
        </w:rPr>
        <w:t>住房保障（</w:t>
      </w:r>
      <w:r>
        <w:rPr>
          <w:rFonts w:hint="eastAsia" w:ascii="仿宋_GB2312" w:eastAsia="仿宋_GB2312"/>
          <w:color w:val="auto"/>
          <w:sz w:val="32"/>
          <w:szCs w:val="32"/>
          <w:highlight w:val="none"/>
          <w:lang w:val="en-US" w:eastAsia="zh-CN"/>
        </w:rPr>
        <w:t>221</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住房改革支出</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02</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住房公积金</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单位为在职人员缴纳的住房公积金单位部分</w:t>
      </w:r>
      <w:r>
        <w:rPr>
          <w:rFonts w:hint="eastAsia" w:ascii="仿宋_GB2312" w:eastAsia="仿宋_GB2312"/>
          <w:color w:val="auto"/>
          <w:sz w:val="32"/>
          <w:szCs w:val="32"/>
          <w:highlight w:val="none"/>
        </w:rPr>
        <w:t>。</w:t>
      </w:r>
    </w:p>
    <w:p w14:paraId="461BA5AB">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19</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14:paraId="69432CFF">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20</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384C584C">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lang w:val="en-US" w:eastAsia="zh-CN"/>
        </w:rPr>
        <w:t>1</w:t>
      </w:r>
      <w:r>
        <w:rPr>
          <w:rFonts w:ascii="仿宋_GB2312" w:eastAsia="仿宋_GB2312"/>
          <w:color w:val="auto"/>
          <w:sz w:val="32"/>
          <w:szCs w:val="32"/>
          <w:highlight w:val="none"/>
        </w:rPr>
        <w:t>.</w:t>
      </w:r>
      <w:r>
        <w:rPr>
          <w:rFonts w:hint="eastAsia" w:ascii="仿宋_GB2312" w:eastAsia="仿宋_GB2312"/>
          <w:color w:val="auto"/>
          <w:sz w:val="32"/>
          <w:szCs w:val="32"/>
          <w:highlight w:val="none"/>
        </w:rPr>
        <w:t>经营支出：指事业单位在专业业务活动及其辅助活动之外开展非独立核算经营活动发生的支出。</w:t>
      </w:r>
    </w:p>
    <w:p w14:paraId="78E95EAD">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22</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D0F07B9">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23</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1591BD8">
      <w:pPr>
        <w:spacing w:line="600" w:lineRule="exact"/>
        <w:jc w:val="center"/>
        <w:outlineLvl w:val="0"/>
        <w:rPr>
          <w:rStyle w:val="28"/>
          <w:rFonts w:hint="eastAsia" w:ascii="黑体" w:hAnsi="黑体" w:eastAsia="黑体"/>
          <w:b w:val="0"/>
          <w:color w:val="auto"/>
          <w:highlight w:val="none"/>
          <w:lang w:eastAsia="zh-CN"/>
        </w:rPr>
      </w:pPr>
      <w:bookmarkStart w:id="73" w:name="_Toc15377226"/>
      <w:r>
        <w:rPr>
          <w:rFonts w:ascii="宋体"/>
          <w:b/>
          <w:color w:val="auto"/>
          <w:sz w:val="44"/>
          <w:szCs w:val="44"/>
          <w:highlight w:val="none"/>
        </w:rPr>
        <w:br w:type="page"/>
      </w:r>
      <w:bookmarkStart w:id="74" w:name="_Toc15396614"/>
      <w:bookmarkStart w:id="75" w:name="_Toc20022"/>
      <w:r>
        <w:rPr>
          <w:rFonts w:hint="eastAsia" w:ascii="黑体" w:hAnsi="黑体" w:eastAsia="黑体"/>
          <w:color w:val="auto"/>
          <w:sz w:val="44"/>
          <w:szCs w:val="44"/>
          <w:highlight w:val="none"/>
        </w:rPr>
        <w:t>第</w:t>
      </w:r>
      <w:r>
        <w:rPr>
          <w:rStyle w:val="28"/>
          <w:rFonts w:hint="eastAsia" w:ascii="黑体" w:hAnsi="黑体" w:eastAsia="黑体"/>
          <w:b w:val="0"/>
          <w:color w:val="auto"/>
          <w:highlight w:val="none"/>
        </w:rPr>
        <w:t>四部分 附件</w:t>
      </w:r>
      <w:bookmarkEnd w:id="74"/>
      <w:bookmarkEnd w:id="75"/>
    </w:p>
    <w:p w14:paraId="206F13D0">
      <w:pPr>
        <w:keepNext w:val="0"/>
        <w:keepLines w:val="0"/>
        <w:pageBreakBefore w:val="0"/>
        <w:widowControl/>
        <w:kinsoku/>
        <w:wordWrap/>
        <w:overflowPunct/>
        <w:topLinePunct w:val="0"/>
        <w:autoSpaceDE/>
        <w:autoSpaceDN/>
        <w:bidi w:val="0"/>
        <w:spacing w:line="560" w:lineRule="exact"/>
        <w:contextualSpacing/>
        <w:jc w:val="center"/>
        <w:textAlignment w:val="auto"/>
        <w:rPr>
          <w:rFonts w:hint="eastAsia" w:ascii="宋体" w:hAnsi="宋体"/>
          <w:b/>
          <w:color w:val="auto"/>
          <w:sz w:val="32"/>
          <w:szCs w:val="32"/>
          <w:highlight w:val="none"/>
          <w:shd w:val="clear" w:color="auto" w:fill="FFFFFF"/>
          <w:lang w:eastAsia="zh-CN"/>
        </w:rPr>
      </w:pPr>
    </w:p>
    <w:p w14:paraId="32F4F958">
      <w:pPr>
        <w:keepNext w:val="0"/>
        <w:keepLines w:val="0"/>
        <w:pageBreakBefore w:val="0"/>
        <w:widowControl/>
        <w:kinsoku/>
        <w:wordWrap/>
        <w:overflowPunct/>
        <w:topLinePunct w:val="0"/>
        <w:autoSpaceDE/>
        <w:autoSpaceDN/>
        <w:bidi w:val="0"/>
        <w:spacing w:line="560" w:lineRule="exact"/>
        <w:contextualSpacing/>
        <w:jc w:val="center"/>
        <w:textAlignment w:val="auto"/>
        <w:rPr>
          <w:rFonts w:hint="eastAsia" w:ascii="宋体" w:hAnsi="宋体"/>
          <w:b/>
          <w:color w:val="auto"/>
          <w:sz w:val="32"/>
          <w:szCs w:val="32"/>
          <w:highlight w:val="none"/>
          <w:shd w:val="clear" w:color="auto" w:fill="FFFFFF"/>
          <w:lang w:eastAsia="zh-CN"/>
        </w:rPr>
      </w:pPr>
      <w:r>
        <w:rPr>
          <w:rFonts w:hint="eastAsia" w:ascii="宋体" w:hAnsi="宋体"/>
          <w:b/>
          <w:color w:val="auto"/>
          <w:sz w:val="32"/>
          <w:szCs w:val="32"/>
          <w:highlight w:val="none"/>
          <w:shd w:val="clear" w:color="auto" w:fill="FFFFFF"/>
          <w:lang w:eastAsia="zh-CN"/>
        </w:rPr>
        <w:t>马边彝族自治县档案馆</w:t>
      </w:r>
    </w:p>
    <w:p w14:paraId="474F7BC8">
      <w:pPr>
        <w:keepNext w:val="0"/>
        <w:keepLines w:val="0"/>
        <w:pageBreakBefore w:val="0"/>
        <w:widowControl/>
        <w:kinsoku/>
        <w:wordWrap/>
        <w:overflowPunct/>
        <w:topLinePunct w:val="0"/>
        <w:autoSpaceDE/>
        <w:autoSpaceDN/>
        <w:bidi w:val="0"/>
        <w:spacing w:line="560" w:lineRule="exact"/>
        <w:contextualSpacing/>
        <w:jc w:val="center"/>
        <w:textAlignment w:val="auto"/>
        <w:rPr>
          <w:rFonts w:ascii="宋体" w:hAnsi="宋体" w:eastAsia="宋体"/>
          <w:b/>
          <w:color w:val="auto"/>
          <w:sz w:val="32"/>
          <w:szCs w:val="32"/>
          <w:highlight w:val="none"/>
          <w:shd w:val="clear" w:color="auto" w:fill="FFFFFF"/>
        </w:rPr>
      </w:pPr>
      <w:r>
        <w:rPr>
          <w:rFonts w:hint="eastAsia" w:ascii="宋体" w:hAnsi="宋体" w:eastAsia="宋体"/>
          <w:b/>
          <w:color w:val="auto"/>
          <w:sz w:val="32"/>
          <w:szCs w:val="32"/>
          <w:highlight w:val="none"/>
          <w:shd w:val="clear" w:color="auto" w:fill="FFFFFF"/>
        </w:rPr>
        <w:t>20</w:t>
      </w:r>
      <w:r>
        <w:rPr>
          <w:rFonts w:hint="eastAsia" w:ascii="宋体" w:hAnsi="宋体" w:eastAsia="宋体"/>
          <w:b/>
          <w:color w:val="auto"/>
          <w:sz w:val="32"/>
          <w:szCs w:val="32"/>
          <w:highlight w:val="none"/>
          <w:shd w:val="clear" w:color="auto" w:fill="FFFFFF"/>
          <w:lang w:val="en-US" w:eastAsia="zh-CN"/>
        </w:rPr>
        <w:t>2</w:t>
      </w:r>
      <w:r>
        <w:rPr>
          <w:rFonts w:hint="eastAsia" w:ascii="宋体" w:hAnsi="宋体"/>
          <w:b/>
          <w:color w:val="auto"/>
          <w:sz w:val="32"/>
          <w:szCs w:val="32"/>
          <w:highlight w:val="none"/>
          <w:shd w:val="clear" w:color="auto" w:fill="FFFFFF"/>
          <w:lang w:val="en-US" w:eastAsia="zh-CN"/>
        </w:rPr>
        <w:t>4</w:t>
      </w:r>
      <w:r>
        <w:rPr>
          <w:rFonts w:hint="eastAsia" w:ascii="宋体" w:hAnsi="宋体" w:eastAsia="宋体"/>
          <w:b/>
          <w:color w:val="auto"/>
          <w:sz w:val="32"/>
          <w:szCs w:val="32"/>
          <w:highlight w:val="none"/>
          <w:shd w:val="clear" w:color="auto" w:fill="FFFFFF"/>
        </w:rPr>
        <w:t>年</w:t>
      </w:r>
      <w:r>
        <w:rPr>
          <w:rFonts w:hint="eastAsia" w:ascii="宋体" w:hAnsi="宋体"/>
          <w:b/>
          <w:color w:val="auto"/>
          <w:sz w:val="32"/>
          <w:szCs w:val="32"/>
          <w:highlight w:val="none"/>
          <w:shd w:val="clear" w:color="auto" w:fill="FFFFFF"/>
          <w:lang w:eastAsia="zh-CN"/>
        </w:rPr>
        <w:t>单位</w:t>
      </w:r>
      <w:r>
        <w:rPr>
          <w:rFonts w:hint="eastAsia" w:ascii="宋体" w:hAnsi="宋体" w:eastAsia="宋体"/>
          <w:b/>
          <w:color w:val="auto"/>
          <w:sz w:val="32"/>
          <w:szCs w:val="32"/>
          <w:highlight w:val="none"/>
          <w:shd w:val="clear" w:color="auto" w:fill="FFFFFF"/>
        </w:rPr>
        <w:t>整体绩效评价报告</w:t>
      </w:r>
    </w:p>
    <w:p w14:paraId="3EBE84C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p>
    <w:p w14:paraId="4636390F">
      <w:pPr>
        <w:keepNext w:val="0"/>
        <w:keepLines w:val="0"/>
        <w:pageBreakBefore w:val="0"/>
        <w:widowControl/>
        <w:numPr>
          <w:ilvl w:val="0"/>
          <w:numId w:val="4"/>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黑体" w:hAnsi="宋体" w:eastAsia="黑体" w:cs="宋体"/>
          <w:color w:val="auto"/>
          <w:kern w:val="0"/>
          <w:sz w:val="32"/>
          <w:szCs w:val="32"/>
          <w:highlight w:val="none"/>
          <w:shd w:val="clear" w:color="auto" w:fill="FFFFFF"/>
          <w:lang w:val="zh-CN"/>
        </w:rPr>
      </w:pPr>
      <w:r>
        <w:rPr>
          <w:rFonts w:hint="eastAsia" w:ascii="黑体" w:hAnsi="宋体" w:eastAsia="黑体" w:cs="宋体"/>
          <w:color w:val="auto"/>
          <w:kern w:val="0"/>
          <w:sz w:val="32"/>
          <w:szCs w:val="32"/>
          <w:highlight w:val="none"/>
          <w:shd w:val="clear" w:color="auto" w:fill="FFFFFF"/>
          <w:lang w:val="zh-CN"/>
        </w:rPr>
        <w:t>单位基本情况</w:t>
      </w:r>
    </w:p>
    <w:p w14:paraId="65EFD242">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（一）机构组成。</w:t>
      </w:r>
      <w:r>
        <w:rPr>
          <w:rFonts w:hint="eastAsia" w:ascii="仿宋_GB2312" w:hAnsi="仿宋_GB2312" w:eastAsia="仿宋_GB2312" w:cs="仿宋_GB2312"/>
          <w:color w:val="auto"/>
          <w:sz w:val="32"/>
          <w:szCs w:val="32"/>
        </w:rPr>
        <w:t>县档案馆</w:t>
      </w:r>
      <w:r>
        <w:rPr>
          <w:rFonts w:hint="eastAsia" w:ascii="仿宋_GB2312" w:hAnsi="仿宋_GB2312" w:eastAsia="仿宋_GB2312" w:cs="仿宋_GB2312"/>
          <w:color w:val="auto"/>
          <w:sz w:val="32"/>
          <w:szCs w:val="32"/>
          <w:lang w:val="en-US" w:eastAsia="zh-CN"/>
        </w:rPr>
        <w:t>属县委直属参公事业单位，县档案馆</w:t>
      </w:r>
      <w:r>
        <w:rPr>
          <w:rFonts w:hint="eastAsia" w:ascii="仿宋_GB2312" w:hAnsi="仿宋_GB2312" w:eastAsia="仿宋_GB2312" w:cs="仿宋_GB2312"/>
          <w:color w:val="auto"/>
          <w:sz w:val="32"/>
          <w:szCs w:val="32"/>
        </w:rPr>
        <w:t>预算单位 1 个，其中：行政单位 0 个，事业单位 1 个。县档案馆内设办公室、管理利用股、信息化和编研股三个股室</w:t>
      </w:r>
      <w:r>
        <w:rPr>
          <w:rFonts w:hint="eastAsia" w:ascii="仿宋_GB2312" w:hAnsi="仿宋_GB2312" w:eastAsia="仿宋_GB2312" w:cs="仿宋_GB2312"/>
          <w:color w:val="auto"/>
          <w:sz w:val="32"/>
          <w:szCs w:val="32"/>
          <w:lang w:eastAsia="zh-CN"/>
        </w:rPr>
        <w:t>。</w:t>
      </w:r>
    </w:p>
    <w:p w14:paraId="44CDBCB8">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（二）机构职能和人员概况</w:t>
      </w:r>
    </w:p>
    <w:p w14:paraId="52A9E599">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1.机构职能。</w:t>
      </w:r>
      <w:r>
        <w:rPr>
          <w:rFonts w:hint="eastAsia" w:ascii="仿宋_GB2312" w:hAnsi="仿宋_GB2312" w:eastAsia="仿宋_GB2312" w:cs="仿宋_GB2312"/>
          <w:color w:val="auto"/>
          <w:sz w:val="32"/>
          <w:szCs w:val="32"/>
        </w:rPr>
        <w:t>贯彻执行国家、省、市有关档案工作的法 律法规和方针政策；拟定县档案馆发展规划、年度计划和规范性文件并组织实施；负责收集和接收保管全县范围内对国家和社会有保存价值的档案，承担全县自然、政治、社会、经济、文化等方面历史与现状资料的收集、整理、抢救、保护和编纂、出版工作；按照规定整理和保管档案、资料，承担县档案馆馆藏档案、资料的安全责任；按规定组织开发利用档案，按规定发布档案信息</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为社会利用档案提供服务；收集政府公开文件，依法为公民、法人或者其他组织提供政府公开信息服务，配合有关门开展相关社会教育服务工作；拟定县档案馆档案信息化和数字档案馆建设规划，管理档案信息资源库，负责全县电子档案的接收和管理工作；承担职责范围内的安全生产和职业健康、生态环境保护等工作；承办县委、县政府和上级业务部门交办的其他事项</w:t>
      </w:r>
      <w:r>
        <w:rPr>
          <w:rFonts w:hint="eastAsia" w:ascii="仿宋_GB2312" w:hAnsi="仿宋_GB2312" w:eastAsia="仿宋_GB2312" w:cs="仿宋_GB2312"/>
          <w:color w:val="auto"/>
          <w:sz w:val="32"/>
          <w:szCs w:val="32"/>
          <w:lang w:eastAsia="zh-CN"/>
        </w:rPr>
        <w:t>。</w:t>
      </w:r>
    </w:p>
    <w:p w14:paraId="59094FC3">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kern w:val="0"/>
          <w:sz w:val="32"/>
          <w:szCs w:val="32"/>
          <w:highlight w:val="none"/>
          <w:shd w:val="clear" w:color="auto" w:fill="FFFFFF"/>
          <w:lang w:val="en-US" w:eastAsia="zh-CN"/>
        </w:rPr>
        <w:t>2.人员概况。</w:t>
      </w:r>
      <w:r>
        <w:rPr>
          <w:rFonts w:hint="eastAsia" w:ascii="仿宋_GB2312" w:hAnsi="仿宋_GB2312" w:eastAsia="仿宋_GB2312" w:cs="仿宋_GB2312"/>
          <w:color w:val="auto"/>
          <w:sz w:val="32"/>
          <w:szCs w:val="32"/>
        </w:rPr>
        <w:t>县档案馆总编制 8 名，其中：行政编制 0 名， 工勤编制 0 名，事业编制 7 名，临时人员编制 1 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实际</w:t>
      </w:r>
      <w:r>
        <w:rPr>
          <w:rFonts w:hint="eastAsia" w:ascii="仿宋_GB2312" w:hAnsi="仿宋_GB2312" w:eastAsia="仿宋_GB2312" w:cs="仿宋_GB2312"/>
          <w:color w:val="auto"/>
          <w:sz w:val="32"/>
          <w:szCs w:val="32"/>
        </w:rPr>
        <w:t>在职人员总数</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 xml:space="preserve">名，其中：行政 0 名，工勤 0 名，事业 </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名，临时人员 1 名。</w:t>
      </w:r>
    </w:p>
    <w:p w14:paraId="68088EA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楷体_GB2312" w:hAnsi="楷体_GB2312" w:eastAsia="楷体_GB2312" w:cs="楷体_GB2312"/>
          <w:b w:val="0"/>
          <w:bCs w:val="0"/>
          <w:color w:val="auto"/>
          <w:kern w:val="0"/>
          <w:sz w:val="32"/>
          <w:szCs w:val="32"/>
          <w:highlight w:val="none"/>
          <w:shd w:val="clear" w:color="auto" w:fill="FFFFFF"/>
          <w:lang w:val="zh-CN"/>
        </w:rPr>
        <w:t>（三）年度主要工作任务</w:t>
      </w:r>
    </w:p>
    <w:p w14:paraId="75A3EC77">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1.强档案安全管理工作。</w:t>
      </w:r>
      <w:r>
        <w:rPr>
          <w:rFonts w:hint="eastAsia" w:ascii="仿宋_GB2312" w:hAnsi="仿宋_GB2312" w:eastAsia="仿宋_GB2312" w:cs="仿宋_GB2312"/>
          <w:color w:val="auto"/>
          <w:sz w:val="32"/>
          <w:szCs w:val="32"/>
          <w:lang w:val="en-US" w:eastAsia="zh-CN"/>
        </w:rPr>
        <w:t>对档案库房进行定期或不定期的安全检查，做到档案库房“八防”措施，确保馆藏档案的安全。</w:t>
      </w:r>
    </w:p>
    <w:p w14:paraId="101B40C0">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2.做好档案查阅利用服务工作。</w:t>
      </w:r>
      <w:r>
        <w:rPr>
          <w:rFonts w:hint="eastAsia" w:ascii="仿宋_GB2312" w:hAnsi="仿宋_GB2312" w:eastAsia="仿宋_GB2312" w:cs="仿宋_GB2312"/>
          <w:color w:val="auto"/>
          <w:sz w:val="32"/>
          <w:szCs w:val="32"/>
          <w:lang w:val="en-US" w:eastAsia="zh-CN"/>
        </w:rPr>
        <w:t>严格按照档案查阅利用的流程，做到“认真负责、积极主动、热情耐心、细致周到、文明礼貌”优良的服务态度，使来查阅档案的人感到亲切、热情、朴实、真诚感。</w:t>
      </w:r>
    </w:p>
    <w:p w14:paraId="2327B47C">
      <w:pPr>
        <w:keepNext w:val="0"/>
        <w:keepLines w:val="0"/>
        <w:pageBreakBefore w:val="0"/>
        <w:kinsoku/>
        <w:wordWrap/>
        <w:overflowPunct/>
        <w:topLinePunct w:val="0"/>
        <w:autoSpaceDE/>
        <w:autoSpaceDN/>
        <w:bidi w:val="0"/>
        <w:adjustRightInd/>
        <w:snapToGrid/>
        <w:spacing w:line="520" w:lineRule="exact"/>
        <w:ind w:firstLine="643" w:firstLineChars="200"/>
        <w:rPr>
          <w:rFonts w:hint="eastAsia" w:ascii="仿宋_GB2312" w:eastAsia="仿宋_GB2312"/>
          <w:color w:val="auto"/>
          <w:sz w:val="32"/>
          <w:szCs w:val="32"/>
          <w:lang w:val="en-US" w:eastAsia="zh-CN"/>
        </w:rPr>
      </w:pPr>
      <w:r>
        <w:rPr>
          <w:rFonts w:hint="eastAsia" w:ascii="仿宋_GB2312" w:eastAsia="仿宋_GB2312"/>
          <w:b/>
          <w:color w:val="auto"/>
          <w:sz w:val="32"/>
          <w:szCs w:val="32"/>
          <w:lang w:val="en-US" w:eastAsia="zh-CN"/>
        </w:rPr>
        <w:t>3.</w:t>
      </w:r>
      <w:r>
        <w:rPr>
          <w:rFonts w:hint="eastAsia" w:ascii="仿宋_GB2312" w:eastAsia="仿宋_GB2312"/>
          <w:b/>
          <w:color w:val="auto"/>
          <w:sz w:val="32"/>
          <w:szCs w:val="32"/>
        </w:rPr>
        <w:t>加大档案业务指导，确保</w:t>
      </w:r>
      <w:r>
        <w:rPr>
          <w:rFonts w:hint="eastAsia" w:ascii="仿宋_GB2312" w:eastAsia="仿宋_GB2312"/>
          <w:b/>
          <w:color w:val="auto"/>
          <w:sz w:val="32"/>
          <w:szCs w:val="32"/>
          <w:lang w:eastAsia="zh-CN"/>
        </w:rPr>
        <w:t>各类档案应收尽收</w:t>
      </w:r>
      <w:r>
        <w:rPr>
          <w:rFonts w:hint="eastAsia" w:ascii="仿宋_GB2312" w:eastAsia="仿宋_GB2312"/>
          <w:b/>
          <w:color w:val="auto"/>
          <w:sz w:val="32"/>
          <w:szCs w:val="32"/>
        </w:rPr>
        <w:t>。</w:t>
      </w:r>
      <w:r>
        <w:rPr>
          <w:rFonts w:hint="eastAsia" w:ascii="仿宋_GB2312" w:eastAsia="仿宋_GB2312"/>
          <w:color w:val="auto"/>
          <w:sz w:val="32"/>
          <w:szCs w:val="32"/>
        </w:rPr>
        <w:t>继续加大到期档案</w:t>
      </w:r>
      <w:r>
        <w:rPr>
          <w:rFonts w:hint="eastAsia" w:ascii="仿宋_GB2312" w:eastAsia="仿宋_GB2312"/>
          <w:color w:val="auto"/>
          <w:sz w:val="32"/>
          <w:szCs w:val="32"/>
          <w:lang w:eastAsia="zh-CN"/>
        </w:rPr>
        <w:t>和两类档案（脱贫攻坚档案和新冠肺炎疫情防控档案）</w:t>
      </w:r>
      <w:r>
        <w:rPr>
          <w:rFonts w:hint="eastAsia" w:ascii="仿宋_GB2312" w:eastAsia="仿宋_GB2312"/>
          <w:color w:val="auto"/>
          <w:sz w:val="32"/>
          <w:szCs w:val="32"/>
        </w:rPr>
        <w:t>接收进馆工作的指导和督促力度，</w:t>
      </w:r>
      <w:r>
        <w:rPr>
          <w:rFonts w:hint="eastAsia" w:ascii="仿宋_GB2312" w:eastAsia="仿宋_GB2312"/>
          <w:color w:val="auto"/>
          <w:sz w:val="32"/>
          <w:szCs w:val="32"/>
          <w:shd w:val="clear" w:color="auto" w:fill="FFFFFF"/>
        </w:rPr>
        <w:t>严格按照进馆要求做好档案接收工作，</w:t>
      </w:r>
      <w:r>
        <w:rPr>
          <w:rFonts w:hint="eastAsia" w:ascii="仿宋_GB2312" w:eastAsia="仿宋_GB2312"/>
          <w:color w:val="auto"/>
          <w:sz w:val="32"/>
          <w:szCs w:val="32"/>
          <w:shd w:val="clear" w:color="auto" w:fill="FFFFFF"/>
          <w:lang w:eastAsia="zh-CN"/>
        </w:rPr>
        <w:t>确保</w:t>
      </w:r>
      <w:r>
        <w:rPr>
          <w:rFonts w:hint="eastAsia" w:ascii="仿宋_GB2312" w:eastAsia="仿宋_GB2312"/>
          <w:color w:val="auto"/>
          <w:sz w:val="32"/>
          <w:szCs w:val="32"/>
          <w:lang w:eastAsia="zh-CN"/>
        </w:rPr>
        <w:t>各类档案</w:t>
      </w:r>
      <w:r>
        <w:rPr>
          <w:rFonts w:hint="eastAsia" w:ascii="仿宋_GB2312" w:eastAsia="仿宋_GB2312"/>
          <w:color w:val="auto"/>
          <w:sz w:val="32"/>
          <w:szCs w:val="32"/>
        </w:rPr>
        <w:t>接收工作的全面完成。</w:t>
      </w:r>
    </w:p>
    <w:p w14:paraId="0024D4A6">
      <w:pPr>
        <w:pStyle w:val="13"/>
        <w:keepNext w:val="0"/>
        <w:keepLines w:val="0"/>
        <w:pageBreakBefore w:val="0"/>
        <w:shd w:val="clear" w:color="auto" w:fill="FFFFFF"/>
        <w:kinsoku/>
        <w:wordWrap/>
        <w:overflowPunct/>
        <w:topLinePunct w:val="0"/>
        <w:autoSpaceDE/>
        <w:autoSpaceDN/>
        <w:bidi w:val="0"/>
        <w:adjustRightInd/>
        <w:snapToGrid/>
        <w:spacing w:before="0" w:beforeAutospacing="0" w:after="30" w:afterAutospacing="0" w:line="520" w:lineRule="exact"/>
        <w:ind w:firstLine="643" w:firstLineChars="200"/>
        <w:rPr>
          <w:rFonts w:hint="eastAsia" w:ascii="仿宋_GB2312" w:hAnsi="仿宋_GB2312" w:eastAsia="仿宋_GB2312" w:cs="仿宋_GB2312"/>
          <w:color w:val="auto"/>
          <w:sz w:val="32"/>
          <w:szCs w:val="32"/>
          <w:lang w:eastAsia="zh-CN"/>
        </w:rPr>
      </w:pPr>
      <w:r>
        <w:rPr>
          <w:rFonts w:hint="eastAsia" w:ascii="仿宋_GB2312" w:hAnsi="黑体" w:eastAsia="仿宋_GB2312"/>
          <w:b/>
          <w:color w:val="auto"/>
          <w:sz w:val="32"/>
          <w:szCs w:val="32"/>
          <w:lang w:val="en-US" w:eastAsia="zh-CN"/>
        </w:rPr>
        <w:t>4.</w:t>
      </w:r>
      <w:r>
        <w:rPr>
          <w:rFonts w:hint="eastAsia" w:ascii="仿宋_GB2312" w:hAnsi="黑体" w:eastAsia="仿宋_GB2312"/>
          <w:b/>
          <w:color w:val="auto"/>
          <w:sz w:val="32"/>
          <w:szCs w:val="32"/>
        </w:rPr>
        <w:t>继续抓好馆藏档案数字化加工。</w:t>
      </w:r>
      <w:r>
        <w:rPr>
          <w:rFonts w:hint="eastAsia" w:ascii="仿宋_GB2312" w:hAnsi="黑体" w:eastAsia="仿宋_GB2312"/>
          <w:color w:val="auto"/>
          <w:sz w:val="32"/>
          <w:szCs w:val="32"/>
        </w:rPr>
        <w:t>按照《数字化档案馆（室）建设指南》的要求，统筹分步，积极推进数字档案馆的建设。</w:t>
      </w:r>
    </w:p>
    <w:p w14:paraId="24CB3089">
      <w:pPr>
        <w:keepNext w:val="0"/>
        <w:keepLines w:val="0"/>
        <w:pageBreakBefore w:val="0"/>
        <w:numPr>
          <w:ilvl w:val="0"/>
          <w:numId w:val="0"/>
        </w:numPr>
        <w:kinsoku/>
        <w:wordWrap/>
        <w:overflowPunct/>
        <w:topLinePunct w:val="0"/>
        <w:autoSpaceDE/>
        <w:autoSpaceDN/>
        <w:bidi w:val="0"/>
        <w:adjustRightInd/>
        <w:snapToGrid/>
        <w:spacing w:line="520" w:lineRule="exact"/>
        <w:ind w:firstLine="643" w:firstLineChars="200"/>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仿宋_GB2312" w:hAnsi="仿宋_GB2312" w:eastAsia="仿宋_GB2312" w:cs="仿宋_GB2312"/>
          <w:b/>
          <w:bCs/>
          <w:color w:val="auto"/>
          <w:sz w:val="32"/>
          <w:szCs w:val="32"/>
          <w:lang w:val="en-US" w:eastAsia="zh-CN"/>
        </w:rPr>
        <w:t>5.扎实开展档案编研工作。</w:t>
      </w:r>
      <w:r>
        <w:rPr>
          <w:rFonts w:hint="eastAsia" w:ascii="仿宋_GB2312" w:hAnsi="仿宋_GB2312" w:eastAsia="仿宋_GB2312" w:cs="仿宋_GB2312"/>
          <w:color w:val="auto"/>
          <w:sz w:val="32"/>
          <w:szCs w:val="32"/>
          <w:lang w:val="en-US" w:eastAsia="zh-CN"/>
        </w:rPr>
        <w:t>深入挖掘地方特色文化内涵，提炼历史文化精髓，开放馆藏优质资源，积极开展档案史料整理研究，编纂出版具有地方特色、档案历史价值、良好社会影响的档案文化作品。完善</w:t>
      </w:r>
      <w:r>
        <w:rPr>
          <w:rFonts w:hint="eastAsia" w:ascii="仿宋_GB2312" w:hAnsi="仿宋_GB2312" w:eastAsia="仿宋_GB2312" w:cs="仿宋_GB2312"/>
          <w:color w:val="auto"/>
          <w:sz w:val="32"/>
          <w:szCs w:val="32"/>
          <w:lang w:eastAsia="zh-CN"/>
        </w:rPr>
        <w:t>《档案资料汇编》(第1期)资料数据和图片，力争</w:t>
      </w:r>
      <w:r>
        <w:rPr>
          <w:rFonts w:hint="eastAsia" w:ascii="仿宋_GB2312" w:hAnsi="仿宋_GB2312" w:eastAsia="仿宋_GB2312" w:cs="仿宋_GB2312"/>
          <w:color w:val="auto"/>
          <w:sz w:val="32"/>
          <w:szCs w:val="32"/>
          <w:lang w:val="en-US" w:eastAsia="zh-CN"/>
        </w:rPr>
        <w:t>2024年12月</w:t>
      </w:r>
      <w:r>
        <w:rPr>
          <w:rFonts w:hint="eastAsia" w:ascii="仿宋_GB2312" w:hAnsi="仿宋_GB2312" w:eastAsia="仿宋_GB2312" w:cs="仿宋_GB2312"/>
          <w:color w:val="auto"/>
          <w:sz w:val="32"/>
          <w:szCs w:val="32"/>
          <w:lang w:eastAsia="zh-CN"/>
        </w:rPr>
        <w:t>底前印刷出版。</w:t>
      </w:r>
    </w:p>
    <w:p w14:paraId="56D049E6">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w:t>
      </w:r>
      <w:r>
        <w:rPr>
          <w:rFonts w:hint="eastAsia" w:ascii="楷体_GB2312" w:hAnsi="楷体_GB2312" w:eastAsia="楷体_GB2312" w:cs="楷体_GB2312"/>
          <w:b w:val="0"/>
          <w:bCs w:val="0"/>
          <w:color w:val="auto"/>
          <w:kern w:val="0"/>
          <w:sz w:val="32"/>
          <w:szCs w:val="32"/>
          <w:highlight w:val="none"/>
          <w:shd w:val="clear" w:color="auto" w:fill="FFFFFF"/>
          <w:lang w:val="zh-CN"/>
        </w:rPr>
        <w:t>四）单位整体支出绩效目标</w:t>
      </w:r>
    </w:p>
    <w:p w14:paraId="0759DC7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color w:val="auto"/>
          <w:lang w:val="zh-CN"/>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档案工作将以全面贯彻落实习近平新时代中国特色社会主义思想为指引，认真贯彻落实全国档案工作会议精神，围绕中心、服务大局，进一步聚焦主责主业，健全“三个体系”建设，突出五项基本功能，不断提高档案保管利用能力，努力发挥档案工作的基础性、支撑性作用，为我县经济建设和社会发展提供更好地服务。</w:t>
      </w:r>
      <w:r>
        <w:rPr>
          <w:rFonts w:hint="eastAsia" w:ascii="仿宋_GB2312" w:hAnsi="仿宋_GB2312" w:eastAsia="仿宋_GB2312" w:cs="仿宋_GB2312"/>
          <w:color w:val="auto"/>
          <w:sz w:val="32"/>
          <w:szCs w:val="32"/>
          <w:lang w:val="en-US" w:eastAsia="zh-CN"/>
        </w:rPr>
        <w:t>2024年计划完成馆藏档案数字化1000卷，编辑出版馆藏档案编研材料1部。</w:t>
      </w:r>
    </w:p>
    <w:p w14:paraId="484B993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二、</w:t>
      </w:r>
      <w:r>
        <w:rPr>
          <w:rFonts w:hint="eastAsia" w:ascii="黑体" w:hAnsi="宋体" w:eastAsia="黑体" w:cs="宋体"/>
          <w:color w:val="auto"/>
          <w:kern w:val="0"/>
          <w:sz w:val="32"/>
          <w:szCs w:val="32"/>
          <w:highlight w:val="none"/>
          <w:shd w:val="clear" w:color="auto" w:fill="FFFFFF"/>
          <w:lang w:eastAsia="zh-CN"/>
        </w:rPr>
        <w:t>单位</w:t>
      </w:r>
      <w:r>
        <w:rPr>
          <w:rFonts w:hint="eastAsia" w:ascii="黑体" w:hAnsi="宋体" w:eastAsia="黑体" w:cs="宋体"/>
          <w:color w:val="auto"/>
          <w:kern w:val="0"/>
          <w:sz w:val="32"/>
          <w:szCs w:val="32"/>
          <w:highlight w:val="none"/>
          <w:shd w:val="clear" w:color="auto" w:fill="FFFFFF"/>
        </w:rPr>
        <w:t>资金收支情况</w:t>
      </w:r>
    </w:p>
    <w:p w14:paraId="1C73F3C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楷体_GB2312" w:hAnsi="楷体_GB2312" w:eastAsia="楷体_GB2312" w:cs="楷体_GB2312"/>
          <w:b w:val="0"/>
          <w:bCs w:val="0"/>
          <w:color w:val="auto"/>
          <w:kern w:val="0"/>
          <w:sz w:val="32"/>
          <w:szCs w:val="32"/>
          <w:highlight w:val="none"/>
          <w:shd w:val="clear" w:color="auto" w:fill="FFFFFF"/>
          <w:lang w:val="zh-CN"/>
        </w:rPr>
      </w:pPr>
      <w:r>
        <w:rPr>
          <w:rFonts w:hint="eastAsia" w:ascii="楷体_GB2312" w:hAnsi="楷体_GB2312" w:eastAsia="楷体_GB2312" w:cs="楷体_GB2312"/>
          <w:b w:val="0"/>
          <w:bCs w:val="0"/>
          <w:color w:val="auto"/>
          <w:kern w:val="0"/>
          <w:sz w:val="32"/>
          <w:szCs w:val="32"/>
          <w:highlight w:val="none"/>
          <w:shd w:val="clear" w:color="auto" w:fill="FFFFFF"/>
          <w:lang w:val="zh-CN"/>
        </w:rPr>
        <w:t>（一）单位总体收支情况</w:t>
      </w:r>
    </w:p>
    <w:p w14:paraId="1ED3467A">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highlight w:val="none"/>
          <w:shd w:val="clear" w:color="auto" w:fill="FFFFFF"/>
          <w:lang w:val="en-US" w:eastAsia="zh-CN"/>
        </w:rPr>
        <w:t>1.单位总体收入情况。</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年，县档案馆部门预算收入</w:t>
      </w:r>
      <w:r>
        <w:rPr>
          <w:rFonts w:hint="eastAsia" w:ascii="仿宋_GB2312" w:hAnsi="仿宋_GB2312" w:eastAsia="仿宋_GB2312" w:cs="仿宋_GB2312"/>
          <w:color w:val="auto"/>
          <w:sz w:val="32"/>
          <w:szCs w:val="32"/>
          <w:lang w:val="en-US" w:eastAsia="zh-CN"/>
        </w:rPr>
        <w:t>164.85</w:t>
      </w:r>
      <w:r>
        <w:rPr>
          <w:rFonts w:hint="eastAsia" w:ascii="仿宋_GB2312" w:hAnsi="仿宋_GB2312" w:eastAsia="仿宋_GB2312" w:cs="仿宋_GB2312"/>
          <w:color w:val="auto"/>
          <w:sz w:val="32"/>
          <w:szCs w:val="32"/>
        </w:rPr>
        <w:t>万元，其中基本支出预算收入</w:t>
      </w:r>
      <w:r>
        <w:rPr>
          <w:rFonts w:hint="eastAsia" w:ascii="仿宋_GB2312" w:hAnsi="仿宋_GB2312" w:eastAsia="仿宋_GB2312" w:cs="仿宋_GB2312"/>
          <w:color w:val="auto"/>
          <w:sz w:val="32"/>
          <w:szCs w:val="32"/>
          <w:lang w:val="en-US" w:eastAsia="zh-CN"/>
        </w:rPr>
        <w:t>141.20</w:t>
      </w:r>
      <w:r>
        <w:rPr>
          <w:rFonts w:hint="eastAsia" w:ascii="仿宋_GB2312" w:hAnsi="仿宋_GB2312" w:eastAsia="仿宋_GB2312" w:cs="仿宋_GB2312"/>
          <w:color w:val="auto"/>
          <w:sz w:val="32"/>
          <w:szCs w:val="32"/>
        </w:rPr>
        <w:t>万元，项目支出预算收入</w:t>
      </w:r>
      <w:r>
        <w:rPr>
          <w:rFonts w:hint="eastAsia" w:ascii="仿宋_GB2312" w:hAnsi="仿宋_GB2312" w:eastAsia="仿宋_GB2312" w:cs="仿宋_GB2312"/>
          <w:color w:val="auto"/>
          <w:sz w:val="32"/>
          <w:szCs w:val="32"/>
          <w:lang w:val="en-US" w:eastAsia="zh-CN"/>
        </w:rPr>
        <w:t>23.65</w:t>
      </w:r>
      <w:r>
        <w:rPr>
          <w:rFonts w:hint="eastAsia" w:ascii="仿宋_GB2312" w:hAnsi="仿宋_GB2312" w:eastAsia="仿宋_GB2312" w:cs="仿宋_GB2312"/>
          <w:color w:val="auto"/>
          <w:sz w:val="32"/>
          <w:szCs w:val="32"/>
        </w:rPr>
        <w:t>万元。</w:t>
      </w:r>
    </w:p>
    <w:p w14:paraId="3771C17F">
      <w:pPr>
        <w:pStyle w:val="6"/>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hAnsi="仿宋_GB2312" w:cs="仿宋_GB2312"/>
          <w:color w:val="auto"/>
          <w:sz w:val="32"/>
          <w:szCs w:val="32"/>
          <w:lang w:val="en-US" w:eastAsia="zh-CN"/>
        </w:rPr>
        <w:t xml:space="preserve">    </w:t>
      </w:r>
      <w:r>
        <w:rPr>
          <w:rFonts w:hint="eastAsia" w:hAnsi="仿宋_GB2312" w:cs="仿宋_GB2312"/>
          <w:b/>
          <w:bCs/>
          <w:color w:val="auto"/>
          <w:sz w:val="32"/>
          <w:szCs w:val="32"/>
          <w:lang w:val="en-US" w:eastAsia="zh-CN"/>
        </w:rPr>
        <w:t>2.单位总</w:t>
      </w:r>
      <w:r>
        <w:rPr>
          <w:rFonts w:hint="eastAsia" w:ascii="楷体" w:hAnsi="楷体" w:eastAsia="楷体" w:cs="楷体"/>
          <w:b/>
          <w:bCs/>
          <w:color w:val="auto"/>
          <w:kern w:val="0"/>
          <w:sz w:val="32"/>
          <w:szCs w:val="32"/>
          <w:highlight w:val="none"/>
          <w:shd w:val="clear" w:color="auto" w:fill="FFFFFF"/>
          <w:lang w:val="en-US" w:eastAsia="zh-CN"/>
        </w:rPr>
        <w:t>体支出情况。</w:t>
      </w:r>
      <w:r>
        <w:rPr>
          <w:rFonts w:hint="eastAsia" w:ascii="仿宋_GB2312" w:hAnsi="仿宋_GB2312" w:eastAsia="仿宋_GB2312" w:cs="仿宋_GB2312"/>
          <w:color w:val="auto"/>
          <w:sz w:val="32"/>
          <w:szCs w:val="32"/>
        </w:rPr>
        <w:t>202</w:t>
      </w:r>
      <w:r>
        <w:rPr>
          <w:rFonts w:hint="eastAsia" w:hAnsi="仿宋_GB2312" w:cs="仿宋_GB2312"/>
          <w:color w:val="auto"/>
          <w:sz w:val="32"/>
          <w:szCs w:val="32"/>
          <w:lang w:val="en-US" w:eastAsia="zh-CN"/>
        </w:rPr>
        <w:t>4</w:t>
      </w:r>
      <w:r>
        <w:rPr>
          <w:rFonts w:hint="eastAsia" w:ascii="仿宋_GB2312" w:hAnsi="仿宋_GB2312" w:eastAsia="仿宋_GB2312" w:cs="仿宋_GB2312"/>
          <w:color w:val="auto"/>
          <w:sz w:val="32"/>
          <w:szCs w:val="32"/>
        </w:rPr>
        <w:t>年，县档案馆部门财政预算支出</w:t>
      </w:r>
      <w:r>
        <w:rPr>
          <w:rFonts w:hint="eastAsia" w:hAnsi="仿宋_GB2312" w:cs="仿宋_GB2312"/>
          <w:color w:val="auto"/>
          <w:sz w:val="32"/>
          <w:szCs w:val="32"/>
          <w:lang w:val="en-US" w:eastAsia="zh-CN"/>
        </w:rPr>
        <w:t>164.85</w:t>
      </w:r>
      <w:r>
        <w:rPr>
          <w:rFonts w:hint="eastAsia" w:ascii="仿宋_GB2312" w:hAnsi="仿宋_GB2312" w:eastAsia="仿宋_GB2312" w:cs="仿宋_GB2312"/>
          <w:color w:val="auto"/>
          <w:sz w:val="32"/>
          <w:szCs w:val="32"/>
        </w:rPr>
        <w:t>万元，其中基本支出</w:t>
      </w:r>
      <w:r>
        <w:rPr>
          <w:rFonts w:hint="eastAsia" w:hAnsi="仿宋_GB2312" w:cs="仿宋_GB2312"/>
          <w:color w:val="auto"/>
          <w:sz w:val="32"/>
          <w:szCs w:val="32"/>
          <w:lang w:val="en-US" w:eastAsia="zh-CN"/>
        </w:rPr>
        <w:t>141.20</w:t>
      </w:r>
      <w:r>
        <w:rPr>
          <w:rFonts w:hint="eastAsia" w:ascii="仿宋_GB2312" w:hAnsi="仿宋_GB2312" w:eastAsia="仿宋_GB2312" w:cs="仿宋_GB2312"/>
          <w:color w:val="auto"/>
          <w:sz w:val="32"/>
          <w:szCs w:val="32"/>
        </w:rPr>
        <w:t>万元，项目支出</w:t>
      </w:r>
      <w:r>
        <w:rPr>
          <w:rFonts w:hint="eastAsia" w:hAnsi="仿宋_GB2312" w:cs="仿宋_GB2312"/>
          <w:color w:val="auto"/>
          <w:sz w:val="32"/>
          <w:szCs w:val="32"/>
          <w:lang w:val="en-US" w:eastAsia="zh-CN"/>
        </w:rPr>
        <w:t>23.65</w:t>
      </w:r>
      <w:r>
        <w:rPr>
          <w:rFonts w:hint="eastAsia" w:ascii="仿宋_GB2312" w:hAnsi="仿宋_GB2312" w:eastAsia="仿宋_GB2312" w:cs="仿宋_GB2312"/>
          <w:color w:val="auto"/>
          <w:sz w:val="32"/>
          <w:szCs w:val="32"/>
        </w:rPr>
        <w:t>万元。</w:t>
      </w:r>
    </w:p>
    <w:p w14:paraId="78EF1BFA">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3.单位总体结转结余情况。</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年，县档案馆财政资金结转结余资金0万元。</w:t>
      </w:r>
    </w:p>
    <w:p w14:paraId="25E697FD">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（二）单位财政拨款收支情况。</w:t>
      </w:r>
    </w:p>
    <w:p w14:paraId="443FC8A3">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1.单位财政拨款收入情况。</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年，县档案馆部门预算收入</w:t>
      </w:r>
      <w:r>
        <w:rPr>
          <w:rFonts w:hint="eastAsia" w:ascii="仿宋_GB2312" w:hAnsi="仿宋_GB2312" w:eastAsia="仿宋_GB2312" w:cs="仿宋_GB2312"/>
          <w:color w:val="auto"/>
          <w:sz w:val="32"/>
          <w:szCs w:val="32"/>
          <w:lang w:val="en-US" w:eastAsia="zh-CN"/>
        </w:rPr>
        <w:t>164.85</w:t>
      </w:r>
      <w:r>
        <w:rPr>
          <w:rFonts w:hint="eastAsia" w:ascii="仿宋_GB2312" w:hAnsi="仿宋_GB2312" w:eastAsia="仿宋_GB2312" w:cs="仿宋_GB2312"/>
          <w:color w:val="auto"/>
          <w:sz w:val="32"/>
          <w:szCs w:val="32"/>
        </w:rPr>
        <w:t>万元，其中基本支出预算收入</w:t>
      </w:r>
      <w:r>
        <w:rPr>
          <w:rFonts w:hint="eastAsia" w:ascii="仿宋_GB2312" w:hAnsi="仿宋_GB2312" w:eastAsia="仿宋_GB2312" w:cs="仿宋_GB2312"/>
          <w:color w:val="auto"/>
          <w:sz w:val="32"/>
          <w:szCs w:val="32"/>
          <w:lang w:val="en-US" w:eastAsia="zh-CN"/>
        </w:rPr>
        <w:t>141.2</w:t>
      </w:r>
      <w:r>
        <w:rPr>
          <w:rFonts w:hint="eastAsia" w:ascii="仿宋_GB2312" w:hAnsi="仿宋_GB2312" w:eastAsia="仿宋_GB2312" w:cs="仿宋_GB2312"/>
          <w:color w:val="auto"/>
          <w:sz w:val="32"/>
          <w:szCs w:val="32"/>
        </w:rPr>
        <w:t>万元，项目支出预算收入</w:t>
      </w:r>
      <w:r>
        <w:rPr>
          <w:rFonts w:hint="eastAsia" w:ascii="仿宋_GB2312" w:hAnsi="仿宋_GB2312" w:eastAsia="仿宋_GB2312" w:cs="仿宋_GB2312"/>
          <w:color w:val="auto"/>
          <w:sz w:val="32"/>
          <w:szCs w:val="32"/>
          <w:lang w:val="en-US" w:eastAsia="zh-CN"/>
        </w:rPr>
        <w:t>23.65</w:t>
      </w:r>
      <w:r>
        <w:rPr>
          <w:rFonts w:hint="eastAsia" w:ascii="仿宋_GB2312" w:hAnsi="仿宋_GB2312" w:eastAsia="仿宋_GB2312" w:cs="仿宋_GB2312"/>
          <w:color w:val="auto"/>
          <w:sz w:val="32"/>
          <w:szCs w:val="32"/>
        </w:rPr>
        <w:t>万元。</w:t>
      </w:r>
    </w:p>
    <w:p w14:paraId="68398855">
      <w:pPr>
        <w:pStyle w:val="6"/>
        <w:ind w:firstLine="643"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2.</w:t>
      </w:r>
      <w:r>
        <w:rPr>
          <w:rFonts w:hint="eastAsia" w:hAnsi="仿宋_GB2312" w:cs="仿宋_GB2312"/>
          <w:b/>
          <w:bCs/>
          <w:color w:val="auto"/>
          <w:kern w:val="0"/>
          <w:sz w:val="32"/>
          <w:szCs w:val="32"/>
          <w:highlight w:val="none"/>
          <w:shd w:val="clear" w:color="auto" w:fill="FFFFFF"/>
          <w:lang w:val="en-US" w:eastAsia="zh-CN"/>
        </w:rPr>
        <w:t>单位</w:t>
      </w:r>
      <w:r>
        <w:rPr>
          <w:rFonts w:hint="eastAsia" w:ascii="仿宋_GB2312" w:hAnsi="仿宋_GB2312" w:eastAsia="仿宋_GB2312" w:cs="仿宋_GB2312"/>
          <w:b/>
          <w:bCs/>
          <w:color w:val="auto"/>
          <w:kern w:val="0"/>
          <w:sz w:val="32"/>
          <w:szCs w:val="32"/>
          <w:highlight w:val="none"/>
          <w:shd w:val="clear" w:color="auto" w:fill="FFFFFF"/>
          <w:lang w:val="en-US" w:eastAsia="zh-CN"/>
        </w:rPr>
        <w:t>财政拨款支出情况。</w:t>
      </w:r>
      <w:r>
        <w:rPr>
          <w:rFonts w:hint="eastAsia" w:ascii="仿宋_GB2312" w:hAnsi="仿宋_GB2312" w:eastAsia="仿宋_GB2312" w:cs="仿宋_GB2312"/>
          <w:color w:val="auto"/>
          <w:sz w:val="32"/>
          <w:szCs w:val="32"/>
        </w:rPr>
        <w:t>202</w:t>
      </w:r>
      <w:r>
        <w:rPr>
          <w:rFonts w:hint="eastAsia" w:hAnsi="仿宋_GB2312" w:cs="仿宋_GB2312"/>
          <w:color w:val="auto"/>
          <w:sz w:val="32"/>
          <w:szCs w:val="32"/>
          <w:lang w:val="en-US" w:eastAsia="zh-CN"/>
        </w:rPr>
        <w:t>4</w:t>
      </w:r>
      <w:r>
        <w:rPr>
          <w:rFonts w:hint="eastAsia" w:ascii="仿宋_GB2312" w:hAnsi="仿宋_GB2312" w:eastAsia="仿宋_GB2312" w:cs="仿宋_GB2312"/>
          <w:color w:val="auto"/>
          <w:sz w:val="32"/>
          <w:szCs w:val="32"/>
        </w:rPr>
        <w:t>年，县档案馆部门财政预算支出</w:t>
      </w:r>
      <w:r>
        <w:rPr>
          <w:rFonts w:hint="eastAsia" w:hAnsi="仿宋_GB2312" w:cs="仿宋_GB2312"/>
          <w:color w:val="auto"/>
          <w:sz w:val="32"/>
          <w:szCs w:val="32"/>
          <w:lang w:val="en-US" w:eastAsia="zh-CN"/>
        </w:rPr>
        <w:t>164.85</w:t>
      </w:r>
      <w:r>
        <w:rPr>
          <w:rFonts w:hint="eastAsia" w:ascii="仿宋_GB2312" w:hAnsi="仿宋_GB2312" w:eastAsia="仿宋_GB2312" w:cs="仿宋_GB2312"/>
          <w:color w:val="auto"/>
          <w:sz w:val="32"/>
          <w:szCs w:val="32"/>
        </w:rPr>
        <w:t>万元，其中基本支出</w:t>
      </w:r>
      <w:r>
        <w:rPr>
          <w:rFonts w:hint="eastAsia" w:hAnsi="仿宋_GB2312" w:cs="仿宋_GB2312"/>
          <w:color w:val="auto"/>
          <w:sz w:val="32"/>
          <w:szCs w:val="32"/>
          <w:lang w:val="en-US" w:eastAsia="zh-CN"/>
        </w:rPr>
        <w:t>141.20</w:t>
      </w:r>
      <w:r>
        <w:rPr>
          <w:rFonts w:hint="eastAsia" w:ascii="仿宋_GB2312" w:hAnsi="仿宋_GB2312" w:eastAsia="仿宋_GB2312" w:cs="仿宋_GB2312"/>
          <w:color w:val="auto"/>
          <w:sz w:val="32"/>
          <w:szCs w:val="32"/>
        </w:rPr>
        <w:t>万元，项目支出</w:t>
      </w:r>
      <w:r>
        <w:rPr>
          <w:rFonts w:hint="eastAsia" w:hAnsi="仿宋_GB2312" w:cs="仿宋_GB2312"/>
          <w:color w:val="auto"/>
          <w:sz w:val="32"/>
          <w:szCs w:val="32"/>
          <w:lang w:val="en-US" w:eastAsia="zh-CN"/>
        </w:rPr>
        <w:t>23.65</w:t>
      </w:r>
      <w:r>
        <w:rPr>
          <w:rFonts w:hint="eastAsia" w:ascii="仿宋_GB2312" w:hAnsi="仿宋_GB2312" w:eastAsia="仿宋_GB2312" w:cs="仿宋_GB2312"/>
          <w:color w:val="auto"/>
          <w:sz w:val="32"/>
          <w:szCs w:val="32"/>
        </w:rPr>
        <w:t>万元。</w:t>
      </w:r>
    </w:p>
    <w:p w14:paraId="6E1129A7">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3.单位财政拨款结转结余情况。</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年，县档案馆财政资金结转结余资金0万元。</w:t>
      </w:r>
    </w:p>
    <w:p w14:paraId="4190D22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仿宋_GB2312" w:hAnsi="仿宋_GB2312" w:eastAsia="仿宋_GB2312" w:cs="仿宋_GB2312"/>
          <w:b w:val="0"/>
          <w:bCs w:val="0"/>
          <w:color w:val="auto"/>
          <w:kern w:val="0"/>
          <w:sz w:val="32"/>
          <w:szCs w:val="32"/>
          <w:highlight w:val="none"/>
          <w:shd w:val="clear" w:color="auto" w:fill="FFFFFF"/>
          <w:lang w:val="en-US" w:eastAsia="zh-CN"/>
        </w:rPr>
      </w:pPr>
    </w:p>
    <w:p w14:paraId="65C9A82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三、</w:t>
      </w:r>
      <w:r>
        <w:rPr>
          <w:rFonts w:hint="eastAsia" w:ascii="黑体" w:hAnsi="宋体" w:eastAsia="黑体" w:cs="宋体"/>
          <w:color w:val="auto"/>
          <w:kern w:val="0"/>
          <w:sz w:val="32"/>
          <w:szCs w:val="32"/>
          <w:highlight w:val="none"/>
          <w:shd w:val="clear" w:color="auto" w:fill="FFFFFF"/>
          <w:lang w:eastAsia="zh-CN"/>
        </w:rPr>
        <w:t>单位</w:t>
      </w:r>
      <w:r>
        <w:rPr>
          <w:rFonts w:hint="eastAsia" w:ascii="黑体" w:hAnsi="宋体" w:eastAsia="黑体" w:cs="宋体"/>
          <w:color w:val="auto"/>
          <w:kern w:val="0"/>
          <w:sz w:val="32"/>
          <w:szCs w:val="32"/>
          <w:highlight w:val="none"/>
          <w:u w:val="none"/>
          <w:shd w:val="clear" w:color="auto" w:fill="FFFFFF"/>
        </w:rPr>
        <w:t>整体绩效</w:t>
      </w:r>
      <w:r>
        <w:rPr>
          <w:rFonts w:hint="eastAsia" w:ascii="黑体" w:hAnsi="宋体" w:eastAsia="黑体" w:cs="宋体"/>
          <w:color w:val="auto"/>
          <w:kern w:val="0"/>
          <w:sz w:val="32"/>
          <w:szCs w:val="32"/>
          <w:highlight w:val="none"/>
          <w:u w:val="none"/>
          <w:shd w:val="clear" w:color="auto" w:fill="FFFFFF"/>
          <w:lang w:eastAsia="zh-CN"/>
        </w:rPr>
        <w:t>分析</w:t>
      </w:r>
    </w:p>
    <w:p w14:paraId="67163D6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zh-CN" w:eastAsia="zh-CN"/>
        </w:rPr>
      </w:pPr>
      <w:r>
        <w:rPr>
          <w:rFonts w:hint="eastAsia" w:ascii="楷体_GB2312" w:hAnsi="楷体_GB2312" w:eastAsia="楷体_GB2312" w:cs="楷体_GB2312"/>
          <w:b w:val="0"/>
          <w:bCs w:val="0"/>
          <w:color w:val="auto"/>
          <w:kern w:val="0"/>
          <w:sz w:val="32"/>
          <w:szCs w:val="32"/>
          <w:highlight w:val="none"/>
          <w:shd w:val="clear" w:color="auto" w:fill="FFFFFF"/>
          <w:lang w:val="zh-CN"/>
        </w:rPr>
        <w:t>（一）单位预算项目绩效分析</w:t>
      </w:r>
    </w:p>
    <w:p w14:paraId="0481F975">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default"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1.人员类项目绩效分析。</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2024年县档案馆基本支出经费预算141.20万元，其中人员经费预算125.57万元，公用经费支出预算15.62万元，实际完成人员经费支出125.57万元，公用经费支出决算15.62万元，完成年初预算数的100%。在人员类项目经费预算、支出过程中没有发生违规违纪的现象。</w:t>
      </w:r>
    </w:p>
    <w:p w14:paraId="5DFDB44D">
      <w:pPr>
        <w:widowControl/>
        <w:adjustRightInd w:val="0"/>
        <w:snapToGrid w:val="0"/>
        <w:spacing w:line="580" w:lineRule="exact"/>
        <w:ind w:firstLine="643" w:firstLineChars="200"/>
        <w:contextualSpacing/>
        <w:jc w:val="left"/>
        <w:rPr>
          <w:rFonts w:hint="eastAsia" w:ascii="仿宋_GB2312" w:hAnsi="仿宋_GB2312" w:eastAsia="仿宋_GB2312" w:cs="仿宋_GB2312"/>
          <w:b/>
          <w:bCs/>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2.运转类项目绩效分析。</w:t>
      </w:r>
      <w:r>
        <w:rPr>
          <w:rFonts w:hint="eastAsia" w:ascii="仿宋_GB2312" w:hAnsi="宋体" w:eastAsia="仿宋_GB2312" w:cs="宋体"/>
          <w:color w:val="auto"/>
          <w:kern w:val="0"/>
          <w:sz w:val="32"/>
          <w:szCs w:val="32"/>
          <w:shd w:val="clear" w:color="auto" w:fill="FFFFFF"/>
          <w:lang w:val="en-US" w:eastAsia="zh-CN"/>
        </w:rPr>
        <w:t>2024年，县档案馆实施项目4个，其中特定项目3个，总预算资金23.65万元，实际完成23.65万元，项目资金执行率100%。2024年，县档案馆开展档案业务指导63人次、馆藏档案数字化1764卷、完成了</w:t>
      </w:r>
      <w:r>
        <w:rPr>
          <w:rFonts w:hint="eastAsia" w:ascii="仿宋_GB2312" w:eastAsia="仿宋_GB2312"/>
          <w:color w:val="auto"/>
          <w:sz w:val="32"/>
          <w:szCs w:val="32"/>
          <w:lang w:eastAsia="zh-CN"/>
        </w:rPr>
        <w:t>《马边档案—自治县成立40周年大事记》，</w:t>
      </w:r>
      <w:r>
        <w:rPr>
          <w:rFonts w:hint="eastAsia" w:ascii="仿宋_GB2312" w:hAnsi="仿宋_GB2312" w:eastAsia="仿宋_GB2312" w:cs="仿宋_GB2312"/>
          <w:color w:val="auto"/>
          <w:kern w:val="0"/>
          <w:sz w:val="32"/>
          <w:szCs w:val="32"/>
          <w:shd w:val="clear" w:color="auto" w:fill="FFFFFF"/>
          <w:lang w:val="en-US" w:eastAsia="zh-CN"/>
        </w:rPr>
        <w:t>计划开展帮扶乡村慰问活动2次，实际完成3次。</w:t>
      </w:r>
    </w:p>
    <w:p w14:paraId="7D19D36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3.特定目标类项目绩效分析</w:t>
      </w:r>
    </w:p>
    <w:p w14:paraId="4FE1852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lang w:val="en-US" w:eastAsia="zh-CN"/>
        </w:rPr>
      </w:pPr>
      <w:r>
        <w:rPr>
          <w:rFonts w:hint="eastAsia" w:ascii="仿宋_GB2312" w:hAnsi="仿宋_GB2312" w:eastAsia="仿宋_GB2312" w:cs="仿宋_GB2312"/>
          <w:b w:val="0"/>
          <w:bCs w:val="0"/>
          <w:color w:val="auto"/>
          <w:sz w:val="32"/>
          <w:szCs w:val="32"/>
        </w:rPr>
        <w:t>①</w:t>
      </w:r>
      <w:r>
        <w:rPr>
          <w:rFonts w:hint="eastAsia" w:ascii="仿宋_GB2312" w:hAnsi="仿宋_GB2312" w:eastAsia="仿宋_GB2312" w:cs="仿宋_GB2312"/>
          <w:b w:val="0"/>
          <w:bCs w:val="0"/>
          <w:color w:val="auto"/>
          <w:kern w:val="0"/>
          <w:sz w:val="32"/>
          <w:szCs w:val="32"/>
          <w:shd w:val="clear" w:color="auto" w:fill="FFFFFF"/>
          <w:lang w:val="zh-CN"/>
        </w:rPr>
        <w:t>档案馆运行。</w:t>
      </w:r>
      <w:r>
        <w:rPr>
          <w:rFonts w:hint="eastAsia" w:ascii="仿宋_GB2312" w:hAnsi="仿宋_GB2312" w:eastAsia="仿宋_GB2312" w:cs="仿宋_GB2312"/>
          <w:b w:val="0"/>
          <w:bCs w:val="0"/>
          <w:color w:val="auto"/>
          <w:kern w:val="0"/>
          <w:sz w:val="32"/>
          <w:szCs w:val="32"/>
          <w:shd w:val="clear" w:color="auto" w:fill="FFFFFF"/>
          <w:lang w:val="en-US" w:eastAsia="zh-CN"/>
        </w:rPr>
        <w:t>2024年项目预算资金9.99万元，实际完成9.99万元，计划完成档案业务指导24人次，实际完成63人次，计划完成档案查阅利用服务80人次，实际完成120人次</w:t>
      </w:r>
      <w:r>
        <w:rPr>
          <w:rFonts w:hint="eastAsia" w:ascii="仿宋_GB2312" w:hAnsi="仿宋_GB2312" w:eastAsia="仿宋_GB2312" w:cs="仿宋_GB2312"/>
          <w:color w:val="auto"/>
          <w:kern w:val="0"/>
          <w:sz w:val="32"/>
          <w:szCs w:val="32"/>
          <w:shd w:val="clear" w:color="auto" w:fill="FFFFFF"/>
          <w:lang w:val="en-US" w:eastAsia="zh-CN"/>
        </w:rPr>
        <w:t>。</w:t>
      </w:r>
    </w:p>
    <w:p w14:paraId="73BE2795">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rPr>
        <w:t>②档案数字化</w:t>
      </w:r>
      <w:r>
        <w:rPr>
          <w:rFonts w:hint="eastAsia" w:ascii="仿宋_GB2312" w:hAnsi="仿宋_GB2312" w:eastAsia="仿宋_GB2312" w:cs="仿宋_GB2312"/>
          <w:b w:val="0"/>
          <w:bCs w:val="0"/>
          <w:color w:val="auto"/>
          <w:sz w:val="32"/>
          <w:szCs w:val="32"/>
          <w:lang w:val="en-US" w:eastAsia="zh-CN"/>
        </w:rPr>
        <w:t>项目</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kern w:val="0"/>
          <w:sz w:val="32"/>
          <w:szCs w:val="32"/>
          <w:shd w:val="clear" w:color="auto" w:fill="FFFFFF"/>
          <w:lang w:val="en-US" w:eastAsia="zh-CN"/>
        </w:rPr>
        <w:t>2024项目预算资金10万元，实际完成10万元，计划完成馆藏档案数字化1300卷，实际完成了</w:t>
      </w:r>
      <w:r>
        <w:rPr>
          <w:rFonts w:hint="eastAsia" w:ascii="仿宋_GB2312" w:eastAsia="仿宋_GB2312"/>
          <w:color w:val="auto"/>
          <w:sz w:val="32"/>
          <w:szCs w:val="32"/>
          <w:lang w:val="en-US" w:eastAsia="zh-CN"/>
        </w:rPr>
        <w:t>县财政局、县农业农村局、县人民医院、撤销机构县百货公司、农土公司、水碾坝乡、县自然资源局</w:t>
      </w:r>
      <w:r>
        <w:rPr>
          <w:rFonts w:hint="eastAsia" w:ascii="仿宋_GB2312" w:eastAsia="仿宋_GB2312"/>
          <w:color w:val="auto"/>
          <w:sz w:val="32"/>
          <w:szCs w:val="32"/>
          <w:lang w:eastAsia="zh-CN"/>
        </w:rPr>
        <w:t>馆藏纸质档案</w:t>
      </w:r>
      <w:r>
        <w:rPr>
          <w:rFonts w:hint="eastAsia" w:ascii="仿宋_GB2312" w:eastAsia="仿宋_GB2312"/>
          <w:color w:val="auto"/>
          <w:sz w:val="32"/>
          <w:szCs w:val="32"/>
          <w:lang w:val="en-US" w:eastAsia="zh-CN"/>
        </w:rPr>
        <w:t>1764卷</w:t>
      </w:r>
      <w:r>
        <w:rPr>
          <w:rFonts w:hint="eastAsia" w:ascii="仿宋_GB2312" w:eastAsia="仿宋_GB2312"/>
          <w:color w:val="auto"/>
          <w:sz w:val="32"/>
          <w:szCs w:val="32"/>
          <w:lang w:eastAsia="zh-CN"/>
        </w:rPr>
        <w:t>。</w:t>
      </w:r>
    </w:p>
    <w:p w14:paraId="5DBA4C2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val="0"/>
          <w:bCs w:val="0"/>
          <w:color w:val="auto"/>
          <w:sz w:val="32"/>
          <w:szCs w:val="32"/>
        </w:rPr>
        <w:t>③馆藏档案编研。</w:t>
      </w:r>
      <w:r>
        <w:rPr>
          <w:rFonts w:hint="eastAsia" w:ascii="仿宋_GB2312" w:hAnsi="仿宋_GB2312" w:eastAsia="仿宋_GB2312" w:cs="仿宋_GB2312"/>
          <w:color w:val="auto"/>
          <w:kern w:val="0"/>
          <w:sz w:val="32"/>
          <w:szCs w:val="32"/>
          <w:shd w:val="clear" w:color="auto" w:fill="FFFFFF"/>
          <w:lang w:val="en-US" w:eastAsia="zh-CN"/>
        </w:rPr>
        <w:t>2024年档案编研项目资金预算2万元，实际完成2万元，计划完成出版印刷编研产品1部，实际完成</w:t>
      </w:r>
      <w:r>
        <w:rPr>
          <w:rFonts w:hint="eastAsia" w:ascii="仿宋_GB2312" w:eastAsia="仿宋_GB2312"/>
          <w:color w:val="auto"/>
          <w:sz w:val="32"/>
          <w:szCs w:val="32"/>
          <w:lang w:eastAsia="zh-CN"/>
        </w:rPr>
        <w:t>收集全县自然、政治、经济、文化等方面历史与现状的图片</w:t>
      </w:r>
      <w:r>
        <w:rPr>
          <w:rFonts w:hint="eastAsia" w:ascii="仿宋_GB2312" w:eastAsia="仿宋_GB2312"/>
          <w:color w:val="auto"/>
          <w:sz w:val="32"/>
          <w:szCs w:val="32"/>
          <w:lang w:val="en-US" w:eastAsia="zh-CN"/>
        </w:rPr>
        <w:t>200张。</w:t>
      </w:r>
      <w:r>
        <w:rPr>
          <w:rFonts w:hint="eastAsia" w:ascii="仿宋_GB2312" w:eastAsia="仿宋_GB2312"/>
          <w:color w:val="auto"/>
          <w:sz w:val="32"/>
          <w:szCs w:val="32"/>
          <w:lang w:eastAsia="zh-CN"/>
        </w:rPr>
        <w:t>撰写档案编研材料《马边档案—自治县成立40周年大事记》</w:t>
      </w:r>
      <w:r>
        <w:rPr>
          <w:rFonts w:hint="eastAsia" w:ascii="仿宋_GB2312" w:eastAsia="仿宋_GB2312"/>
          <w:color w:val="auto"/>
          <w:sz w:val="32"/>
          <w:szCs w:val="32"/>
          <w:lang w:val="en-US" w:eastAsia="zh-CN"/>
        </w:rPr>
        <w:t>。</w:t>
      </w:r>
    </w:p>
    <w:p w14:paraId="4BED3E7E">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④</w:t>
      </w:r>
      <w:r>
        <w:rPr>
          <w:rFonts w:hint="eastAsia" w:ascii="仿宋_GB2312" w:hAnsi="仿宋_GB2312" w:eastAsia="仿宋_GB2312" w:cs="仿宋_GB2312"/>
          <w:b w:val="0"/>
          <w:bCs w:val="0"/>
          <w:color w:val="auto"/>
          <w:kern w:val="0"/>
          <w:sz w:val="32"/>
          <w:szCs w:val="32"/>
          <w:shd w:val="clear" w:color="auto" w:fill="FFFFFF"/>
          <w:lang w:val="zh-CN"/>
        </w:rPr>
        <w:t>驻村工作队补助。</w:t>
      </w:r>
      <w:r>
        <w:rPr>
          <w:rFonts w:hint="eastAsia" w:ascii="仿宋_GB2312" w:hAnsi="仿宋_GB2312" w:eastAsia="仿宋_GB2312" w:cs="仿宋_GB2312"/>
          <w:b w:val="0"/>
          <w:bCs w:val="0"/>
          <w:color w:val="auto"/>
          <w:kern w:val="0"/>
          <w:sz w:val="32"/>
          <w:szCs w:val="32"/>
          <w:shd w:val="clear" w:color="auto" w:fill="FFFFFF"/>
          <w:lang w:val="en-US" w:eastAsia="zh-CN"/>
        </w:rPr>
        <w:t>2024年驻村工作队补助预算1.65万元，实际完成1.65万元，安排1名中层干部长期驻村开展工作，计划开展入户走访100人次，实际完成200余人次，计划开展慰问活动2次，实际开展慰问活动3次，</w:t>
      </w:r>
      <w:r>
        <w:rPr>
          <w:rFonts w:hint="eastAsia" w:ascii="仿宋_GB2312" w:hAnsi="仿宋_GB2312" w:eastAsia="仿宋_GB2312" w:cs="仿宋_GB2312"/>
          <w:color w:val="auto"/>
          <w:sz w:val="32"/>
          <w:szCs w:val="32"/>
          <w:lang w:val="en-US" w:eastAsia="zh-CN"/>
        </w:rPr>
        <w:t>为老鸦营幼儿园39名学生送去节日礼物，为庄家坝村“两委”及35户联系户开展新年慰问，送去大米、食用油等物资折合7630元。</w:t>
      </w:r>
    </w:p>
    <w:p w14:paraId="24C1B48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楷体_GB2312" w:hAnsi="楷体_GB2312" w:eastAsia="楷体_GB2312" w:cs="楷体_GB2312"/>
          <w:b w:val="0"/>
          <w:bCs w:val="0"/>
          <w:color w:val="auto"/>
          <w:kern w:val="0"/>
          <w:sz w:val="32"/>
          <w:szCs w:val="32"/>
          <w:highlight w:val="none"/>
          <w:shd w:val="clear" w:color="auto" w:fill="FFFFFF"/>
          <w:lang w:val="zh-CN"/>
        </w:rPr>
      </w:pPr>
      <w:r>
        <w:rPr>
          <w:rFonts w:hint="eastAsia" w:ascii="楷体_GB2312" w:hAnsi="楷体_GB2312" w:eastAsia="楷体_GB2312" w:cs="楷体_GB2312"/>
          <w:b w:val="0"/>
          <w:bCs w:val="0"/>
          <w:color w:val="auto"/>
          <w:kern w:val="0"/>
          <w:sz w:val="32"/>
          <w:szCs w:val="32"/>
          <w:highlight w:val="none"/>
          <w:shd w:val="clear" w:color="auto" w:fill="FFFFFF"/>
          <w:lang w:val="zh-CN"/>
        </w:rPr>
        <w:t>（二）单位整体履职绩效分析</w:t>
      </w:r>
    </w:p>
    <w:p w14:paraId="3F9D6EA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zh-CN" w:eastAsia="zh-CN"/>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rPr>
        <w:t>围绕单位整体绩效目标完成情况和部门履职情况进行绩效分析。</w:t>
      </w:r>
    </w:p>
    <w:p w14:paraId="6BC87ECC">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auto"/>
          <w:kern w:val="0"/>
          <w:sz w:val="32"/>
          <w:szCs w:val="32"/>
          <w:shd w:val="clear" w:color="auto" w:fill="FFFFFF"/>
          <w:lang w:val="en-US" w:eastAsia="zh-CN"/>
        </w:rPr>
      </w:pPr>
      <w:r>
        <w:rPr>
          <w:rFonts w:hint="eastAsia" w:ascii="楷体_GB2312" w:hAnsi="楷体_GB2312" w:eastAsia="楷体_GB2312" w:cs="楷体_GB2312"/>
          <w:b w:val="0"/>
          <w:bCs w:val="0"/>
          <w:color w:val="auto"/>
          <w:kern w:val="0"/>
          <w:sz w:val="32"/>
          <w:szCs w:val="32"/>
          <w:highlight w:val="none"/>
          <w:shd w:val="clear" w:color="auto" w:fill="FFFFFF"/>
          <w:lang w:val="zh-CN"/>
        </w:rPr>
        <w:t>（三）结果应用情况。</w:t>
      </w:r>
      <w:r>
        <w:rPr>
          <w:rFonts w:hint="eastAsia" w:ascii="仿宋_GB2312" w:hAnsi="仿宋_GB2312" w:eastAsia="仿宋_GB2312" w:cs="仿宋_GB2312"/>
          <w:color w:val="auto"/>
          <w:kern w:val="0"/>
          <w:sz w:val="32"/>
          <w:szCs w:val="32"/>
          <w:shd w:val="clear" w:color="auto" w:fill="FFFFFF"/>
          <w:lang w:val="en-US" w:eastAsia="zh-CN"/>
        </w:rPr>
        <w:t>2024年，</w:t>
      </w:r>
      <w:r>
        <w:rPr>
          <w:rFonts w:hint="eastAsia" w:ascii="仿宋_GB2312" w:hAnsi="仿宋_GB2312" w:eastAsia="仿宋_GB2312" w:cs="仿宋_GB2312"/>
          <w:color w:val="auto"/>
          <w:kern w:val="0"/>
          <w:sz w:val="32"/>
          <w:szCs w:val="32"/>
          <w:shd w:val="clear" w:color="auto" w:fill="FFFFFF"/>
          <w:lang w:val="zh-CN"/>
        </w:rPr>
        <w:t>县档案馆修改完善了预算绩效管理制定，年初制定了部门整体绩效目标</w:t>
      </w:r>
      <w:r>
        <w:rPr>
          <w:rFonts w:hint="eastAsia" w:ascii="仿宋_GB2312" w:hAnsi="仿宋_GB2312" w:eastAsia="仿宋_GB2312" w:cs="仿宋_GB2312"/>
          <w:color w:val="auto"/>
          <w:kern w:val="0"/>
          <w:sz w:val="32"/>
          <w:szCs w:val="32"/>
          <w:shd w:val="clear" w:color="auto" w:fill="FFFFFF"/>
          <w:lang w:val="en-US" w:eastAsia="zh-CN"/>
        </w:rPr>
        <w:t>1个、</w:t>
      </w:r>
      <w:r>
        <w:rPr>
          <w:rFonts w:hint="eastAsia" w:ascii="仿宋_GB2312" w:hAnsi="仿宋_GB2312" w:eastAsia="仿宋_GB2312" w:cs="仿宋_GB2312"/>
          <w:color w:val="auto"/>
          <w:kern w:val="0"/>
          <w:sz w:val="32"/>
          <w:szCs w:val="32"/>
          <w:shd w:val="clear" w:color="auto" w:fill="FFFFFF"/>
          <w:lang w:val="zh-CN"/>
        </w:rPr>
        <w:t>项目绩效目标</w:t>
      </w:r>
      <w:r>
        <w:rPr>
          <w:rFonts w:hint="eastAsia" w:ascii="仿宋_GB2312" w:hAnsi="仿宋_GB2312" w:eastAsia="仿宋_GB2312" w:cs="仿宋_GB2312"/>
          <w:color w:val="auto"/>
          <w:kern w:val="0"/>
          <w:sz w:val="32"/>
          <w:szCs w:val="32"/>
          <w:shd w:val="clear" w:color="auto" w:fill="FFFFFF"/>
          <w:lang w:val="en-US" w:eastAsia="zh-CN"/>
        </w:rPr>
        <w:t>3个</w:t>
      </w:r>
      <w:r>
        <w:rPr>
          <w:rFonts w:hint="eastAsia" w:ascii="仿宋_GB2312" w:hAnsi="仿宋_GB2312" w:eastAsia="仿宋_GB2312" w:cs="仿宋_GB2312"/>
          <w:color w:val="auto"/>
          <w:kern w:val="0"/>
          <w:sz w:val="32"/>
          <w:szCs w:val="32"/>
          <w:shd w:val="clear" w:color="auto" w:fill="FFFFFF"/>
          <w:lang w:val="zh-CN"/>
        </w:rPr>
        <w:t>，并与预算一同在政务公开平台进行了公开，开展预算绩效事前、事中、事后考核工作，考核结果作为预算调整的重要依据，全年调剂预算资金</w:t>
      </w:r>
      <w:r>
        <w:rPr>
          <w:rFonts w:hint="eastAsia" w:ascii="仿宋_GB2312" w:hAnsi="仿宋_GB2312" w:eastAsia="仿宋_GB2312" w:cs="仿宋_GB2312"/>
          <w:color w:val="auto"/>
          <w:kern w:val="0"/>
          <w:sz w:val="32"/>
          <w:szCs w:val="32"/>
          <w:shd w:val="clear" w:color="auto" w:fill="FFFFFF"/>
          <w:lang w:val="en-US" w:eastAsia="zh-CN"/>
        </w:rPr>
        <w:t>0.75万元。2024年，县档案馆没有审计部门、财政部门反馈需要整改的预算绩效问题。</w:t>
      </w:r>
    </w:p>
    <w:p w14:paraId="698E148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楷体_GB2312" w:hAnsi="楷体_GB2312" w:eastAsia="楷体_GB2312" w:cs="楷体_GB2312"/>
          <w:b w:val="0"/>
          <w:bCs w:val="0"/>
          <w:color w:val="auto"/>
          <w:kern w:val="0"/>
          <w:sz w:val="32"/>
          <w:szCs w:val="32"/>
          <w:highlight w:val="none"/>
          <w:shd w:val="clear" w:color="auto" w:fill="FFFFFF"/>
          <w:lang w:val="zh-CN"/>
        </w:rPr>
        <w:t>（</w:t>
      </w:r>
      <w:r>
        <w:rPr>
          <w:rFonts w:hint="eastAsia" w:ascii="楷体_GB2312" w:hAnsi="楷体_GB2312" w:eastAsia="楷体_GB2312" w:cs="楷体_GB2312"/>
          <w:b w:val="0"/>
          <w:bCs w:val="0"/>
          <w:color w:val="auto"/>
          <w:kern w:val="0"/>
          <w:sz w:val="32"/>
          <w:szCs w:val="32"/>
          <w:highlight w:val="none"/>
          <w:shd w:val="clear" w:color="auto" w:fill="FFFFFF"/>
          <w:lang w:val="en-US" w:eastAsia="zh-CN"/>
        </w:rPr>
        <w:t>四</w:t>
      </w:r>
      <w:r>
        <w:rPr>
          <w:rFonts w:hint="eastAsia" w:ascii="楷体_GB2312" w:hAnsi="楷体_GB2312" w:eastAsia="楷体_GB2312" w:cs="楷体_GB2312"/>
          <w:b w:val="0"/>
          <w:bCs w:val="0"/>
          <w:color w:val="auto"/>
          <w:kern w:val="0"/>
          <w:sz w:val="32"/>
          <w:szCs w:val="32"/>
          <w:highlight w:val="none"/>
          <w:shd w:val="clear" w:color="auto" w:fill="FFFFFF"/>
          <w:lang w:val="zh-CN"/>
        </w:rPr>
        <w:t>）自评质量。</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县档案馆在项目绩效自评过程中按照相关规定严格进行，自评程序合规合法，达到预期质量目标。</w:t>
      </w:r>
    </w:p>
    <w:p w14:paraId="11FF937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四、评价结论及建议</w:t>
      </w:r>
    </w:p>
    <w:p w14:paraId="79C6E52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val="0"/>
          <w:bCs w:val="0"/>
          <w:color w:val="auto"/>
          <w:kern w:val="0"/>
          <w:sz w:val="32"/>
          <w:szCs w:val="32"/>
          <w:highlight w:val="none"/>
          <w:shd w:val="clear" w:color="auto" w:fill="FFFFFF"/>
          <w:lang w:val="zh-CN"/>
        </w:rPr>
        <w:t>（一）评价结论。</w:t>
      </w:r>
      <w:r>
        <w:rPr>
          <w:rFonts w:hint="eastAsia" w:ascii="仿宋_GB2312" w:hAnsi="仿宋_GB2312" w:eastAsia="仿宋_GB2312" w:cs="仿宋_GB2312"/>
          <w:color w:val="auto"/>
          <w:sz w:val="32"/>
          <w:szCs w:val="32"/>
        </w:rPr>
        <w:t>通过自评，202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年县档案馆整体支出绩效自评为优、项目支出绩效自评为优</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w:t>
      </w:r>
    </w:p>
    <w:p w14:paraId="5918642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val="0"/>
          <w:bCs w:val="0"/>
          <w:color w:val="auto"/>
          <w:kern w:val="0"/>
          <w:sz w:val="32"/>
          <w:szCs w:val="32"/>
          <w:highlight w:val="none"/>
          <w:shd w:val="clear" w:color="auto" w:fill="FFFFFF"/>
          <w:lang w:val="zh-CN"/>
        </w:rPr>
        <w:t>（二）存在问题。</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一是</w:t>
      </w:r>
      <w:r>
        <w:rPr>
          <w:rFonts w:hint="eastAsia" w:ascii="仿宋_GB2312" w:hAnsi="仿宋_GB2312" w:eastAsia="仿宋_GB2312" w:cs="仿宋_GB2312"/>
          <w:b w:val="0"/>
          <w:bCs w:val="0"/>
          <w:color w:val="auto"/>
          <w:sz w:val="32"/>
          <w:szCs w:val="32"/>
        </w:rPr>
        <w:t>虽然制定了预算绩效管理制度体系，但相关工作流程和操作细节需进一</w:t>
      </w:r>
      <w:r>
        <w:rPr>
          <w:rFonts w:hint="eastAsia" w:ascii="仿宋_GB2312" w:hAnsi="仿宋_GB2312" w:eastAsia="仿宋_GB2312" w:cs="仿宋_GB2312"/>
          <w:color w:val="auto"/>
          <w:sz w:val="32"/>
          <w:szCs w:val="32"/>
        </w:rPr>
        <w:t>步规范。</w:t>
      </w:r>
      <w:r>
        <w:rPr>
          <w:rFonts w:hint="eastAsia" w:ascii="仿宋_GB2312" w:hAnsi="仿宋_GB2312" w:eastAsia="仿宋_GB2312" w:cs="仿宋_GB2312"/>
          <w:color w:val="auto"/>
          <w:sz w:val="32"/>
          <w:szCs w:val="32"/>
          <w:lang w:val="en-US" w:eastAsia="zh-CN"/>
        </w:rPr>
        <w:t>二是</w:t>
      </w:r>
      <w:r>
        <w:rPr>
          <w:rFonts w:hint="eastAsia" w:ascii="仿宋_GB2312" w:hAnsi="仿宋_GB2312" w:eastAsia="仿宋_GB2312" w:cs="仿宋_GB2312"/>
          <w:color w:val="auto"/>
          <w:sz w:val="32"/>
          <w:szCs w:val="32"/>
        </w:rPr>
        <w:t>全面推进预算绩效管理工作待于进一步加强。</w:t>
      </w:r>
    </w:p>
    <w:p w14:paraId="3D91B39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val="0"/>
          <w:bCs w:val="0"/>
          <w:color w:val="auto"/>
          <w:kern w:val="0"/>
          <w:sz w:val="32"/>
          <w:szCs w:val="32"/>
          <w:highlight w:val="none"/>
          <w:shd w:val="clear" w:color="auto" w:fill="FFFFFF"/>
          <w:lang w:val="zh-CN"/>
        </w:rPr>
        <w:t>（三）改进建议。</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一是</w:t>
      </w:r>
      <w:r>
        <w:rPr>
          <w:rFonts w:hint="eastAsia" w:ascii="仿宋_GB2312" w:hAnsi="仿宋_GB2312" w:eastAsia="仿宋_GB2312" w:cs="仿宋_GB2312"/>
          <w:b w:val="0"/>
          <w:bCs w:val="0"/>
          <w:color w:val="auto"/>
          <w:sz w:val="32"/>
          <w:szCs w:val="32"/>
        </w:rPr>
        <w:t>加强领导，精心组织，实现预算绩效目标全覆盖。</w:t>
      </w:r>
      <w:r>
        <w:rPr>
          <w:rFonts w:hint="eastAsia" w:ascii="仿宋_GB2312" w:hAnsi="仿宋_GB2312" w:eastAsia="仿宋_GB2312" w:cs="仿宋_GB2312"/>
          <w:b w:val="0"/>
          <w:bCs w:val="0"/>
          <w:color w:val="auto"/>
          <w:sz w:val="32"/>
          <w:szCs w:val="32"/>
          <w:lang w:val="en-US" w:eastAsia="zh-CN"/>
        </w:rPr>
        <w:t>二是</w:t>
      </w:r>
      <w:r>
        <w:rPr>
          <w:rFonts w:hint="eastAsia" w:ascii="仿宋_GB2312" w:hAnsi="仿宋_GB2312" w:eastAsia="仿宋_GB2312" w:cs="仿宋_GB2312"/>
          <w:b w:val="0"/>
          <w:bCs w:val="0"/>
          <w:color w:val="auto"/>
          <w:sz w:val="32"/>
          <w:szCs w:val="32"/>
        </w:rPr>
        <w:t>继续积极开展绩效自评工作，积极运用评价结果，提高资金使用效率。</w:t>
      </w:r>
      <w:r>
        <w:rPr>
          <w:rFonts w:hint="eastAsia" w:ascii="仿宋_GB2312" w:hAnsi="仿宋_GB2312" w:eastAsia="仿宋_GB2312" w:cs="仿宋_GB2312"/>
          <w:b w:val="0"/>
          <w:bCs w:val="0"/>
          <w:color w:val="auto"/>
          <w:sz w:val="32"/>
          <w:szCs w:val="32"/>
          <w:lang w:val="en-US" w:eastAsia="zh-CN"/>
        </w:rPr>
        <w:t>三是</w:t>
      </w:r>
      <w:r>
        <w:rPr>
          <w:rFonts w:hint="eastAsia" w:ascii="仿宋_GB2312" w:hAnsi="仿宋_GB2312" w:eastAsia="仿宋_GB2312" w:cs="仿宋_GB2312"/>
          <w:b w:val="0"/>
          <w:bCs w:val="0"/>
          <w:color w:val="auto"/>
          <w:sz w:val="32"/>
          <w:szCs w:val="32"/>
        </w:rPr>
        <w:t>进一步修订完善相关制度，推进制度落实。</w:t>
      </w:r>
      <w:r>
        <w:rPr>
          <w:rFonts w:hint="eastAsia" w:ascii="仿宋_GB2312" w:hAnsi="仿宋_GB2312" w:eastAsia="仿宋_GB2312" w:cs="仿宋_GB2312"/>
          <w:b w:val="0"/>
          <w:bCs w:val="0"/>
          <w:color w:val="auto"/>
          <w:sz w:val="32"/>
          <w:szCs w:val="32"/>
          <w:lang w:val="en-US" w:eastAsia="zh-CN"/>
        </w:rPr>
        <w:t>四是</w:t>
      </w:r>
      <w:r>
        <w:rPr>
          <w:rFonts w:hint="eastAsia" w:ascii="仿宋_GB2312" w:hAnsi="仿宋_GB2312" w:eastAsia="仿宋_GB2312" w:cs="仿宋_GB2312"/>
          <w:b w:val="0"/>
          <w:bCs w:val="0"/>
          <w:color w:val="auto"/>
          <w:sz w:val="32"/>
          <w:szCs w:val="32"/>
        </w:rPr>
        <w:t>积极同财政部门沟通，寻求预算绩效管理工作业务指导和技术支撑。</w:t>
      </w:r>
    </w:p>
    <w:p w14:paraId="4C4ADC08">
      <w:pPr>
        <w:pStyle w:val="14"/>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zh-CN" w:eastAsia="zh-CN"/>
        </w:rPr>
      </w:pPr>
    </w:p>
    <w:p w14:paraId="42793DB2">
      <w:pPr>
        <w:pStyle w:val="14"/>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附表：</w:t>
      </w:r>
      <w:r>
        <w:rPr>
          <w:rFonts w:hint="eastAsia" w:hAnsi="仿宋_GB2312" w:eastAsia="仿宋_GB2312" w:cs="仿宋_GB2312"/>
          <w:color w:val="auto"/>
          <w:sz w:val="32"/>
          <w:szCs w:val="32"/>
          <w:highlight w:val="none"/>
          <w:lang w:val="zh-CN" w:eastAsia="zh-CN"/>
        </w:rPr>
        <w:t>单位</w:t>
      </w:r>
      <w:r>
        <w:rPr>
          <w:rFonts w:hint="eastAsia" w:ascii="仿宋_GB2312" w:hAnsi="仿宋_GB2312" w:eastAsia="仿宋_GB2312" w:cs="仿宋_GB2312"/>
          <w:color w:val="auto"/>
          <w:sz w:val="32"/>
          <w:szCs w:val="32"/>
          <w:highlight w:val="none"/>
          <w:lang w:val="en-US" w:eastAsia="zh-CN"/>
        </w:rPr>
        <w:t>预算项目支出绩效自评表（202</w:t>
      </w:r>
      <w:r>
        <w:rPr>
          <w:rFonts w:hint="eastAsia"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en-US" w:eastAsia="zh-CN"/>
        </w:rPr>
        <w:t>年度）</w:t>
      </w:r>
    </w:p>
    <w:p w14:paraId="0AECBFE4">
      <w:pPr>
        <w:spacing w:line="580" w:lineRule="exact"/>
        <w:rPr>
          <w:rStyle w:val="28"/>
          <w:rFonts w:ascii="黑体" w:hAnsi="黑体" w:eastAsia="黑体"/>
          <w:b w:val="0"/>
          <w:color w:val="auto"/>
          <w:highlight w:val="none"/>
        </w:rPr>
      </w:pPr>
    </w:p>
    <w:p w14:paraId="534D2A49">
      <w:pPr>
        <w:widowControl/>
        <w:jc w:val="left"/>
        <w:rPr>
          <w:rStyle w:val="28"/>
          <w:rFonts w:ascii="黑体" w:hAnsi="黑体" w:eastAsia="黑体"/>
          <w:b w:val="0"/>
          <w:color w:val="auto"/>
          <w:highlight w:val="none"/>
        </w:rPr>
      </w:pPr>
      <w:r>
        <w:rPr>
          <w:rStyle w:val="28"/>
          <w:rFonts w:ascii="黑体" w:hAnsi="黑体" w:eastAsia="黑体"/>
          <w:b w:val="0"/>
          <w:color w:val="auto"/>
          <w:highlight w:val="none"/>
        </w:rPr>
        <w:br w:type="page"/>
      </w:r>
    </w:p>
    <w:p w14:paraId="66291E44">
      <w:pPr>
        <w:spacing w:line="600" w:lineRule="exact"/>
        <w:jc w:val="center"/>
        <w:outlineLvl w:val="0"/>
        <w:rPr>
          <w:rFonts w:hint="eastAsia" w:ascii="仿宋" w:hAnsi="仿宋" w:eastAsia="仿宋"/>
          <w:b w:val="0"/>
          <w:color w:val="auto"/>
          <w:highlight w:val="none"/>
        </w:rPr>
      </w:pPr>
      <w:bookmarkStart w:id="76" w:name="_Toc15396618"/>
      <w:bookmarkStart w:id="77" w:name="_Toc6106"/>
      <w:r>
        <w:rPr>
          <w:rFonts w:hint="eastAsia" w:ascii="黑体" w:hAnsi="黑体" w:eastAsia="黑体"/>
          <w:color w:val="auto"/>
          <w:sz w:val="44"/>
          <w:szCs w:val="44"/>
          <w:highlight w:val="none"/>
        </w:rPr>
        <w:t>第</w:t>
      </w:r>
      <w:r>
        <w:rPr>
          <w:rStyle w:val="28"/>
          <w:rFonts w:hint="eastAsia" w:ascii="黑体" w:hAnsi="黑体" w:eastAsia="黑体"/>
          <w:b w:val="0"/>
          <w:color w:val="auto"/>
          <w:highlight w:val="none"/>
        </w:rPr>
        <w:t>五部分 附表</w:t>
      </w:r>
      <w:bookmarkEnd w:id="73"/>
      <w:bookmarkEnd w:id="76"/>
      <w:bookmarkEnd w:id="77"/>
      <w:bookmarkStart w:id="78" w:name="_Toc15396619"/>
    </w:p>
    <w:p w14:paraId="32E41D49">
      <w:pPr>
        <w:pStyle w:val="4"/>
        <w:rPr>
          <w:rFonts w:ascii="仿宋" w:hAnsi="仿宋" w:eastAsia="仿宋"/>
          <w:color w:val="auto"/>
          <w:highlight w:val="none"/>
        </w:rPr>
      </w:pPr>
      <w:bookmarkStart w:id="79" w:name="_Toc12487"/>
      <w:r>
        <w:rPr>
          <w:rFonts w:hint="eastAsia" w:ascii="仿宋" w:hAnsi="仿宋" w:eastAsia="仿宋"/>
          <w:b w:val="0"/>
          <w:color w:val="auto"/>
          <w:highlight w:val="none"/>
        </w:rPr>
        <w:t>一、收</w:t>
      </w:r>
      <w:r>
        <w:rPr>
          <w:rStyle w:val="29"/>
          <w:rFonts w:hint="eastAsia" w:ascii="仿宋" w:hAnsi="仿宋" w:eastAsia="仿宋"/>
          <w:b w:val="0"/>
          <w:bCs w:val="0"/>
          <w:color w:val="auto"/>
          <w:highlight w:val="none"/>
        </w:rPr>
        <w:t>入支出决算总表</w:t>
      </w:r>
      <w:bookmarkEnd w:id="78"/>
      <w:bookmarkEnd w:id="79"/>
    </w:p>
    <w:p w14:paraId="50CA1D2F">
      <w:pPr>
        <w:pStyle w:val="4"/>
        <w:rPr>
          <w:rFonts w:ascii="仿宋" w:hAnsi="仿宋" w:eastAsia="仿宋"/>
          <w:color w:val="auto"/>
          <w:highlight w:val="none"/>
        </w:rPr>
      </w:pPr>
      <w:bookmarkStart w:id="80" w:name="_Toc15396620"/>
      <w:bookmarkStart w:id="81" w:name="_Toc19494"/>
      <w:r>
        <w:rPr>
          <w:rFonts w:hint="eastAsia" w:ascii="仿宋" w:hAnsi="仿宋" w:eastAsia="仿宋"/>
          <w:b w:val="0"/>
          <w:color w:val="auto"/>
          <w:highlight w:val="none"/>
        </w:rPr>
        <w:t>二、收</w:t>
      </w:r>
      <w:r>
        <w:rPr>
          <w:rStyle w:val="29"/>
          <w:rFonts w:hint="eastAsia" w:ascii="仿宋" w:hAnsi="仿宋" w:eastAsia="仿宋"/>
          <w:b w:val="0"/>
          <w:bCs w:val="0"/>
          <w:color w:val="auto"/>
          <w:highlight w:val="none"/>
        </w:rPr>
        <w:t>入决算表</w:t>
      </w:r>
      <w:bookmarkEnd w:id="80"/>
      <w:bookmarkEnd w:id="81"/>
    </w:p>
    <w:p w14:paraId="6BF97BBC">
      <w:pPr>
        <w:pStyle w:val="4"/>
        <w:rPr>
          <w:rFonts w:ascii="仿宋" w:hAnsi="仿宋" w:eastAsia="仿宋"/>
          <w:color w:val="auto"/>
          <w:highlight w:val="none"/>
        </w:rPr>
      </w:pPr>
      <w:bookmarkStart w:id="82" w:name="_Toc15396621"/>
      <w:bookmarkStart w:id="83" w:name="_Toc20482"/>
      <w:r>
        <w:rPr>
          <w:rStyle w:val="29"/>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29"/>
          <w:rFonts w:hint="eastAsia" w:ascii="仿宋" w:hAnsi="仿宋" w:eastAsia="仿宋"/>
          <w:b w:val="0"/>
          <w:bCs w:val="0"/>
          <w:color w:val="auto"/>
          <w:highlight w:val="none"/>
        </w:rPr>
        <w:t>出决算表</w:t>
      </w:r>
      <w:bookmarkEnd w:id="82"/>
      <w:bookmarkEnd w:id="83"/>
    </w:p>
    <w:p w14:paraId="08FF96D3">
      <w:pPr>
        <w:pStyle w:val="4"/>
        <w:rPr>
          <w:rFonts w:ascii="仿宋" w:hAnsi="仿宋" w:eastAsia="仿宋"/>
          <w:b w:val="0"/>
          <w:color w:val="auto"/>
          <w:highlight w:val="none"/>
        </w:rPr>
      </w:pPr>
      <w:bookmarkStart w:id="84" w:name="_Toc15396622"/>
      <w:bookmarkStart w:id="85" w:name="_Toc26930"/>
      <w:r>
        <w:rPr>
          <w:rStyle w:val="29"/>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29"/>
          <w:rFonts w:hint="eastAsia" w:ascii="仿宋" w:hAnsi="仿宋" w:eastAsia="仿宋"/>
          <w:b w:val="0"/>
          <w:bCs w:val="0"/>
          <w:color w:val="auto"/>
          <w:highlight w:val="none"/>
        </w:rPr>
        <w:t>政拨款收入支出决算总表</w:t>
      </w:r>
      <w:bookmarkEnd w:id="84"/>
      <w:bookmarkEnd w:id="85"/>
    </w:p>
    <w:p w14:paraId="09E0A97B">
      <w:pPr>
        <w:pStyle w:val="4"/>
        <w:rPr>
          <w:rStyle w:val="29"/>
          <w:rFonts w:ascii="仿宋" w:hAnsi="仿宋" w:eastAsia="仿宋"/>
          <w:b w:val="0"/>
          <w:bCs w:val="0"/>
          <w:color w:val="auto"/>
          <w:highlight w:val="none"/>
        </w:rPr>
      </w:pPr>
      <w:bookmarkStart w:id="86" w:name="_Toc15396623"/>
      <w:bookmarkStart w:id="87" w:name="_Toc31563"/>
      <w:r>
        <w:rPr>
          <w:rStyle w:val="29"/>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29"/>
          <w:rFonts w:hint="eastAsia" w:ascii="仿宋" w:hAnsi="仿宋" w:eastAsia="仿宋"/>
          <w:b w:val="0"/>
          <w:bCs w:val="0"/>
          <w:color w:val="auto"/>
          <w:highlight w:val="none"/>
        </w:rPr>
        <w:t>政拨款支出决算明细表</w:t>
      </w:r>
      <w:bookmarkEnd w:id="86"/>
      <w:bookmarkEnd w:id="87"/>
      <w:bookmarkStart w:id="88" w:name="_Toc15396624"/>
    </w:p>
    <w:p w14:paraId="7176AEFF">
      <w:pPr>
        <w:pStyle w:val="4"/>
        <w:rPr>
          <w:rFonts w:ascii="仿宋" w:hAnsi="仿宋" w:eastAsia="仿宋"/>
          <w:color w:val="auto"/>
          <w:highlight w:val="none"/>
        </w:rPr>
      </w:pPr>
      <w:bookmarkStart w:id="89" w:name="_Toc2099"/>
      <w:r>
        <w:rPr>
          <w:rStyle w:val="29"/>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29"/>
          <w:rFonts w:hint="eastAsia" w:ascii="仿宋" w:hAnsi="仿宋" w:eastAsia="仿宋"/>
          <w:b w:val="0"/>
          <w:bCs w:val="0"/>
          <w:color w:val="auto"/>
          <w:highlight w:val="none"/>
        </w:rPr>
        <w:t>般公共预算财政拨款支出决算表</w:t>
      </w:r>
      <w:bookmarkEnd w:id="88"/>
      <w:bookmarkEnd w:id="89"/>
    </w:p>
    <w:p w14:paraId="21597D38">
      <w:pPr>
        <w:pStyle w:val="4"/>
        <w:rPr>
          <w:rFonts w:ascii="仿宋" w:hAnsi="仿宋" w:eastAsia="仿宋"/>
          <w:color w:val="auto"/>
          <w:highlight w:val="none"/>
        </w:rPr>
      </w:pPr>
      <w:bookmarkStart w:id="90" w:name="_Toc15396625"/>
      <w:bookmarkStart w:id="91" w:name="_Toc17233"/>
      <w:r>
        <w:rPr>
          <w:rStyle w:val="29"/>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29"/>
          <w:rFonts w:hint="eastAsia" w:ascii="仿宋" w:hAnsi="仿宋" w:eastAsia="仿宋"/>
          <w:b w:val="0"/>
          <w:bCs w:val="0"/>
          <w:color w:val="auto"/>
          <w:highlight w:val="none"/>
        </w:rPr>
        <w:t>般公共预算财政拨款支出决算明细表</w:t>
      </w:r>
      <w:bookmarkEnd w:id="90"/>
      <w:bookmarkEnd w:id="91"/>
    </w:p>
    <w:p w14:paraId="42720988">
      <w:pPr>
        <w:pStyle w:val="4"/>
        <w:rPr>
          <w:rFonts w:ascii="仿宋" w:hAnsi="仿宋" w:eastAsia="仿宋"/>
          <w:color w:val="auto"/>
          <w:highlight w:val="none"/>
        </w:rPr>
      </w:pPr>
      <w:bookmarkStart w:id="92" w:name="_Toc15396626"/>
      <w:bookmarkStart w:id="93" w:name="_Toc10795"/>
      <w:r>
        <w:rPr>
          <w:rStyle w:val="29"/>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29"/>
          <w:rFonts w:hint="eastAsia" w:ascii="仿宋" w:hAnsi="仿宋" w:eastAsia="仿宋"/>
          <w:b w:val="0"/>
          <w:bCs w:val="0"/>
          <w:color w:val="auto"/>
          <w:highlight w:val="none"/>
        </w:rPr>
        <w:t>般公共预算财政拨款基本支出决算表</w:t>
      </w:r>
      <w:bookmarkEnd w:id="92"/>
      <w:bookmarkEnd w:id="93"/>
    </w:p>
    <w:p w14:paraId="6BB6BA06">
      <w:pPr>
        <w:pStyle w:val="4"/>
        <w:rPr>
          <w:rFonts w:ascii="仿宋" w:hAnsi="仿宋" w:eastAsia="仿宋"/>
          <w:color w:val="auto"/>
          <w:highlight w:val="none"/>
        </w:rPr>
      </w:pPr>
      <w:bookmarkStart w:id="94" w:name="_Toc15396627"/>
      <w:bookmarkStart w:id="95" w:name="_Toc13293"/>
      <w:r>
        <w:rPr>
          <w:rStyle w:val="29"/>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29"/>
          <w:rFonts w:hint="eastAsia" w:ascii="仿宋" w:hAnsi="仿宋" w:eastAsia="仿宋"/>
          <w:b w:val="0"/>
          <w:bCs w:val="0"/>
          <w:color w:val="auto"/>
          <w:highlight w:val="none"/>
        </w:rPr>
        <w:t>般公共预算财政拨款项目支出决算表</w:t>
      </w:r>
      <w:bookmarkEnd w:id="94"/>
      <w:bookmarkEnd w:id="95"/>
    </w:p>
    <w:p w14:paraId="23031763">
      <w:pPr>
        <w:pStyle w:val="4"/>
        <w:rPr>
          <w:rFonts w:ascii="仿宋" w:hAnsi="仿宋" w:eastAsia="仿宋"/>
          <w:color w:val="auto"/>
          <w:highlight w:val="none"/>
        </w:rPr>
      </w:pPr>
      <w:bookmarkStart w:id="96" w:name="_Toc15396628"/>
      <w:bookmarkStart w:id="97" w:name="_Toc1764"/>
      <w:r>
        <w:rPr>
          <w:rStyle w:val="29"/>
          <w:rFonts w:hint="eastAsia" w:ascii="仿宋" w:hAnsi="仿宋" w:eastAsia="仿宋"/>
          <w:b w:val="0"/>
          <w:bCs w:val="0"/>
          <w:color w:val="auto"/>
          <w:highlight w:val="none"/>
        </w:rPr>
        <w:t>十、</w:t>
      </w:r>
      <w:bookmarkEnd w:id="96"/>
      <w:r>
        <w:rPr>
          <w:rFonts w:hint="eastAsia" w:ascii="仿宋" w:hAnsi="仿宋" w:eastAsia="仿宋"/>
          <w:b w:val="0"/>
          <w:color w:val="auto"/>
          <w:highlight w:val="none"/>
        </w:rPr>
        <w:t>政</w:t>
      </w:r>
      <w:r>
        <w:rPr>
          <w:rStyle w:val="29"/>
          <w:rFonts w:hint="eastAsia" w:ascii="仿宋" w:hAnsi="仿宋" w:eastAsia="仿宋"/>
          <w:b w:val="0"/>
          <w:bCs w:val="0"/>
          <w:color w:val="auto"/>
          <w:highlight w:val="none"/>
        </w:rPr>
        <w:t>府性基金预算财政拨款收入支出决算表</w:t>
      </w:r>
      <w:bookmarkEnd w:id="97"/>
    </w:p>
    <w:p w14:paraId="77514411">
      <w:pPr>
        <w:pStyle w:val="4"/>
        <w:rPr>
          <w:rFonts w:ascii="仿宋" w:hAnsi="仿宋" w:eastAsia="仿宋"/>
          <w:color w:val="auto"/>
          <w:highlight w:val="none"/>
        </w:rPr>
      </w:pPr>
      <w:bookmarkStart w:id="98" w:name="_Toc15396629"/>
      <w:bookmarkStart w:id="99" w:name="_Toc31672"/>
      <w:r>
        <w:rPr>
          <w:rStyle w:val="29"/>
          <w:rFonts w:hint="eastAsia" w:ascii="仿宋" w:hAnsi="仿宋" w:eastAsia="仿宋"/>
          <w:b w:val="0"/>
          <w:bCs w:val="0"/>
          <w:color w:val="auto"/>
          <w:highlight w:val="none"/>
        </w:rPr>
        <w:t>十一、</w:t>
      </w:r>
      <w:bookmarkEnd w:id="98"/>
      <w:r>
        <w:rPr>
          <w:rFonts w:hint="eastAsia" w:ascii="仿宋" w:hAnsi="仿宋" w:eastAsia="仿宋"/>
          <w:b w:val="0"/>
          <w:color w:val="auto"/>
          <w:highlight w:val="none"/>
        </w:rPr>
        <w:t>国</w:t>
      </w:r>
      <w:r>
        <w:rPr>
          <w:rStyle w:val="29"/>
          <w:rFonts w:hint="eastAsia" w:ascii="仿宋" w:hAnsi="仿宋" w:eastAsia="仿宋"/>
          <w:b w:val="0"/>
          <w:bCs w:val="0"/>
          <w:color w:val="auto"/>
          <w:highlight w:val="none"/>
        </w:rPr>
        <w:t>有资本经营预算</w:t>
      </w:r>
      <w:r>
        <w:rPr>
          <w:rStyle w:val="29"/>
          <w:rFonts w:hint="eastAsia" w:ascii="仿宋" w:hAnsi="仿宋" w:eastAsia="仿宋"/>
          <w:b w:val="0"/>
          <w:bCs w:val="0"/>
          <w:color w:val="auto"/>
          <w:highlight w:val="none"/>
          <w:lang w:eastAsia="zh-CN"/>
        </w:rPr>
        <w:t>财政拨款收入</w:t>
      </w:r>
      <w:r>
        <w:rPr>
          <w:rStyle w:val="29"/>
          <w:rFonts w:hint="eastAsia" w:ascii="仿宋" w:hAnsi="仿宋" w:eastAsia="仿宋"/>
          <w:b w:val="0"/>
          <w:bCs w:val="0"/>
          <w:color w:val="auto"/>
          <w:highlight w:val="none"/>
        </w:rPr>
        <w:t>支出决算表</w:t>
      </w:r>
      <w:bookmarkEnd w:id="99"/>
    </w:p>
    <w:p w14:paraId="4C89A3F8">
      <w:pPr>
        <w:pStyle w:val="4"/>
        <w:rPr>
          <w:rFonts w:ascii="仿宋" w:hAnsi="仿宋" w:eastAsia="仿宋"/>
          <w:color w:val="auto"/>
          <w:highlight w:val="none"/>
        </w:rPr>
      </w:pPr>
      <w:bookmarkStart w:id="100" w:name="_Toc15396630"/>
      <w:bookmarkStart w:id="101" w:name="_Toc22722"/>
      <w:r>
        <w:rPr>
          <w:rStyle w:val="29"/>
          <w:rFonts w:hint="eastAsia" w:ascii="仿宋" w:hAnsi="仿宋" w:eastAsia="仿宋"/>
          <w:b w:val="0"/>
          <w:bCs w:val="0"/>
          <w:color w:val="auto"/>
          <w:highlight w:val="none"/>
        </w:rPr>
        <w:t>十二、</w:t>
      </w:r>
      <w:bookmarkEnd w:id="100"/>
      <w:r>
        <w:rPr>
          <w:rStyle w:val="29"/>
          <w:rFonts w:hint="eastAsia" w:ascii="仿宋" w:hAnsi="仿宋" w:eastAsia="仿宋"/>
          <w:b w:val="0"/>
          <w:bCs w:val="0"/>
          <w:color w:val="auto"/>
          <w:highlight w:val="none"/>
          <w:lang w:eastAsia="zh-CN"/>
        </w:rPr>
        <w:t>国有资本经营预算财政拨款支出决算表</w:t>
      </w:r>
      <w:bookmarkEnd w:id="101"/>
    </w:p>
    <w:p w14:paraId="09806DB9">
      <w:pPr>
        <w:pStyle w:val="4"/>
        <w:rPr>
          <w:rFonts w:hint="eastAsia" w:eastAsia="仿宋"/>
          <w:color w:val="auto"/>
          <w:highlight w:val="none"/>
          <w:lang w:eastAsia="zh-CN"/>
        </w:rPr>
      </w:pPr>
      <w:bookmarkStart w:id="102" w:name="_Toc15396631"/>
      <w:bookmarkStart w:id="103" w:name="_Toc16648"/>
      <w:r>
        <w:rPr>
          <w:rStyle w:val="29"/>
          <w:rFonts w:hint="eastAsia" w:ascii="仿宋" w:hAnsi="仿宋" w:eastAsia="仿宋"/>
          <w:b w:val="0"/>
          <w:bCs w:val="0"/>
          <w:color w:val="auto"/>
          <w:highlight w:val="none"/>
        </w:rPr>
        <w:t>十三、</w:t>
      </w:r>
      <w:bookmarkEnd w:id="102"/>
      <w:r>
        <w:rPr>
          <w:rStyle w:val="29"/>
          <w:rFonts w:hint="eastAsia" w:ascii="仿宋" w:hAnsi="仿宋" w:eastAsia="仿宋"/>
          <w:b w:val="0"/>
          <w:bCs w:val="0"/>
          <w:color w:val="auto"/>
          <w:highlight w:val="none"/>
          <w:lang w:eastAsia="zh-CN"/>
        </w:rPr>
        <w:t>财政拨款“三公”经费支出决算表</w:t>
      </w:r>
      <w:bookmarkEnd w:id="103"/>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5F149D72">
        <w:pPr>
          <w:pStyle w:val="2"/>
          <w:jc w:val="center"/>
        </w:pPr>
        <w:r>
          <w:fldChar w:fldCharType="begin"/>
        </w:r>
        <w:r>
          <w:instrText xml:space="preserve">PAGE   \* MERGEFORMAT</w:instrText>
        </w:r>
        <w:r>
          <w:fldChar w:fldCharType="separate"/>
        </w:r>
        <w:r>
          <w:rPr>
            <w:lang w:val="zh-CN"/>
          </w:rPr>
          <w:t>8</w:t>
        </w:r>
        <w:r>
          <w:fldChar w:fldCharType="end"/>
        </w:r>
      </w:p>
    </w:sdtContent>
  </w:sdt>
  <w:p w14:paraId="36BC3E54">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1D347">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FFF674BC"/>
    <w:multiLevelType w:val="singleLevel"/>
    <w:tmpl w:val="FFF674BC"/>
    <w:lvl w:ilvl="0" w:tentative="0">
      <w:start w:val="1"/>
      <w:numFmt w:val="chineseCounting"/>
      <w:suff w:val="nothing"/>
      <w:lvlText w:val="%1、"/>
      <w:lvlJc w:val="left"/>
      <w:rPr>
        <w:rFonts w:hint="eastAsia"/>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iOGVlNjM0ODc5ZGJhZTE2MGNkN2NhODRmZjA3MmUifQ=="/>
    <w:docVar w:name="KSO_WPS_MARK_KEY" w:val="4ecdc3e3-877f-4be2-b5a4-10e49676028c"/>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143E91"/>
    <w:rsid w:val="0525148D"/>
    <w:rsid w:val="060B21BA"/>
    <w:rsid w:val="066E0107"/>
    <w:rsid w:val="07996F6E"/>
    <w:rsid w:val="0A2032A3"/>
    <w:rsid w:val="0C5E69F0"/>
    <w:rsid w:val="0F98263C"/>
    <w:rsid w:val="101860EC"/>
    <w:rsid w:val="10C055FF"/>
    <w:rsid w:val="110140BE"/>
    <w:rsid w:val="118107EC"/>
    <w:rsid w:val="125E2A50"/>
    <w:rsid w:val="13D50BC4"/>
    <w:rsid w:val="13DC16E8"/>
    <w:rsid w:val="16BB723D"/>
    <w:rsid w:val="1916326F"/>
    <w:rsid w:val="1B440441"/>
    <w:rsid w:val="1BE8440E"/>
    <w:rsid w:val="1D155CEE"/>
    <w:rsid w:val="1FCE70D7"/>
    <w:rsid w:val="1FF35744"/>
    <w:rsid w:val="20B31431"/>
    <w:rsid w:val="23490DF7"/>
    <w:rsid w:val="23860B96"/>
    <w:rsid w:val="240371BF"/>
    <w:rsid w:val="24F417F3"/>
    <w:rsid w:val="276F51C0"/>
    <w:rsid w:val="28C640B7"/>
    <w:rsid w:val="29FD04D3"/>
    <w:rsid w:val="2C8A61B5"/>
    <w:rsid w:val="2DF04E50"/>
    <w:rsid w:val="2F040D46"/>
    <w:rsid w:val="2FCD127F"/>
    <w:rsid w:val="31633344"/>
    <w:rsid w:val="319F7F4E"/>
    <w:rsid w:val="3304709D"/>
    <w:rsid w:val="336408F2"/>
    <w:rsid w:val="36106E1A"/>
    <w:rsid w:val="36AA5135"/>
    <w:rsid w:val="376D39B2"/>
    <w:rsid w:val="37E16F03"/>
    <w:rsid w:val="38D469F0"/>
    <w:rsid w:val="3D567E34"/>
    <w:rsid w:val="3D98207C"/>
    <w:rsid w:val="3E7803D0"/>
    <w:rsid w:val="3E78745D"/>
    <w:rsid w:val="40152228"/>
    <w:rsid w:val="437202D9"/>
    <w:rsid w:val="44E268DA"/>
    <w:rsid w:val="44E90D0A"/>
    <w:rsid w:val="456D0411"/>
    <w:rsid w:val="477F7434"/>
    <w:rsid w:val="481300E2"/>
    <w:rsid w:val="4A627F82"/>
    <w:rsid w:val="4A9B157C"/>
    <w:rsid w:val="4B0E749A"/>
    <w:rsid w:val="4B4F25DA"/>
    <w:rsid w:val="4BE068DB"/>
    <w:rsid w:val="4D2F4427"/>
    <w:rsid w:val="4D577224"/>
    <w:rsid w:val="4EAB630A"/>
    <w:rsid w:val="4ECE2238"/>
    <w:rsid w:val="4F3F15AD"/>
    <w:rsid w:val="51D57A6A"/>
    <w:rsid w:val="521F264E"/>
    <w:rsid w:val="537E6D0A"/>
    <w:rsid w:val="53BD5351"/>
    <w:rsid w:val="547E240B"/>
    <w:rsid w:val="55A1172C"/>
    <w:rsid w:val="5AF92295"/>
    <w:rsid w:val="5CD71FC4"/>
    <w:rsid w:val="610F71DF"/>
    <w:rsid w:val="6A340227"/>
    <w:rsid w:val="6A4C246D"/>
    <w:rsid w:val="6C186A79"/>
    <w:rsid w:val="6C4A05C8"/>
    <w:rsid w:val="6E7E3605"/>
    <w:rsid w:val="6FF5CC65"/>
    <w:rsid w:val="715C0E4B"/>
    <w:rsid w:val="71777CD5"/>
    <w:rsid w:val="72734D90"/>
    <w:rsid w:val="73AD73D5"/>
    <w:rsid w:val="73B6EB34"/>
    <w:rsid w:val="744731E5"/>
    <w:rsid w:val="763D0E14"/>
    <w:rsid w:val="76E3355F"/>
    <w:rsid w:val="778769C8"/>
    <w:rsid w:val="77B3263D"/>
    <w:rsid w:val="79EE5BA4"/>
    <w:rsid w:val="7A894339"/>
    <w:rsid w:val="7EEF11D3"/>
    <w:rsid w:val="7FA30C79"/>
    <w:rsid w:val="7FB7269E"/>
    <w:rsid w:val="7FC96657"/>
    <w:rsid w:val="D8D6DB89"/>
    <w:rsid w:val="DB6F4CAB"/>
    <w:rsid w:val="DF6F97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14">
    <w:name w:val="Body Text First Indent 2"/>
    <w:basedOn w:val="7"/>
    <w:unhideWhenUsed/>
    <w:qFormat/>
    <w:uiPriority w:val="99"/>
    <w:pPr>
      <w:ind w:firstLine="420" w:firstLine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0"/>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2"/>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20178490394797"/>
          <c:y val="0.115233277121979"/>
          <c:w val="0.933444259567388"/>
          <c:h val="0.876335019673974"/>
        </c:manualLayout>
      </c:layout>
      <c:barChart>
        <c:barDir val="col"/>
        <c:grouping val="clustered"/>
        <c:varyColors val="0"/>
        <c:ser>
          <c:idx val="0"/>
          <c:order val="0"/>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2023</a:t>
                    </a:r>
                    <a:r>
                      <a:rPr altLang="en-US"/>
                      <a:t>年收入、支出</a:t>
                    </a:r>
                    <a:r>
                      <a:rPr lang="en-US" altLang="zh-CN"/>
                      <a:t>223.38</a:t>
                    </a:r>
                    <a:r>
                      <a:rPr altLang="en-US"/>
                      <a:t>万元</a:t>
                    </a:r>
                    <a:endParaRPr altLang="en-US"/>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122523067614582"/>
                  <c:y val="-0.15353730024893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a:t>
                    </a:r>
                    <a:r>
                      <a:rPr lang="en-US" altLang="zh-CN"/>
                      <a:t>024</a:t>
                    </a:r>
                    <a:r>
                      <a:rPr altLang="en-US"/>
                      <a:t>年收入、支出</a:t>
                    </a:r>
                    <a:r>
                      <a:rPr lang="en-US" altLang="zh-CN"/>
                      <a:t>164.85</a:t>
                    </a:r>
                    <a:r>
                      <a:rPr altLang="en-US"/>
                      <a:t>万元</a:t>
                    </a:r>
                    <a:endParaRPr altLang="en-US"/>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下降</a:t>
                    </a:r>
                    <a:r>
                      <a:rPr lang="en-US" altLang="zh-CN"/>
                      <a:t>26.20%</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[工作簿1]Sheet1!$A$1:$A$3</c:f>
              <c:numCache>
                <c:formatCode>General</c:formatCode>
                <c:ptCount val="3"/>
                <c:pt idx="0">
                  <c:v>1</c:v>
                </c:pt>
                <c:pt idx="1">
                  <c:v>2</c:v>
                </c:pt>
                <c:pt idx="2">
                  <c:v>3</c:v>
                </c:pt>
              </c:numCache>
            </c:numRef>
          </c:val>
        </c:ser>
        <c:dLbls>
          <c:showLegendKey val="0"/>
          <c:showVal val="1"/>
          <c:showCatName val="0"/>
          <c:showSerName val="0"/>
          <c:showPercent val="0"/>
          <c:showBubbleSize val="0"/>
        </c:dLbls>
        <c:gapWidth val="219"/>
        <c:overlap val="-27"/>
        <c:axId val="796190284"/>
        <c:axId val="876786103"/>
      </c:barChart>
      <c:catAx>
        <c:axId val="796190284"/>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6786103"/>
        <c:crosses val="autoZero"/>
        <c:auto val="1"/>
        <c:lblAlgn val="ctr"/>
        <c:lblOffset val="100"/>
        <c:noMultiLvlLbl val="0"/>
      </c:catAx>
      <c:valAx>
        <c:axId val="876786103"/>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6190284"/>
        <c:crosses val="autoZero"/>
        <c:crossBetween val="between"/>
      </c:valAx>
      <c:spPr>
        <a:noFill/>
        <a:ln>
          <a:noFill/>
        </a:ln>
        <a:effectLst/>
      </c:spPr>
    </c:plotArea>
    <c:plotVisOnly val="1"/>
    <c:dispBlanksAs val="gap"/>
    <c:showDLblsOverMax val="0"/>
    <c:extLst>
      <c:ext uri="{0b15fc19-7d7d-44ad-8c2d-2c3a37ce22c3}">
        <chartProps xmlns="https://web.wps.cn/et/2018/main" chartId="{5d97457d-4ae6-401d-8a90-4e6f6b55f44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20178490394797"/>
          <c:y val="0.115233277121979"/>
          <c:w val="0.933444259567388"/>
          <c:h val="0.876335019673974"/>
        </c:manualLayout>
      </c:layout>
      <c:barChart>
        <c:barDir val="col"/>
        <c:grouping val="clustered"/>
        <c:varyColors val="0"/>
        <c:ser>
          <c:idx val="0"/>
          <c:order val="0"/>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2023</a:t>
                    </a:r>
                    <a:r>
                      <a:rPr altLang="en-US"/>
                      <a:t>年收入、支出</a:t>
                    </a:r>
                    <a:r>
                      <a:rPr lang="en-US" altLang="zh-CN"/>
                      <a:t>223.38</a:t>
                    </a:r>
                    <a:r>
                      <a:rPr altLang="en-US"/>
                      <a:t>万元</a:t>
                    </a:r>
                    <a:endParaRPr altLang="en-US"/>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122523067614582"/>
                  <c:y val="-0.15353730024893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a:t>
                    </a:r>
                    <a:r>
                      <a:rPr lang="en-US" altLang="zh-CN"/>
                      <a:t>024</a:t>
                    </a:r>
                    <a:r>
                      <a:rPr altLang="en-US"/>
                      <a:t>年收入、支出</a:t>
                    </a:r>
                    <a:r>
                      <a:rPr lang="en-US" altLang="zh-CN"/>
                      <a:t>164.85</a:t>
                    </a:r>
                    <a:r>
                      <a:rPr altLang="en-US"/>
                      <a:t>万元</a:t>
                    </a:r>
                    <a:endParaRPr altLang="en-US"/>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下降</a:t>
                    </a:r>
                    <a:r>
                      <a:rPr lang="en-US" altLang="zh-CN"/>
                      <a:t>26.20%</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[工作簿1]Sheet1!$A$1:$A$3</c:f>
              <c:numCache>
                <c:formatCode>General</c:formatCode>
                <c:ptCount val="3"/>
                <c:pt idx="0">
                  <c:v>1</c:v>
                </c:pt>
                <c:pt idx="1">
                  <c:v>2</c:v>
                </c:pt>
                <c:pt idx="2">
                  <c:v>3</c:v>
                </c:pt>
              </c:numCache>
            </c:numRef>
          </c:val>
        </c:ser>
        <c:dLbls>
          <c:showLegendKey val="0"/>
          <c:showVal val="1"/>
          <c:showCatName val="0"/>
          <c:showSerName val="0"/>
          <c:showPercent val="0"/>
          <c:showBubbleSize val="0"/>
        </c:dLbls>
        <c:gapWidth val="219"/>
        <c:overlap val="-27"/>
        <c:axId val="796190284"/>
        <c:axId val="876786103"/>
      </c:barChart>
      <c:catAx>
        <c:axId val="796190284"/>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6786103"/>
        <c:crosses val="autoZero"/>
        <c:auto val="1"/>
        <c:lblAlgn val="ctr"/>
        <c:lblOffset val="100"/>
        <c:noMultiLvlLbl val="0"/>
      </c:catAx>
      <c:valAx>
        <c:axId val="876786103"/>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6190284"/>
        <c:crosses val="autoZero"/>
        <c:crossBetween val="between"/>
      </c:valAx>
      <c:spPr>
        <a:noFill/>
        <a:ln>
          <a:noFill/>
        </a:ln>
        <a:effectLst/>
      </c:spPr>
    </c:plotArea>
    <c:plotVisOnly val="1"/>
    <c:dispBlanksAs val="gap"/>
    <c:showDLblsOverMax val="0"/>
    <c:extLst>
      <c:ext uri="{0b15fc19-7d7d-44ad-8c2d-2c3a37ce22c3}">
        <chartProps xmlns="https://web.wps.cn/et/2018/main" chartId="{d3218fb8-5484-4fd8-8e6f-bd7a8f311ab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375"/>
                  <c:y val="0.0937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政府性基金预算财政拨款收入占13.34%</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64583333333333"/>
                  <c:y val="-0.090277777777777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一般公共预算财政拨款收入占86.66%</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[工作簿1]Sheet1!$A$1:$A$2</c:f>
              <c:numCache>
                <c:formatCode>General</c:formatCode>
                <c:ptCount val="2"/>
                <c:pt idx="0">
                  <c:v>1</c:v>
                </c:pt>
                <c:pt idx="1">
                  <c:v>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675c98f5-4715-45fd-a8b2-1127f2520a9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533958553925273"/>
          <c:y val="0.00843170320404722"/>
          <c:w val="0.933444259567388"/>
          <c:h val="0.876335019673974"/>
        </c:manualLayout>
      </c:layout>
      <c:barChart>
        <c:barDir val="col"/>
        <c:grouping val="clustered"/>
        <c:varyColors val="0"/>
        <c:ser>
          <c:idx val="0"/>
          <c:order val="0"/>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2023</a:t>
                    </a:r>
                    <a:r>
                      <a:rPr altLang="en-US"/>
                      <a:t>年收入、支出</a:t>
                    </a:r>
                    <a:r>
                      <a:rPr lang="en-US" altLang="zh-CN"/>
                      <a:t>223.38</a:t>
                    </a:r>
                    <a:r>
                      <a:rPr altLang="en-US"/>
                      <a:t>万元</a:t>
                    </a:r>
                    <a:endParaRPr altLang="en-US"/>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122523067614582"/>
                  <c:y val="-0.15353730024893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a:t>
                    </a:r>
                    <a:r>
                      <a:rPr lang="en-US" altLang="zh-CN"/>
                      <a:t>024</a:t>
                    </a:r>
                    <a:r>
                      <a:rPr altLang="en-US"/>
                      <a:t>年收入、支出</a:t>
                    </a:r>
                    <a:r>
                      <a:rPr lang="en-US" altLang="zh-CN"/>
                      <a:t>164.85</a:t>
                    </a:r>
                    <a:r>
                      <a:rPr altLang="en-US"/>
                      <a:t>万元</a:t>
                    </a:r>
                    <a:endParaRPr altLang="en-US"/>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下降</a:t>
                    </a:r>
                    <a:r>
                      <a:rPr lang="en-US" altLang="zh-CN"/>
                      <a:t>26.20%</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[工作簿1]Sheet1!$A$1:$A$3</c:f>
              <c:numCache>
                <c:formatCode>General</c:formatCode>
                <c:ptCount val="3"/>
                <c:pt idx="0">
                  <c:v>1</c:v>
                </c:pt>
                <c:pt idx="1">
                  <c:v>2</c:v>
                </c:pt>
                <c:pt idx="2">
                  <c:v>3</c:v>
                </c:pt>
              </c:numCache>
            </c:numRef>
          </c:val>
        </c:ser>
        <c:dLbls>
          <c:showLegendKey val="0"/>
          <c:showVal val="1"/>
          <c:showCatName val="0"/>
          <c:showSerName val="0"/>
          <c:showPercent val="0"/>
          <c:showBubbleSize val="0"/>
        </c:dLbls>
        <c:gapWidth val="219"/>
        <c:overlap val="-27"/>
        <c:axId val="796190284"/>
        <c:axId val="876786103"/>
      </c:barChart>
      <c:catAx>
        <c:axId val="796190284"/>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6786103"/>
        <c:crosses val="autoZero"/>
        <c:auto val="1"/>
        <c:lblAlgn val="ctr"/>
        <c:lblOffset val="100"/>
        <c:noMultiLvlLbl val="0"/>
      </c:catAx>
      <c:valAx>
        <c:axId val="876786103"/>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6190284"/>
        <c:crosses val="autoZero"/>
        <c:crossBetween val="between"/>
      </c:valAx>
      <c:spPr>
        <a:noFill/>
        <a:ln>
          <a:noFill/>
        </a:ln>
        <a:effectLst/>
      </c:spPr>
    </c:plotArea>
    <c:plotVisOnly val="1"/>
    <c:dispBlanksAs val="gap"/>
    <c:showDLblsOverMax val="0"/>
    <c:extLst>
      <c:ext uri="{0b15fc19-7d7d-44ad-8c2d-2c3a37ce22c3}">
        <chartProps xmlns="https://web.wps.cn/et/2018/main" chartId="{286fc7ff-731a-4b62-bc15-c9986e1471f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202</a:t>
                    </a:r>
                    <a:r>
                      <a:rPr lang="en-US" altLang="zh-CN"/>
                      <a:t>3</a:t>
                    </a:r>
                    <a:r>
                      <a:t>年</a:t>
                    </a:r>
                    <a:r>
                      <a:rPr lang="en-US" altLang="zh-CN"/>
                      <a:t>203.44</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0208333333333333"/>
                  <c:y val="0"/>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2024年142.85万元</a:t>
                    </a:r>
                  </a:p>
                  <a:p>
                    <a:pPr defTabSz="914400">
                      <a:defRPr lang="zh-CN" sz="900" b="0" i="0" u="none" strike="noStrike" kern="1200" baseline="0">
                        <a:solidFill>
                          <a:schemeClr val="tx1">
                            <a:lumMod val="75000"/>
                            <a:lumOff val="25000"/>
                          </a:schemeClr>
                        </a:solidFill>
                        <a:latin typeface="+mn-lt"/>
                        <a:ea typeface="+mn-ea"/>
                        <a:cs typeface="+mn-cs"/>
                      </a:defRPr>
                    </a:pPr>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下降29.78%</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[工作簿1]Sheet1!$A$1:$A$3</c:f>
              <c:numCache>
                <c:formatCode>General</c:formatCode>
                <c:ptCount val="3"/>
                <c:pt idx="0">
                  <c:v>1</c:v>
                </c:pt>
                <c:pt idx="1">
                  <c:v>2</c:v>
                </c:pt>
                <c:pt idx="2">
                  <c:v>3</c:v>
                </c:pt>
              </c:numCache>
            </c:numRef>
          </c:val>
        </c:ser>
        <c:dLbls>
          <c:showLegendKey val="0"/>
          <c:showVal val="1"/>
          <c:showCatName val="0"/>
          <c:showSerName val="0"/>
          <c:showPercent val="0"/>
          <c:showBubbleSize val="0"/>
        </c:dLbls>
        <c:gapWidth val="219"/>
        <c:overlap val="-27"/>
        <c:axId val="391961202"/>
        <c:axId val="11280138"/>
      </c:barChart>
      <c:catAx>
        <c:axId val="391961202"/>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280138"/>
        <c:crosses val="autoZero"/>
        <c:auto val="1"/>
        <c:lblAlgn val="ctr"/>
        <c:lblOffset val="100"/>
        <c:noMultiLvlLbl val="0"/>
      </c:catAx>
      <c:valAx>
        <c:axId val="11280138"/>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1961202"/>
        <c:crosses val="autoZero"/>
        <c:crossBetween val="between"/>
      </c:valAx>
      <c:spPr>
        <a:noFill/>
        <a:ln>
          <a:noFill/>
        </a:ln>
        <a:effectLst/>
      </c:spPr>
    </c:plotArea>
    <c:plotVisOnly val="1"/>
    <c:dispBlanksAs val="gap"/>
    <c:showDLblsOverMax val="0"/>
    <c:extLst>
      <c:ext uri="{0b15fc19-7d7d-44ad-8c2d-2c3a37ce22c3}">
        <chartProps xmlns="https://web.wps.cn/et/2018/main" chartId="{50215861-6661-479d-8c6e-75757141271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0.000718912924583069"/>
                  <c:y val="0.0676849917671922"/>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农林水支出占1.17%</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84209210068454"/>
                  <c:y val="0.08018813262751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卫生健康支出占3.37%</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35406670702536"/>
                  <c:y val="-0.0283649158673634"/>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住房保障支出占7.71%</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833333333333333"/>
                  <c:y val="-0.10416666666666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社会保障和就业支出，占15.69%</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854166666666667"/>
                  <c:y val="0.090277777777777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一般公共服务支出72.06%</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[工作簿1]Sheet1!$A$1:$A$5</c:f>
              <c:numCache>
                <c:formatCode>General</c:formatCode>
                <c:ptCount val="5"/>
                <c:pt idx="0">
                  <c:v>1</c:v>
                </c:pt>
                <c:pt idx="1">
                  <c:v>2</c:v>
                </c:pt>
                <c:pt idx="2">
                  <c:v>3</c:v>
                </c:pt>
                <c:pt idx="3">
                  <c:v>4</c:v>
                </c:pt>
                <c:pt idx="4">
                  <c:v>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ea7cb96b-38b2-440e-81dc-254decbc3d2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486692706749014"/>
                  <c:y val="0.136626638280004"/>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因公出国（境）</a:t>
                    </a:r>
                    <a:r>
                      <a:rPr lang="en-US" altLang="zh-CN"/>
                      <a:t>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公务接待</a:t>
                    </a:r>
                    <a:r>
                      <a:rPr lang="en-US" altLang="zh-CN"/>
                      <a:t>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0.177083333333333"/>
                  <c:y val="0.0520833333333333"/>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公务用车购置及运行维护</a:t>
                    </a:r>
                    <a:r>
                      <a:rPr lang="en-US" altLang="zh-CN"/>
                      <a:t>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[工作簿1]Sheet1!$A$1:$A$3</c:f>
              <c:numCache>
                <c:formatCode>General</c:formatCode>
                <c:ptCount val="3"/>
                <c:pt idx="0">
                  <c:v>1</c:v>
                </c:pt>
                <c:pt idx="1">
                  <c:v>2</c:v>
                </c:pt>
                <c:pt idx="2">
                  <c:v>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501d07fe-a5dd-4d83-9a95-32d1da89b76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8102</Words>
  <Characters>8879</Characters>
  <Lines>61</Lines>
  <Paragraphs>17</Paragraphs>
  <TotalTime>4</TotalTime>
  <ScaleCrop>false</ScaleCrop>
  <LinksUpToDate>false</LinksUpToDate>
  <CharactersWithSpaces>8969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吉面子里</cp:lastModifiedBy>
  <cp:lastPrinted>2023-07-31T02:35:00Z</cp:lastPrinted>
  <dcterms:modified xsi:type="dcterms:W3CDTF">2025-11-04T07:34:31Z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900CB25E1D0D46819E1940B1563777F7_13</vt:lpwstr>
  </property>
  <property fmtid="{D5CDD505-2E9C-101B-9397-08002B2CF9AE}" pid="4" name="KSOTemplateDocerSaveRecord">
    <vt:lpwstr>eyJoZGlkIjoiZWRiOGVlNjM0ODc5ZGJhZTE2MGNkN2NhODRmZjA3MmUiLCJ1c2VySWQiOiIxNzEyNzY5NDE3In0=</vt:lpwstr>
  </property>
</Properties>
</file>