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3D0EF">
      <w:pPr>
        <w:pStyle w:val="2"/>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78441"/>
      <w:bookmarkStart w:id="2" w:name="_Toc15377193"/>
      <w:bookmarkStart w:id="3" w:name="_Toc15396475"/>
      <w:bookmarkStart w:id="4" w:name="_Toc15306267"/>
      <w:bookmarkStart w:id="5" w:name="_Toc15396597"/>
    </w:p>
    <w:p w14:paraId="5BCAA947">
      <w:pPr>
        <w:pStyle w:val="2"/>
        <w:rPr>
          <w:rFonts w:hint="eastAsia" w:ascii="Times New Roman" w:hAnsi="Times New Roman" w:eastAsia="方正小标宋简体" w:cs="Times New Roman"/>
          <w:color w:val="auto"/>
          <w:kern w:val="2"/>
          <w:sz w:val="72"/>
          <w:szCs w:val="72"/>
          <w:highlight w:val="none"/>
          <w:lang w:val="en-US" w:eastAsia="zh-CN" w:bidi="ar-SA"/>
        </w:rPr>
      </w:pPr>
    </w:p>
    <w:p w14:paraId="6649D830">
      <w:pPr>
        <w:pStyle w:val="2"/>
        <w:rPr>
          <w:rFonts w:hint="eastAsia" w:ascii="Times New Roman" w:hAnsi="Times New Roman" w:eastAsia="方正小标宋简体" w:cs="Times New Roman"/>
          <w:color w:val="auto"/>
          <w:kern w:val="2"/>
          <w:sz w:val="72"/>
          <w:szCs w:val="72"/>
          <w:highlight w:val="none"/>
          <w:lang w:val="en-US" w:eastAsia="zh-CN" w:bidi="ar-SA"/>
        </w:rPr>
      </w:pPr>
    </w:p>
    <w:p w14:paraId="2949661E">
      <w:pPr>
        <w:pStyle w:val="2"/>
        <w:jc w:val="center"/>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2024年度</w:t>
      </w:r>
      <w:r>
        <w:rPr>
          <w:rFonts w:hint="eastAsia" w:ascii="Times New Roman" w:eastAsia="方正小标宋简体" w:cs="Times New Roman"/>
          <w:color w:val="auto"/>
          <w:kern w:val="2"/>
          <w:sz w:val="44"/>
          <w:szCs w:val="44"/>
          <w:highlight w:val="none"/>
          <w:lang w:val="en-US" w:eastAsia="zh-CN" w:bidi="ar-SA"/>
        </w:rPr>
        <w:t>马边彝族自治县雪口山镇人民政府单位</w:t>
      </w:r>
      <w:r>
        <w:rPr>
          <w:rFonts w:hint="eastAsia" w:ascii="Times New Roman" w:hAnsi="Times New Roman" w:eastAsia="方正小标宋简体" w:cs="Times New Roman"/>
          <w:color w:val="auto"/>
          <w:kern w:val="2"/>
          <w:sz w:val="44"/>
          <w:szCs w:val="44"/>
          <w:highlight w:val="none"/>
          <w:lang w:val="en-US" w:eastAsia="zh-CN" w:bidi="ar-SA"/>
        </w:rPr>
        <w:t>决</w:t>
      </w:r>
      <w:r>
        <w:rPr>
          <w:rFonts w:hint="eastAsia" w:ascii="Times New Roman" w:eastAsia="方正小标宋简体" w:cs="Times New Roman"/>
          <w:color w:val="auto"/>
          <w:kern w:val="2"/>
          <w:sz w:val="44"/>
          <w:szCs w:val="44"/>
          <w:highlight w:val="none"/>
          <w:lang w:val="en-US" w:eastAsia="zh-CN" w:bidi="ar-SA"/>
        </w:rPr>
        <w:t>算公开报告</w:t>
      </w:r>
    </w:p>
    <w:bookmarkEnd w:id="0"/>
    <w:bookmarkEnd w:id="1"/>
    <w:bookmarkEnd w:id="2"/>
    <w:bookmarkEnd w:id="3"/>
    <w:bookmarkEnd w:id="4"/>
    <w:bookmarkEnd w:id="5"/>
    <w:sdt>
      <w:sdtPr>
        <w:rPr>
          <w:rFonts w:ascii="宋体" w:hAnsi="宋体" w:eastAsia="宋体" w:cs="Times New Roman"/>
          <w:b/>
          <w:bCs/>
          <w:kern w:val="2"/>
          <w:sz w:val="44"/>
          <w:szCs w:val="44"/>
          <w:lang w:val="en-US" w:eastAsia="zh-CN" w:bidi="ar-SA"/>
        </w:rPr>
        <w:id w:val="147481896"/>
        <w15:color w:val="DBDBDB"/>
        <w:docPartObj>
          <w:docPartGallery w:val="Table of Contents"/>
          <w:docPartUnique/>
        </w:docPartObj>
      </w:sdtPr>
      <w:sdtEndPr>
        <w:rPr>
          <w:rFonts w:hint="eastAsia" w:ascii="Times New Roman" w:hAnsi="Times New Roman" w:eastAsia="方正小标宋简体" w:cs="方正小标宋简体"/>
          <w:b/>
          <w:bCs/>
          <w:color w:val="auto"/>
          <w:kern w:val="44"/>
          <w:sz w:val="44"/>
          <w:szCs w:val="44"/>
          <w:highlight w:val="none"/>
          <w:lang w:val="en-US" w:eastAsia="zh-CN" w:bidi="ar-SA"/>
        </w:rPr>
      </w:sdtEndPr>
      <w:sdtContent>
        <w:p w14:paraId="201EF8D5">
          <w:pPr>
            <w:spacing w:before="0" w:beforeLines="0" w:after="0" w:afterLines="0" w:line="240" w:lineRule="auto"/>
            <w:ind w:left="0" w:leftChars="0" w:right="0" w:rightChars="0" w:firstLine="0" w:firstLineChars="0"/>
            <w:jc w:val="center"/>
            <w:rPr>
              <w:rFonts w:ascii="宋体" w:hAnsi="宋体" w:eastAsia="宋体"/>
              <w:b/>
              <w:bCs/>
              <w:sz w:val="44"/>
              <w:szCs w:val="44"/>
            </w:rPr>
          </w:pPr>
          <w:bookmarkStart w:id="6" w:name="_Toc15377196"/>
          <w:bookmarkStart w:id="7" w:name="_Toc15396599"/>
          <w:r>
            <w:rPr>
              <w:rFonts w:ascii="宋体" w:hAnsi="宋体" w:eastAsia="宋体"/>
              <w:b/>
              <w:bCs/>
              <w:sz w:val="44"/>
              <w:szCs w:val="44"/>
            </w:rPr>
            <w:t>目录</w:t>
          </w:r>
        </w:p>
        <w:p w14:paraId="4D1E96D1">
          <w:pPr>
            <w:pStyle w:val="2"/>
            <w:rPr>
              <w:rFonts w:hint="default" w:ascii="宋体" w:hAnsi="宋体" w:eastAsia="宋体"/>
              <w:b/>
              <w:bCs/>
              <w:sz w:val="44"/>
              <w:szCs w:val="44"/>
              <w:lang w:val="en-US" w:eastAsia="zh-CN"/>
            </w:rPr>
          </w:pPr>
          <w:r>
            <w:rPr>
              <w:rFonts w:hint="eastAsia" w:ascii="宋体" w:hAnsi="宋体" w:eastAsia="宋体"/>
              <w:b/>
              <w:bCs/>
              <w:sz w:val="44"/>
              <w:szCs w:val="44"/>
              <w:lang w:val="en-US" w:eastAsia="zh-CN"/>
            </w:rPr>
            <w:t xml:space="preserve">           </w:t>
          </w:r>
          <w:r>
            <w:rPr>
              <w:rFonts w:hint="eastAsia" w:ascii="仿宋" w:hAnsi="仿宋" w:eastAsia="仿宋" w:cs="仿宋"/>
              <w:b w:val="0"/>
              <w:bCs w:val="0"/>
              <w:sz w:val="28"/>
              <w:szCs w:val="28"/>
              <w:lang w:val="en-US" w:eastAsia="zh-CN"/>
            </w:rPr>
            <w:t>公开时间：2025年10月2</w:t>
          </w:r>
          <w:bookmarkStart w:id="92" w:name="_GoBack"/>
          <w:bookmarkEnd w:id="92"/>
          <w:r>
            <w:rPr>
              <w:rFonts w:hint="eastAsia" w:ascii="仿宋" w:hAnsi="仿宋" w:eastAsia="仿宋" w:cs="仿宋"/>
              <w:b w:val="0"/>
              <w:bCs w:val="0"/>
              <w:sz w:val="28"/>
              <w:szCs w:val="28"/>
              <w:lang w:val="en-US" w:eastAsia="zh-CN"/>
            </w:rPr>
            <w:t>4日</w:t>
          </w:r>
        </w:p>
        <w:p w14:paraId="5B5A01E2">
          <w:pPr>
            <w:pStyle w:val="2"/>
            <w:rPr>
              <w:rFonts w:ascii="宋体" w:hAnsi="宋体" w:eastAsia="宋体"/>
              <w:b/>
              <w:bCs/>
              <w:sz w:val="44"/>
              <w:szCs w:val="44"/>
            </w:rPr>
          </w:pPr>
        </w:p>
        <w:p w14:paraId="27E26248">
          <w:pPr>
            <w:pStyle w:val="12"/>
            <w:tabs>
              <w:tab w:val="right" w:leader="dot" w:pos="8306"/>
              <w:tab w:val="clear" w:pos="8296"/>
            </w:tabs>
          </w:pPr>
          <w:r>
            <w:rPr>
              <w:rFonts w:hint="eastAsia" w:ascii="Times New Roman" w:hAnsi="Times New Roman" w:eastAsia="方正小标宋简体" w:cs="方正小标宋简体"/>
              <w:b w:val="0"/>
              <w:color w:val="auto"/>
              <w:highlight w:val="none"/>
            </w:rPr>
            <w:fldChar w:fldCharType="begin"/>
          </w:r>
          <w:r>
            <w:rPr>
              <w:rFonts w:hint="eastAsia" w:ascii="Times New Roman" w:hAnsi="Times New Roman" w:eastAsia="方正小标宋简体" w:cs="方正小标宋简体"/>
              <w:b w:val="0"/>
              <w:color w:val="auto"/>
              <w:highlight w:val="none"/>
            </w:rPr>
            <w:instrText xml:space="preserve">TOC \o "1-3" \h \u </w:instrText>
          </w:r>
          <w:r>
            <w:rPr>
              <w:rFonts w:hint="eastAsia" w:ascii="Times New Roman" w:hAnsi="Times New Roman" w:eastAsia="方正小标宋简体" w:cs="方正小标宋简体"/>
              <w:b w:val="0"/>
              <w:color w:val="auto"/>
              <w:highlight w:val="none"/>
            </w:rPr>
            <w:fldChar w:fldCharType="separate"/>
          </w: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_Toc27253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bCs w:val="0"/>
              <w:highlight w:val="none"/>
            </w:rPr>
            <w:t>部门概况</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_Toc27253 \h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- 1 -</w:t>
          </w:r>
          <w:r>
            <w:rPr>
              <w:rFonts w:ascii="Times New Roman" w:hAnsi="Times New Roman" w:eastAsia="宋体" w:cs="Times New Roman"/>
              <w:kern w:val="2"/>
              <w:sz w:val="21"/>
              <w:szCs w:val="24"/>
              <w:lang w:val="en-US" w:eastAsia="zh-CN" w:bidi="ar-SA"/>
            </w:rPr>
            <w:fldChar w:fldCharType="end"/>
          </w:r>
          <w:r>
            <w:rPr>
              <w:rFonts w:hint="eastAsia" w:ascii="Times New Roman" w:hAnsi="Times New Roman" w:eastAsia="方正小标宋简体" w:cs="方正小标宋简体"/>
              <w:color w:val="auto"/>
              <w:highlight w:val="none"/>
            </w:rPr>
            <w:fldChar w:fldCharType="end"/>
          </w:r>
        </w:p>
        <w:p w14:paraId="71531A73">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_Toc8406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lang w:eastAsia="zh-CN"/>
            </w:rPr>
            <w:t>一、</w:t>
          </w:r>
          <w:r>
            <w:rPr>
              <w:rFonts w:hint="eastAsia" w:ascii="Times New Roman" w:hAnsi="Times New Roman" w:eastAsia="黑体"/>
              <w:highlight w:val="none"/>
              <w:lang w:eastAsia="zh-CN"/>
            </w:rPr>
            <w:t>部门职责</w:t>
          </w:r>
          <w:r>
            <w:tab/>
          </w:r>
          <w:r>
            <w:fldChar w:fldCharType="begin"/>
          </w:r>
          <w:r>
            <w:instrText xml:space="preserve"> PAGEREF _Toc8406 \h </w:instrText>
          </w:r>
          <w:r>
            <w:fldChar w:fldCharType="separate"/>
          </w:r>
          <w:r>
            <w:t>- 1 -</w:t>
          </w:r>
          <w:r>
            <w:fldChar w:fldCharType="end"/>
          </w:r>
          <w:r>
            <w:rPr>
              <w:rFonts w:hint="eastAsia" w:ascii="Times New Roman" w:hAnsi="Times New Roman" w:eastAsia="方正小标宋简体" w:cs="方正小标宋简体"/>
              <w:color w:val="auto"/>
              <w:highlight w:val="none"/>
            </w:rPr>
            <w:fldChar w:fldCharType="end"/>
          </w:r>
        </w:p>
        <w:p w14:paraId="6512252F">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_Toc9507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_Toc9507 \h </w:instrText>
          </w:r>
          <w:r>
            <w:fldChar w:fldCharType="separate"/>
          </w:r>
          <w:r>
            <w:t>- 2 -</w:t>
          </w:r>
          <w:r>
            <w:fldChar w:fldCharType="end"/>
          </w:r>
          <w:r>
            <w:rPr>
              <w:rFonts w:hint="eastAsia" w:ascii="Times New Roman" w:hAnsi="Times New Roman" w:eastAsia="方正小标宋简体" w:cs="方正小标宋简体"/>
              <w:color w:val="auto"/>
              <w:highlight w:val="none"/>
            </w:rPr>
            <w:fldChar w:fldCharType="end"/>
          </w:r>
        </w:p>
        <w:p w14:paraId="279D9336">
          <w:pPr>
            <w:pStyle w:val="12"/>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_Toc15229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2024年度</w:t>
          </w:r>
          <w:r>
            <w:rPr>
              <w:rFonts w:hint="eastAsia" w:ascii="Times New Roman" w:hAnsi="Times New Roman" w:eastAsia="方正小标宋简体" w:cs="方正小标宋简体"/>
              <w:highlight w:val="none"/>
            </w:rPr>
            <w:t>部门决算情况说明</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_Toc15229 \h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- 3 -</w:t>
          </w:r>
          <w:r>
            <w:rPr>
              <w:rFonts w:ascii="Times New Roman" w:hAnsi="Times New Roman" w:eastAsia="宋体" w:cs="Times New Roman"/>
              <w:kern w:val="2"/>
              <w:sz w:val="21"/>
              <w:szCs w:val="24"/>
              <w:lang w:val="en-US" w:eastAsia="zh-CN" w:bidi="ar-SA"/>
            </w:rPr>
            <w:fldChar w:fldCharType="end"/>
          </w:r>
          <w:r>
            <w:rPr>
              <w:rFonts w:hint="eastAsia" w:ascii="Times New Roman" w:hAnsi="Times New Roman" w:eastAsia="方正小标宋简体" w:cs="方正小标宋简体"/>
              <w:color w:val="auto"/>
              <w:highlight w:val="none"/>
            </w:rPr>
            <w:fldChar w:fldCharType="end"/>
          </w:r>
        </w:p>
        <w:p w14:paraId="39427463">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_Toc23686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_Toc23686 \h </w:instrText>
          </w:r>
          <w:r>
            <w:fldChar w:fldCharType="separate"/>
          </w:r>
          <w:r>
            <w:t>- 3 -</w:t>
          </w:r>
          <w:r>
            <w:fldChar w:fldCharType="end"/>
          </w:r>
          <w:r>
            <w:rPr>
              <w:rFonts w:hint="eastAsia" w:ascii="Times New Roman" w:hAnsi="Times New Roman" w:eastAsia="方正小标宋简体" w:cs="方正小标宋简体"/>
              <w:color w:val="auto"/>
              <w:highlight w:val="none"/>
            </w:rPr>
            <w:fldChar w:fldCharType="end"/>
          </w:r>
        </w:p>
        <w:p w14:paraId="2204972A">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_Toc31563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_Toc31563 \h </w:instrText>
          </w:r>
          <w:r>
            <w:fldChar w:fldCharType="separate"/>
          </w:r>
          <w:r>
            <w:t>- 3 -</w:t>
          </w:r>
          <w:r>
            <w:fldChar w:fldCharType="end"/>
          </w:r>
          <w:r>
            <w:rPr>
              <w:rFonts w:hint="eastAsia" w:ascii="Times New Roman" w:hAnsi="Times New Roman" w:eastAsia="方正小标宋简体" w:cs="方正小标宋简体"/>
              <w:color w:val="auto"/>
              <w:highlight w:val="none"/>
            </w:rPr>
            <w:fldChar w:fldCharType="end"/>
          </w:r>
        </w:p>
        <w:p w14:paraId="0042862C">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_Toc18510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_Toc18510 \h </w:instrText>
          </w:r>
          <w:r>
            <w:fldChar w:fldCharType="separate"/>
          </w:r>
          <w:r>
            <w:t>- 5 -</w:t>
          </w:r>
          <w:r>
            <w:fldChar w:fldCharType="end"/>
          </w:r>
          <w:r>
            <w:rPr>
              <w:rFonts w:hint="eastAsia" w:ascii="Times New Roman" w:hAnsi="Times New Roman" w:eastAsia="方正小标宋简体" w:cs="方正小标宋简体"/>
              <w:color w:val="auto"/>
              <w:highlight w:val="none"/>
            </w:rPr>
            <w:fldChar w:fldCharType="end"/>
          </w:r>
        </w:p>
        <w:p w14:paraId="7164052B">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_Toc6268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_Toc6268 \h </w:instrText>
          </w:r>
          <w:r>
            <w:fldChar w:fldCharType="separate"/>
          </w:r>
          <w:r>
            <w:t>- 6 -</w:t>
          </w:r>
          <w:r>
            <w:fldChar w:fldCharType="end"/>
          </w:r>
          <w:r>
            <w:rPr>
              <w:rFonts w:hint="eastAsia" w:ascii="Times New Roman" w:hAnsi="Times New Roman" w:eastAsia="方正小标宋简体" w:cs="方正小标宋简体"/>
              <w:color w:val="auto"/>
              <w:highlight w:val="none"/>
            </w:rPr>
            <w:fldChar w:fldCharType="end"/>
          </w:r>
        </w:p>
        <w:p w14:paraId="06802278">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_Toc10432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_Toc10432 \h </w:instrText>
          </w:r>
          <w:r>
            <w:fldChar w:fldCharType="separate"/>
          </w:r>
          <w:r>
            <w:t>- 7 -</w:t>
          </w:r>
          <w:r>
            <w:fldChar w:fldCharType="end"/>
          </w:r>
          <w:r>
            <w:rPr>
              <w:rFonts w:hint="eastAsia" w:ascii="Times New Roman" w:hAnsi="Times New Roman" w:eastAsia="方正小标宋简体" w:cs="方正小标宋简体"/>
              <w:color w:val="auto"/>
              <w:highlight w:val="none"/>
            </w:rPr>
            <w:fldChar w:fldCharType="end"/>
          </w:r>
        </w:p>
        <w:p w14:paraId="68DD90DB">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_Toc16960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_Toc16960 \h </w:instrText>
          </w:r>
          <w:r>
            <w:fldChar w:fldCharType="separate"/>
          </w:r>
          <w:r>
            <w:t>- 7 -</w:t>
          </w:r>
          <w:r>
            <w:fldChar w:fldCharType="end"/>
          </w:r>
          <w:r>
            <w:rPr>
              <w:rFonts w:hint="eastAsia" w:ascii="Times New Roman" w:hAnsi="Times New Roman" w:eastAsia="方正小标宋简体" w:cs="方正小标宋简体"/>
              <w:color w:val="auto"/>
              <w:highlight w:val="none"/>
            </w:rPr>
            <w:fldChar w:fldCharType="end"/>
          </w:r>
        </w:p>
        <w:p w14:paraId="35BD189D">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_Toc28869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_Toc28869 \h </w:instrText>
          </w:r>
          <w:r>
            <w:fldChar w:fldCharType="separate"/>
          </w:r>
          <w:r>
            <w:t>- 8 -</w:t>
          </w:r>
          <w:r>
            <w:fldChar w:fldCharType="end"/>
          </w:r>
          <w:r>
            <w:rPr>
              <w:rFonts w:hint="eastAsia" w:ascii="Times New Roman" w:hAnsi="Times New Roman" w:eastAsia="方正小标宋简体" w:cs="方正小标宋简体"/>
              <w:color w:val="auto"/>
              <w:highlight w:val="none"/>
            </w:rPr>
            <w:fldChar w:fldCharType="end"/>
          </w:r>
        </w:p>
        <w:p w14:paraId="3FA8AD12">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_Toc9810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_Toc9810 \h </w:instrText>
          </w:r>
          <w:r>
            <w:fldChar w:fldCharType="separate"/>
          </w:r>
          <w:r>
            <w:t>- 9 -</w:t>
          </w:r>
          <w:r>
            <w:fldChar w:fldCharType="end"/>
          </w:r>
          <w:r>
            <w:rPr>
              <w:rFonts w:hint="eastAsia" w:ascii="Times New Roman" w:hAnsi="Times New Roman" w:eastAsia="方正小标宋简体" w:cs="方正小标宋简体"/>
              <w:color w:val="auto"/>
              <w:highlight w:val="none"/>
            </w:rPr>
            <w:fldChar w:fldCharType="end"/>
          </w:r>
        </w:p>
        <w:p w14:paraId="4253CA65">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_Toc27593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_Toc27593 \h </w:instrText>
          </w:r>
          <w:r>
            <w:fldChar w:fldCharType="separate"/>
          </w:r>
          <w:r>
            <w:t>- 12 -</w:t>
          </w:r>
          <w:r>
            <w:fldChar w:fldCharType="end"/>
          </w:r>
          <w:r>
            <w:rPr>
              <w:rFonts w:hint="eastAsia" w:ascii="Times New Roman" w:hAnsi="Times New Roman" w:eastAsia="方正小标宋简体" w:cs="方正小标宋简体"/>
              <w:color w:val="auto"/>
              <w:highlight w:val="none"/>
            </w:rPr>
            <w:fldChar w:fldCharType="end"/>
          </w:r>
        </w:p>
        <w:p w14:paraId="422A82FC">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_Toc11452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_Toc11452 \h </w:instrText>
          </w:r>
          <w:r>
            <w:fldChar w:fldCharType="separate"/>
          </w:r>
          <w:r>
            <w:t>- 13 -</w:t>
          </w:r>
          <w:r>
            <w:fldChar w:fldCharType="end"/>
          </w:r>
          <w:r>
            <w:rPr>
              <w:rFonts w:hint="eastAsia" w:ascii="Times New Roman" w:hAnsi="Times New Roman" w:eastAsia="方正小标宋简体" w:cs="方正小标宋简体"/>
              <w:color w:val="auto"/>
              <w:highlight w:val="none"/>
            </w:rPr>
            <w:fldChar w:fldCharType="end"/>
          </w:r>
        </w:p>
        <w:p w14:paraId="63AC7CE2">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_Toc10954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（一）“三公”经费财政拨款支出决算总体情况说明</w:t>
          </w:r>
          <w:r>
            <w:tab/>
          </w:r>
          <w:r>
            <w:fldChar w:fldCharType="begin"/>
          </w:r>
          <w:r>
            <w:instrText xml:space="preserve"> PAGEREF _Toc10954 \h </w:instrText>
          </w:r>
          <w:r>
            <w:fldChar w:fldCharType="separate"/>
          </w:r>
          <w:r>
            <w:t>- 13 -</w:t>
          </w:r>
          <w:r>
            <w:fldChar w:fldCharType="end"/>
          </w:r>
          <w:r>
            <w:rPr>
              <w:rFonts w:hint="eastAsia" w:ascii="Times New Roman" w:hAnsi="Times New Roman" w:eastAsia="方正小标宋简体" w:cs="方正小标宋简体"/>
              <w:color w:val="auto"/>
              <w:highlight w:val="none"/>
            </w:rPr>
            <w:fldChar w:fldCharType="end"/>
          </w:r>
        </w:p>
        <w:p w14:paraId="33439C51">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_Toc20254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（二）“三公”经费财政拨款支出决算具体情况说明</w:t>
          </w:r>
          <w:r>
            <w:tab/>
          </w:r>
          <w:r>
            <w:fldChar w:fldCharType="begin"/>
          </w:r>
          <w:r>
            <w:instrText xml:space="preserve"> PAGEREF _Toc20254 \h </w:instrText>
          </w:r>
          <w:r>
            <w:fldChar w:fldCharType="separate"/>
          </w:r>
          <w:r>
            <w:t>- 13 -</w:t>
          </w:r>
          <w:r>
            <w:fldChar w:fldCharType="end"/>
          </w:r>
          <w:r>
            <w:rPr>
              <w:rFonts w:hint="eastAsia" w:ascii="Times New Roman" w:hAnsi="Times New Roman" w:eastAsia="方正小标宋简体" w:cs="方正小标宋简体"/>
              <w:color w:val="auto"/>
              <w:highlight w:val="none"/>
            </w:rPr>
            <w:fldChar w:fldCharType="end"/>
          </w:r>
        </w:p>
        <w:p w14:paraId="7742BA2F">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_Toc8988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_Toc8988 \h </w:instrText>
          </w:r>
          <w:r>
            <w:fldChar w:fldCharType="separate"/>
          </w:r>
          <w:r>
            <w:t>- 14 -</w:t>
          </w:r>
          <w:r>
            <w:fldChar w:fldCharType="end"/>
          </w:r>
          <w:r>
            <w:rPr>
              <w:rFonts w:hint="eastAsia" w:ascii="Times New Roman" w:hAnsi="Times New Roman" w:eastAsia="方正小标宋简体" w:cs="方正小标宋简体"/>
              <w:color w:val="auto"/>
              <w:highlight w:val="none"/>
            </w:rPr>
            <w:fldChar w:fldCharType="end"/>
          </w:r>
        </w:p>
        <w:p w14:paraId="10C3A66E">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_Toc20193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_Toc20193 \h </w:instrText>
          </w:r>
          <w:r>
            <w:fldChar w:fldCharType="separate"/>
          </w:r>
          <w:r>
            <w:t>- 14 -</w:t>
          </w:r>
          <w:r>
            <w:fldChar w:fldCharType="end"/>
          </w:r>
          <w:r>
            <w:rPr>
              <w:rFonts w:hint="eastAsia" w:ascii="Times New Roman" w:hAnsi="Times New Roman" w:eastAsia="方正小标宋简体" w:cs="方正小标宋简体"/>
              <w:color w:val="auto"/>
              <w:highlight w:val="none"/>
            </w:rPr>
            <w:fldChar w:fldCharType="end"/>
          </w:r>
        </w:p>
        <w:p w14:paraId="44D13D12">
          <w:pPr>
            <w:pStyle w:val="14"/>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_Toc21572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_Toc21572 \h </w:instrText>
          </w:r>
          <w:r>
            <w:fldChar w:fldCharType="separate"/>
          </w:r>
          <w:r>
            <w:t>- 14 -</w:t>
          </w:r>
          <w:r>
            <w:fldChar w:fldCharType="end"/>
          </w:r>
          <w:r>
            <w:rPr>
              <w:rFonts w:hint="eastAsia" w:ascii="Times New Roman" w:hAnsi="Times New Roman" w:eastAsia="方正小标宋简体" w:cs="方正小标宋简体"/>
              <w:color w:val="auto"/>
              <w:highlight w:val="none"/>
            </w:rPr>
            <w:fldChar w:fldCharType="end"/>
          </w:r>
        </w:p>
        <w:p w14:paraId="4C01AD65">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_Toc27188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_Toc27188 \h </w:instrText>
          </w:r>
          <w:r>
            <w:fldChar w:fldCharType="separate"/>
          </w:r>
          <w:r>
            <w:t>- 14 -</w:t>
          </w:r>
          <w:r>
            <w:fldChar w:fldCharType="end"/>
          </w:r>
          <w:r>
            <w:rPr>
              <w:rFonts w:hint="eastAsia" w:ascii="Times New Roman" w:hAnsi="Times New Roman" w:eastAsia="方正小标宋简体" w:cs="方正小标宋简体"/>
              <w:color w:val="auto"/>
              <w:highlight w:val="none"/>
            </w:rPr>
            <w:fldChar w:fldCharType="end"/>
          </w:r>
        </w:p>
        <w:p w14:paraId="66EA01C4">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_Toc13705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_Toc13705 \h </w:instrText>
          </w:r>
          <w:r>
            <w:fldChar w:fldCharType="separate"/>
          </w:r>
          <w:r>
            <w:t>- 15 -</w:t>
          </w:r>
          <w:r>
            <w:fldChar w:fldCharType="end"/>
          </w:r>
          <w:r>
            <w:rPr>
              <w:rFonts w:hint="eastAsia" w:ascii="Times New Roman" w:hAnsi="Times New Roman" w:eastAsia="方正小标宋简体" w:cs="方正小标宋简体"/>
              <w:color w:val="auto"/>
              <w:highlight w:val="none"/>
            </w:rPr>
            <w:fldChar w:fldCharType="end"/>
          </w:r>
        </w:p>
        <w:p w14:paraId="1B86430F">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_Toc28107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_Toc28107 \h </w:instrText>
          </w:r>
          <w:r>
            <w:fldChar w:fldCharType="separate"/>
          </w:r>
          <w:r>
            <w:t>- 15 -</w:t>
          </w:r>
          <w:r>
            <w:fldChar w:fldCharType="end"/>
          </w:r>
          <w:r>
            <w:rPr>
              <w:rFonts w:hint="eastAsia" w:ascii="Times New Roman" w:hAnsi="Times New Roman" w:eastAsia="方正小标宋简体" w:cs="方正小标宋简体"/>
              <w:color w:val="auto"/>
              <w:highlight w:val="none"/>
            </w:rPr>
            <w:fldChar w:fldCharType="end"/>
          </w:r>
        </w:p>
        <w:p w14:paraId="3A00518C">
          <w:pPr>
            <w:pStyle w:val="8"/>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_Toc28975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_Toc28975 \h </w:instrText>
          </w:r>
          <w:r>
            <w:fldChar w:fldCharType="separate"/>
          </w:r>
          <w:r>
            <w:t>- 15 -</w:t>
          </w:r>
          <w:r>
            <w:fldChar w:fldCharType="end"/>
          </w:r>
          <w:r>
            <w:rPr>
              <w:rFonts w:hint="eastAsia" w:ascii="Times New Roman" w:hAnsi="Times New Roman" w:eastAsia="方正小标宋简体" w:cs="方正小标宋简体"/>
              <w:color w:val="auto"/>
              <w:highlight w:val="none"/>
            </w:rPr>
            <w:fldChar w:fldCharType="end"/>
          </w:r>
        </w:p>
        <w:p w14:paraId="292C0AFE">
          <w:pPr>
            <w:pStyle w:val="12"/>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_Toc12725 </w:instrText>
          </w:r>
          <w:r>
            <w:rPr>
              <w:rFonts w:hint="eastAsia" w:ascii="Times New Roman" w:hAnsi="Times New Roman" w:eastAsia="方正小标宋简体" w:cs="方正小标宋简体"/>
              <w:highlight w:val="none"/>
            </w:rP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名词解释</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_Toc12725 \h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- 16 -</w:t>
          </w:r>
          <w:r>
            <w:rPr>
              <w:rFonts w:ascii="Times New Roman" w:hAnsi="Times New Roman" w:eastAsia="宋体" w:cs="Times New Roman"/>
              <w:kern w:val="2"/>
              <w:sz w:val="21"/>
              <w:szCs w:val="24"/>
              <w:lang w:val="en-US" w:eastAsia="zh-CN" w:bidi="ar-SA"/>
            </w:rPr>
            <w:fldChar w:fldCharType="end"/>
          </w:r>
          <w:r>
            <w:rPr>
              <w:rFonts w:hint="eastAsia" w:ascii="Times New Roman" w:hAnsi="Times New Roman" w:eastAsia="方正小标宋简体" w:cs="方正小标宋简体"/>
              <w:color w:val="auto"/>
              <w:highlight w:val="none"/>
            </w:rPr>
            <w:fldChar w:fldCharType="end"/>
          </w:r>
        </w:p>
        <w:p w14:paraId="39905557">
          <w:pPr>
            <w:pStyle w:val="12"/>
            <w:tabs>
              <w:tab w:val="right" w:leader="dot" w:pos="8306"/>
              <w:tab w:val="clear" w:pos="8296"/>
            </w:tabs>
          </w:pPr>
          <w:r>
            <w:rPr>
              <w:rFonts w:hint="eastAsia" w:ascii="Times New Roman" w:hAnsi="Times New Roman" w:eastAsia="方正小标宋简体" w:cs="方正小标宋简体"/>
              <w:color w:val="auto"/>
              <w:highlight w:val="none"/>
            </w:rPr>
            <w:fldChar w:fldCharType="begin"/>
          </w:r>
          <w:r>
            <w:rPr>
              <w:rFonts w:hint="eastAsia" w:ascii="Times New Roman" w:hAnsi="Times New Roman" w:eastAsia="方正小标宋简体" w:cs="方正小标宋简体"/>
              <w:highlight w:val="none"/>
            </w:rPr>
            <w:instrText xml:space="preserve"> HYPERLINK \l _Toc25213 </w:instrText>
          </w:r>
          <w:r>
            <w:rPr>
              <w:rFonts w:hint="eastAsia" w:ascii="Times New Roman" w:hAnsi="Times New Roman" w:eastAsia="方正小标宋简体" w:cs="方正小标宋简体"/>
              <w:highlight w:val="none"/>
            </w:rPr>
            <w:fldChar w:fldCharType="separate"/>
          </w:r>
          <w:r>
            <w:rPr>
              <w:rFonts w:hint="eastAsia" w:ascii="黑体" w:hAnsi="黑体" w:eastAsia="黑体"/>
            </w:rPr>
            <w:t>第四部分 附件</w:t>
          </w:r>
          <w:r>
            <w:tab/>
          </w: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 PAGEREF _Toc25213 \h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- 21 -</w:t>
          </w:r>
          <w:r>
            <w:rPr>
              <w:rFonts w:ascii="Times New Roman" w:hAnsi="Times New Roman" w:eastAsia="宋体" w:cs="Times New Roman"/>
              <w:kern w:val="2"/>
              <w:sz w:val="21"/>
              <w:szCs w:val="24"/>
              <w:lang w:val="en-US" w:eastAsia="zh-CN" w:bidi="ar-SA"/>
            </w:rPr>
            <w:fldChar w:fldCharType="end"/>
          </w:r>
          <w:r>
            <w:rPr>
              <w:rFonts w:hint="eastAsia" w:ascii="Times New Roman" w:hAnsi="Times New Roman" w:eastAsia="方正小标宋简体" w:cs="方正小标宋简体"/>
              <w:color w:val="auto"/>
              <w:highlight w:val="none"/>
            </w:rPr>
            <w:fldChar w:fldCharType="end"/>
          </w:r>
        </w:p>
        <w:p w14:paraId="5EF2E2D9">
          <w:pPr>
            <w:pStyle w:val="3"/>
            <w:jc w:val="both"/>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简体" w:cs="方正小标宋简体"/>
              <w:color w:val="auto"/>
              <w:highlight w:val="none"/>
            </w:rPr>
            <w:fldChar w:fldCharType="end"/>
          </w:r>
          <w:r>
            <w:rPr>
              <w:rFonts w:hint="eastAsia" w:ascii="黑体" w:hAnsi="黑体" w:eastAsia="黑体" w:cs="Times New Roman"/>
              <w:b w:val="0"/>
              <w:bCs w:val="0"/>
              <w:kern w:val="2"/>
              <w:sz w:val="28"/>
              <w:szCs w:val="28"/>
              <w:lang w:val="en-US" w:eastAsia="zh-CN" w:bidi="ar-SA"/>
            </w:rPr>
            <w:fldChar w:fldCharType="begin"/>
          </w:r>
          <w:r>
            <w:rPr>
              <w:rFonts w:hint="eastAsia" w:ascii="黑体" w:hAnsi="黑体" w:eastAsia="黑体" w:cs="Times New Roman"/>
              <w:b w:val="0"/>
              <w:bCs w:val="0"/>
              <w:kern w:val="2"/>
              <w:sz w:val="28"/>
              <w:szCs w:val="28"/>
              <w:lang w:val="en-US" w:eastAsia="zh-CN" w:bidi="ar-SA"/>
            </w:rPr>
            <w:instrText xml:space="preserve"> HYPERLINK \l _Toc25213 </w:instrText>
          </w:r>
          <w:r>
            <w:rPr>
              <w:rFonts w:hint="eastAsia" w:ascii="黑体" w:hAnsi="黑体" w:eastAsia="黑体" w:cs="Times New Roman"/>
              <w:b w:val="0"/>
              <w:bCs w:val="0"/>
              <w:kern w:val="2"/>
              <w:sz w:val="28"/>
              <w:szCs w:val="28"/>
              <w:lang w:val="en-US" w:eastAsia="zh-CN" w:bidi="ar-SA"/>
            </w:rPr>
            <w:fldChar w:fldCharType="separate"/>
          </w:r>
          <w:r>
            <w:rPr>
              <w:rFonts w:hint="eastAsia" w:ascii="黑体" w:hAnsi="黑体" w:eastAsia="黑体" w:cs="Times New Roman"/>
              <w:b w:val="0"/>
              <w:bCs w:val="0"/>
              <w:kern w:val="2"/>
              <w:sz w:val="28"/>
              <w:szCs w:val="28"/>
              <w:lang w:val="en-US" w:eastAsia="zh-CN" w:bidi="ar-SA"/>
            </w:rPr>
            <w:t xml:space="preserve">第五部分 附表........................................   </w:t>
          </w:r>
          <w:r>
            <w:rPr>
              <w:rFonts w:hint="eastAsia" w:ascii="Times New Roman" w:hAnsi="Times New Roman" w:eastAsia="宋体" w:cs="Times New Roman"/>
              <w:b w:val="0"/>
              <w:bCs w:val="0"/>
              <w:kern w:val="2"/>
              <w:sz w:val="21"/>
              <w:szCs w:val="24"/>
              <w:lang w:val="en-US" w:eastAsia="zh-CN" w:bidi="ar-SA"/>
            </w:rPr>
            <w:fldChar w:fldCharType="begin"/>
          </w:r>
          <w:r>
            <w:rPr>
              <w:rFonts w:hint="eastAsia" w:ascii="Times New Roman" w:hAnsi="Times New Roman" w:eastAsia="宋体" w:cs="Times New Roman"/>
              <w:b w:val="0"/>
              <w:bCs w:val="0"/>
              <w:kern w:val="2"/>
              <w:sz w:val="21"/>
              <w:szCs w:val="24"/>
              <w:lang w:val="en-US" w:eastAsia="zh-CN" w:bidi="ar-SA"/>
            </w:rPr>
            <w:instrText xml:space="preserve"> PAGEREF _Toc25213 \h </w:instrText>
          </w:r>
          <w:r>
            <w:rPr>
              <w:rFonts w:hint="eastAsia" w:ascii="Times New Roman" w:hAnsi="Times New Roman" w:eastAsia="宋体" w:cs="Times New Roman"/>
              <w:b w:val="0"/>
              <w:bCs w:val="0"/>
              <w:kern w:val="2"/>
              <w:sz w:val="21"/>
              <w:szCs w:val="24"/>
              <w:lang w:val="en-US" w:eastAsia="zh-CN" w:bidi="ar-SA"/>
            </w:rPr>
            <w:fldChar w:fldCharType="separate"/>
          </w:r>
          <w:r>
            <w:rPr>
              <w:rFonts w:hint="eastAsia" w:ascii="Times New Roman" w:hAnsi="Times New Roman" w:eastAsia="宋体" w:cs="Times New Roman"/>
              <w:b w:val="0"/>
              <w:bCs w:val="0"/>
              <w:kern w:val="2"/>
              <w:sz w:val="21"/>
              <w:szCs w:val="24"/>
              <w:lang w:val="en-US" w:eastAsia="zh-CN" w:bidi="ar-SA"/>
            </w:rPr>
            <w:t>- 2</w:t>
          </w:r>
          <w:r>
            <w:rPr>
              <w:rFonts w:hint="eastAsia" w:cs="Times New Roman"/>
              <w:b w:val="0"/>
              <w:bCs w:val="0"/>
              <w:kern w:val="2"/>
              <w:sz w:val="21"/>
              <w:szCs w:val="24"/>
              <w:lang w:val="en-US" w:eastAsia="zh-CN" w:bidi="ar-SA"/>
            </w:rPr>
            <w:t>5</w:t>
          </w:r>
          <w:r>
            <w:rPr>
              <w:rFonts w:hint="eastAsia" w:ascii="Times New Roman" w:hAnsi="Times New Roman" w:eastAsia="宋体" w:cs="Times New Roman"/>
              <w:b w:val="0"/>
              <w:bCs w:val="0"/>
              <w:kern w:val="2"/>
              <w:sz w:val="21"/>
              <w:szCs w:val="24"/>
              <w:lang w:val="en-US" w:eastAsia="zh-CN" w:bidi="ar-SA"/>
            </w:rPr>
            <w:t xml:space="preserve"> -</w:t>
          </w:r>
          <w:r>
            <w:rPr>
              <w:rFonts w:hint="eastAsia" w:ascii="Times New Roman" w:hAnsi="Times New Roman" w:eastAsia="宋体" w:cs="Times New Roman"/>
              <w:b w:val="0"/>
              <w:bCs w:val="0"/>
              <w:kern w:val="2"/>
              <w:sz w:val="21"/>
              <w:szCs w:val="24"/>
              <w:lang w:val="en-US" w:eastAsia="zh-CN" w:bidi="ar-SA"/>
            </w:rPr>
            <w:fldChar w:fldCharType="end"/>
          </w:r>
          <w:r>
            <w:rPr>
              <w:rFonts w:hint="eastAsia" w:ascii="黑体" w:hAnsi="黑体" w:eastAsia="黑体" w:cs="Times New Roman"/>
              <w:b w:val="0"/>
              <w:bCs w:val="0"/>
              <w:kern w:val="2"/>
              <w:sz w:val="28"/>
              <w:szCs w:val="28"/>
              <w:lang w:val="en-US" w:eastAsia="zh-CN" w:bidi="ar-SA"/>
            </w:rPr>
            <w:fldChar w:fldCharType="end"/>
          </w:r>
        </w:p>
      </w:sdtContent>
    </w:sdt>
    <w:p w14:paraId="1F8A3033">
      <w:pPr>
        <w:pStyle w:val="3"/>
        <w:jc w:val="center"/>
        <w:rPr>
          <w:rFonts w:ascii="Times New Roman" w:hAnsi="Times New Roman" w:eastAsia="黑体"/>
          <w:color w:val="auto"/>
          <w:sz w:val="32"/>
          <w:szCs w:val="32"/>
          <w:highlight w:val="none"/>
        </w:rPr>
      </w:pPr>
      <w:bookmarkStart w:id="8" w:name="_Toc27253"/>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14:paraId="1FE138BA">
      <w:pPr>
        <w:pStyle w:val="4"/>
        <w:numPr>
          <w:ilvl w:val="0"/>
          <w:numId w:val="1"/>
        </w:numPr>
        <w:rPr>
          <w:rFonts w:hint="eastAsia" w:ascii="Times New Roman" w:hAnsi="Times New Roman" w:eastAsia="黑体"/>
          <w:b w:val="0"/>
          <w:color w:val="auto"/>
          <w:highlight w:val="none"/>
          <w:lang w:eastAsia="zh-CN"/>
        </w:rPr>
      </w:pPr>
      <w:bookmarkStart w:id="9" w:name="_Toc8406"/>
      <w:r>
        <w:rPr>
          <w:rFonts w:hint="eastAsia" w:ascii="Times New Roman" w:hAnsi="Times New Roman" w:eastAsia="黑体"/>
          <w:b w:val="0"/>
          <w:color w:val="auto"/>
          <w:highlight w:val="none"/>
          <w:lang w:eastAsia="zh-CN"/>
        </w:rPr>
        <w:t>部门职责</w:t>
      </w:r>
      <w:bookmarkEnd w:id="9"/>
    </w:p>
    <w:p w14:paraId="731EC984">
      <w:pPr>
        <w:numPr>
          <w:ilvl w:val="0"/>
          <w:numId w:val="0"/>
        </w:numPr>
        <w:ind w:firstLine="640" w:firstLineChars="200"/>
        <w:rPr>
          <w:rFonts w:hint="eastAsia"/>
          <w:lang w:eastAsia="zh-CN"/>
        </w:rPr>
      </w:pPr>
      <w:r>
        <w:rPr>
          <w:rFonts w:hint="eastAsia" w:ascii="仿宋_GB2312" w:hAnsi="仿宋" w:eastAsia="仿宋_GB2312"/>
          <w:sz w:val="32"/>
          <w:szCs w:val="32"/>
        </w:rPr>
        <w:t xml:space="preserve">(1)贯彻落实党的路线方针政策和国家法律法规以及上级党委、政府的决议、决定和命令，执行镇党委和镇人民代表大会的决议，加强农村基层政权建设，巩固党在农村的执政基础。 </w:t>
      </w:r>
      <w:r>
        <w:rPr>
          <w:rFonts w:hint="eastAsia" w:ascii="仿宋_GB2312" w:hAnsi="仿宋" w:eastAsia="仿宋_GB2312"/>
          <w:sz w:val="32"/>
          <w:szCs w:val="32"/>
        </w:rPr>
        <w:cr/>
      </w:r>
      <w:r>
        <w:rPr>
          <w:rFonts w:hint="eastAsia" w:ascii="仿宋_GB2312" w:hAnsi="仿宋" w:eastAsia="仿宋_GB2312"/>
          <w:sz w:val="32"/>
          <w:szCs w:val="32"/>
        </w:rPr>
        <w:t xml:space="preserve">    (2)组织编制本行政区域经济社会发展规划和镇国土空间规划。负责农村基础设施和各项公益事业建设，推进脱贫攻坚，实施乡村振兴战略，加快经济社会发展，改善群众生产生活环境。 </w:t>
      </w:r>
      <w:r>
        <w:rPr>
          <w:rFonts w:hint="eastAsia" w:ascii="仿宋_GB2312" w:hAnsi="仿宋" w:eastAsia="仿宋_GB2312"/>
          <w:sz w:val="32"/>
          <w:szCs w:val="32"/>
        </w:rPr>
        <w:cr/>
      </w:r>
      <w:r>
        <w:rPr>
          <w:rFonts w:hint="eastAsia" w:ascii="仿宋_GB2312" w:hAnsi="仿宋" w:eastAsia="仿宋_GB2312"/>
          <w:sz w:val="32"/>
          <w:szCs w:val="32"/>
        </w:rPr>
        <w:t xml:space="preserve">    (3)负责农村经济发展，推进农业经济结构调整，协调招引资项目落地，促进经济增长、农业增效、农民增收。 </w:t>
      </w:r>
      <w:r>
        <w:rPr>
          <w:rFonts w:hint="eastAsia" w:ascii="仿宋_GB2312" w:hAnsi="仿宋" w:eastAsia="仿宋_GB2312"/>
          <w:sz w:val="32"/>
          <w:szCs w:val="32"/>
        </w:rPr>
        <w:cr/>
      </w:r>
      <w:r>
        <w:rPr>
          <w:rFonts w:hint="eastAsia" w:ascii="仿宋_GB2312" w:hAnsi="仿宋" w:eastAsia="仿宋_GB2312"/>
          <w:sz w:val="32"/>
          <w:szCs w:val="32"/>
        </w:rPr>
        <w:t xml:space="preserve">    (4)加强农村公共服务体系建设，抓好基础教育、科技、文化、 体育、旅游、卫生健康、医疗保障、食（药）品安全等工作，做好民政、就业创业、社会保障、劳动关系协调、民族宗教、退役军人事务、统计以及特殊人群保障等工作，促进农村社会事业健康发展。</w:t>
      </w:r>
      <w:r>
        <w:rPr>
          <w:rFonts w:hint="eastAsia" w:ascii="仿宋_GB2312" w:hAnsi="仿宋" w:eastAsia="仿宋_GB2312"/>
          <w:sz w:val="32"/>
          <w:szCs w:val="32"/>
        </w:rPr>
        <w:cr/>
      </w:r>
      <w:r>
        <w:rPr>
          <w:rFonts w:hint="eastAsia" w:ascii="仿宋_GB2312" w:hAnsi="仿宋" w:eastAsia="仿宋_GB2312"/>
          <w:sz w:val="32"/>
          <w:szCs w:val="32"/>
        </w:rPr>
        <w:t xml:space="preserve">    (5)负责辖区内交通运输、住房和城乡建设、水利、自然资源和规划、生态环境保护以及森林防火、防汛抗旱、粮食安全、供销合作社等工作。 </w:t>
      </w:r>
      <w:r>
        <w:rPr>
          <w:rFonts w:hint="eastAsia" w:ascii="仿宋_GB2312" w:hAnsi="仿宋" w:eastAsia="仿宋_GB2312"/>
          <w:sz w:val="32"/>
          <w:szCs w:val="32"/>
        </w:rPr>
        <w:cr/>
      </w:r>
      <w:r>
        <w:rPr>
          <w:rFonts w:hint="eastAsia" w:ascii="仿宋_GB2312" w:hAnsi="仿宋" w:eastAsia="仿宋_GB2312"/>
          <w:sz w:val="32"/>
          <w:szCs w:val="32"/>
        </w:rPr>
        <w:t xml:space="preserve">    (6)推进基层民主法治建设，加强普法依法治理，指导村（居） 民委员会工作，维护群众合法权益。 </w:t>
      </w:r>
      <w:r>
        <w:rPr>
          <w:rFonts w:hint="eastAsia" w:ascii="仿宋_GB2312" w:hAnsi="仿宋" w:eastAsia="仿宋_GB2312"/>
          <w:sz w:val="32"/>
          <w:szCs w:val="32"/>
        </w:rPr>
        <w:cr/>
      </w:r>
      <w:r>
        <w:rPr>
          <w:rFonts w:hint="eastAsia" w:ascii="仿宋_GB2312" w:hAnsi="仿宋" w:eastAsia="仿宋_GB2312"/>
          <w:sz w:val="32"/>
          <w:szCs w:val="32"/>
        </w:rPr>
        <w:t xml:space="preserve">    (7)承担辖区平安建设、社会治安综合治理、安全和应急管理 等有关工作。负责群众来信来访，反映社情民意，化解矛盾纠纷，维护社会安全稳定。 </w:t>
      </w:r>
      <w:r>
        <w:rPr>
          <w:rFonts w:hint="eastAsia" w:ascii="仿宋_GB2312" w:hAnsi="仿宋" w:eastAsia="仿宋_GB2312"/>
          <w:sz w:val="32"/>
          <w:szCs w:val="32"/>
        </w:rPr>
        <w:cr/>
      </w:r>
      <w:r>
        <w:rPr>
          <w:rFonts w:hint="eastAsia" w:ascii="仿宋_GB2312" w:hAnsi="仿宋" w:eastAsia="仿宋_GB2312"/>
          <w:sz w:val="32"/>
          <w:szCs w:val="32"/>
        </w:rPr>
        <w:t xml:space="preserve">    (8)负责清理编制权责清单、公共服务清单事项，建立清单动 态调整和公示机制，推进政务公开，接受群众监督，增强政府公信力。</w:t>
      </w:r>
      <w:r>
        <w:rPr>
          <w:rFonts w:hint="eastAsia" w:ascii="仿宋_GB2312" w:hAnsi="仿宋" w:eastAsia="仿宋_GB2312"/>
          <w:sz w:val="32"/>
          <w:szCs w:val="32"/>
        </w:rPr>
        <w:cr/>
      </w:r>
      <w:r>
        <w:rPr>
          <w:rFonts w:hint="eastAsia" w:ascii="仿宋_GB2312" w:hAnsi="仿宋" w:eastAsia="仿宋_GB2312"/>
          <w:sz w:val="32"/>
          <w:szCs w:val="32"/>
        </w:rPr>
        <w:t xml:space="preserve">    (9)负责国防教育、兵役征集、民兵预备役等有关工作承担法律、法规、规章规定的其他职能和上级党委、政府 交办的其他工作。</w:t>
      </w:r>
    </w:p>
    <w:p w14:paraId="4D4D7F99">
      <w:pPr>
        <w:pStyle w:val="4"/>
        <w:rPr>
          <w:rStyle w:val="29"/>
          <w:rFonts w:ascii="Times New Roman" w:hAnsi="Times New Roman"/>
          <w:b w:val="0"/>
          <w:bCs w:val="0"/>
          <w:color w:val="auto"/>
          <w:highlight w:val="none"/>
        </w:rPr>
      </w:pPr>
      <w:bookmarkStart w:id="10" w:name="_Toc15377200"/>
      <w:bookmarkStart w:id="11" w:name="_Toc15396601"/>
      <w:bookmarkStart w:id="12" w:name="_Toc9507"/>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14:paraId="05EE493F">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马边彝族自治县雪口山镇人民政府</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eastAsia="zh-CN"/>
        </w:rPr>
        <w:t>4</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eastAsia="zh-CN"/>
        </w:rPr>
        <w:t>3</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eastAsia="zh-CN"/>
        </w:rPr>
        <w:t>0</w:t>
      </w:r>
      <w:r>
        <w:rPr>
          <w:rFonts w:hint="eastAsia" w:ascii="Times New Roman" w:hAnsi="Times New Roman" w:eastAsia="仿宋_GB2312" w:cs="仿宋_GB2312"/>
          <w:color w:val="auto"/>
          <w:sz w:val="32"/>
          <w:szCs w:val="32"/>
          <w:highlight w:val="none"/>
        </w:rPr>
        <w:t>个。</w:t>
      </w:r>
    </w:p>
    <w:p w14:paraId="792DD14D">
      <w:pPr>
        <w:pStyle w:val="2"/>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马边彝族自治县雪口山镇人民政府</w:t>
      </w:r>
      <w:r>
        <w:rPr>
          <w:rFonts w:hint="eastAsia" w:ascii="Times New Roman" w:hAnsi="Times New Roman" w:eastAsia="仿宋_GB2312" w:cs="仿宋_GB2312"/>
          <w:color w:val="auto"/>
          <w:sz w:val="32"/>
          <w:szCs w:val="32"/>
          <w:highlight w:val="none"/>
          <w:lang w:eastAsia="zh-CN"/>
        </w:rPr>
        <w:t>2024年度</w:t>
      </w:r>
      <w:r>
        <w:rPr>
          <w:rFonts w:hint="eastAsia" w:ascii="Times New Roman" w:hAnsi="Times New Roman" w:eastAsia="仿宋_GB2312" w:cs="仿宋_GB2312"/>
          <w:color w:val="auto"/>
          <w:sz w:val="32"/>
          <w:szCs w:val="32"/>
          <w:highlight w:val="none"/>
        </w:rPr>
        <w:t>部门决算编制范围的二级预算单位包括：</w:t>
      </w:r>
    </w:p>
    <w:p w14:paraId="52FA8E54">
      <w:pPr>
        <w:pStyle w:val="2"/>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3" w:name="_Toc26399"/>
      <w:r>
        <w:rPr>
          <w:rFonts w:hint="eastAsia" w:ascii="Times New Roman" w:cs="仿宋_GB2312"/>
          <w:color w:val="auto"/>
          <w:sz w:val="32"/>
          <w:szCs w:val="32"/>
          <w:highlight w:val="none"/>
          <w:lang w:eastAsia="zh-CN"/>
        </w:rPr>
        <w:t>马边彝族自治县雪口山镇人民政府</w:t>
      </w:r>
      <w:bookmarkEnd w:id="13"/>
    </w:p>
    <w:p w14:paraId="47A4F95E">
      <w:pPr>
        <w:pStyle w:val="2"/>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4" w:name="_Toc9461"/>
      <w:r>
        <w:rPr>
          <w:rFonts w:hint="eastAsia" w:ascii="Times New Roman" w:cs="仿宋_GB2312"/>
          <w:color w:val="auto"/>
          <w:sz w:val="32"/>
          <w:szCs w:val="32"/>
          <w:highlight w:val="none"/>
          <w:lang w:eastAsia="zh-CN"/>
        </w:rPr>
        <w:t>马边彝族自治县雪口山镇便民服务中心</w:t>
      </w:r>
      <w:bookmarkEnd w:id="14"/>
    </w:p>
    <w:p w14:paraId="679DA2BF">
      <w:pPr>
        <w:pStyle w:val="2"/>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5" w:name="_Toc20160"/>
      <w:r>
        <w:rPr>
          <w:rFonts w:hint="eastAsia" w:ascii="Times New Roman" w:cs="仿宋_GB2312"/>
          <w:color w:val="auto"/>
          <w:sz w:val="32"/>
          <w:szCs w:val="32"/>
          <w:highlight w:val="none"/>
          <w:lang w:eastAsia="zh-CN"/>
        </w:rPr>
        <w:t>马边彝族自治县雪口山镇农业综合服务中心</w:t>
      </w:r>
      <w:bookmarkEnd w:id="15"/>
    </w:p>
    <w:p w14:paraId="6A8A8FBB">
      <w:pPr>
        <w:pStyle w:val="2"/>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bookmarkStart w:id="16" w:name="_Toc7017"/>
      <w:r>
        <w:rPr>
          <w:rFonts w:hint="eastAsia" w:ascii="Times New Roman"/>
          <w:color w:val="auto"/>
          <w:sz w:val="32"/>
          <w:szCs w:val="32"/>
          <w:highlight w:val="none"/>
          <w:lang w:eastAsia="zh-CN"/>
        </w:rPr>
        <w:t>马边彝族自治县雪口山镇文化旅游服务中心</w:t>
      </w:r>
      <w:bookmarkEnd w:id="16"/>
    </w:p>
    <w:p w14:paraId="6DD4A7B6">
      <w:pPr>
        <w:pStyle w:val="3"/>
        <w:jc w:val="center"/>
        <w:rPr>
          <w:rFonts w:hint="eastAsia" w:ascii="Times New Roman" w:hAnsi="Times New Roman" w:eastAsia="方正小标宋简体" w:cs="方正小标宋简体"/>
          <w:b w:val="0"/>
          <w:color w:val="auto"/>
          <w:highlight w:val="none"/>
        </w:rPr>
      </w:pPr>
      <w:bookmarkStart w:id="17" w:name="_Toc15396602"/>
      <w:bookmarkStart w:id="18" w:name="_Toc15377204"/>
      <w:bookmarkStart w:id="19" w:name="_Toc15229"/>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2024年度</w:t>
      </w:r>
      <w:r>
        <w:rPr>
          <w:rFonts w:hint="eastAsia" w:ascii="Times New Roman" w:hAnsi="Times New Roman" w:eastAsia="方正小标宋简体" w:cs="方正小标宋简体"/>
          <w:b w:val="0"/>
          <w:color w:val="auto"/>
          <w:highlight w:val="none"/>
        </w:rPr>
        <w:t>部门决算情况说明</w:t>
      </w:r>
      <w:bookmarkEnd w:id="17"/>
      <w:bookmarkEnd w:id="18"/>
      <w:bookmarkEnd w:id="19"/>
    </w:p>
    <w:p w14:paraId="2195EF55">
      <w:pPr>
        <w:rPr>
          <w:rFonts w:ascii="Times New Roman" w:hAnsi="Times New Roman"/>
          <w:color w:val="auto"/>
          <w:highlight w:val="none"/>
        </w:rPr>
      </w:pPr>
    </w:p>
    <w:p w14:paraId="250CC8F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5"/>
      <w:bookmarkStart w:id="21" w:name="_Toc15396603"/>
      <w:bookmarkStart w:id="22" w:name="_Toc23686"/>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bookmarkEnd w:id="22"/>
    </w:p>
    <w:p w14:paraId="69E035FB">
      <w:pPr>
        <w:snapToGrid w:val="0"/>
        <w:spacing w:line="520" w:lineRule="exact"/>
        <w:ind w:firstLine="640" w:firstLineChars="200"/>
        <w:rPr>
          <w:rFonts w:ascii="仿宋_GB2312" w:hAnsi="仿宋" w:eastAsia="仿宋_GB2312"/>
          <w:sz w:val="32"/>
          <w:szCs w:val="32"/>
        </w:rPr>
      </w:pPr>
      <w:bookmarkStart w:id="23" w:name="_Hlk187747174"/>
      <w:r>
        <w:rPr>
          <w:rFonts w:hint="eastAsia" w:ascii="仿宋_GB2312" w:hAnsi="仿宋" w:eastAsia="仿宋_GB2312"/>
          <w:sz w:val="32"/>
          <w:szCs w:val="32"/>
        </w:rPr>
        <w:t>本单位2024年度全年收入1,890.98万元，2024年度全年支出2,216.45万元。全年收入与上年度（1,694.03万元）对比增加</w:t>
      </w:r>
      <w:r>
        <w:rPr>
          <w:rFonts w:ascii="仿宋_GB2312" w:hAnsi="仿宋_GB2312" w:eastAsia="仿宋_GB2312"/>
          <w:sz w:val="32"/>
          <w:u w:color="auto"/>
        </w:rPr>
        <w:t>196.95</w:t>
      </w:r>
      <w:r>
        <w:rPr>
          <w:rFonts w:hint="eastAsia" w:ascii="仿宋_GB2312" w:hAnsi="仿宋" w:eastAsia="仿宋_GB2312"/>
          <w:sz w:val="32"/>
          <w:szCs w:val="32"/>
        </w:rPr>
        <w:t>万元，比上年增长</w:t>
      </w:r>
      <w:r>
        <w:rPr>
          <w:rFonts w:ascii="仿宋_GB2312" w:hAnsi="仿宋_GB2312" w:eastAsia="仿宋_GB2312"/>
          <w:sz w:val="32"/>
          <w:u w:color="auto"/>
        </w:rPr>
        <w:t>11.63</w:t>
      </w:r>
      <w:r>
        <w:rPr>
          <w:rFonts w:hint="eastAsia" w:ascii="仿宋_GB2312" w:hAnsi="仿宋" w:eastAsia="仿宋_GB2312"/>
          <w:sz w:val="32"/>
          <w:szCs w:val="32"/>
        </w:rPr>
        <w:t>%。变化原因：经核实属于正常变动范围内。全年支出与上年度（1,789.22万元）对比增加</w:t>
      </w:r>
      <w:r>
        <w:rPr>
          <w:rFonts w:ascii="仿宋_GB2312" w:hAnsi="仿宋_GB2312" w:eastAsia="仿宋_GB2312"/>
          <w:sz w:val="32"/>
          <w:u w:color="auto"/>
        </w:rPr>
        <w:t>427.23</w:t>
      </w:r>
      <w:r>
        <w:rPr>
          <w:rFonts w:hint="eastAsia" w:ascii="仿宋_GB2312" w:hAnsi="仿宋" w:eastAsia="仿宋_GB2312"/>
          <w:sz w:val="32"/>
          <w:szCs w:val="32"/>
        </w:rPr>
        <w:t>万元，比上年增加</w:t>
      </w:r>
      <w:r>
        <w:rPr>
          <w:rFonts w:ascii="仿宋_GB2312" w:hAnsi="仿宋_GB2312" w:eastAsia="仿宋_GB2312"/>
          <w:sz w:val="32"/>
          <w:u w:color="auto"/>
        </w:rPr>
        <w:t>23.88</w:t>
      </w:r>
      <w:r>
        <w:rPr>
          <w:rFonts w:hint="eastAsia" w:ascii="仿宋_GB2312" w:hAnsi="仿宋" w:eastAsia="仿宋_GB2312"/>
          <w:sz w:val="32"/>
          <w:szCs w:val="32"/>
        </w:rPr>
        <w:t>%。变化原因：经核实属于正常变动范围内。</w:t>
      </w:r>
    </w:p>
    <w:bookmarkEnd w:id="23"/>
    <w:p w14:paraId="2F87B0CB">
      <w:pPr>
        <w:snapToGrid w:val="0"/>
        <w:spacing w:line="520" w:lineRule="exact"/>
        <w:ind w:firstLine="640" w:firstLineChars="200"/>
        <w:rPr>
          <w:rFonts w:ascii="仿宋_GB2312" w:hAnsi="仿宋" w:eastAsia="仿宋_GB2312"/>
          <w:sz w:val="32"/>
          <w:szCs w:val="32"/>
        </w:rPr>
      </w:pPr>
    </w:p>
    <w:p w14:paraId="1B7FC4F0">
      <w:pPr>
        <w:snapToGrid w:val="0"/>
        <w:jc w:val="center"/>
        <w:rPr>
          <w:rFonts w:ascii="仿宋_GB2312" w:hAnsi="仿宋" w:eastAsia="仿宋_GB2312"/>
          <w:sz w:val="32"/>
          <w:szCs w:val="32"/>
        </w:rPr>
      </w:pPr>
      <w:r>
        <w:rPr>
          <w:rFonts w:hint="eastAsia"/>
        </w:rPr>
        <w:drawing>
          <wp:inline distT="0" distB="0" distL="0" distR="0">
            <wp:extent cx="4000500" cy="3000375"/>
            <wp:effectExtent l="0" t="0" r="0" b="9525"/>
            <wp:docPr id="1"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000500" cy="3000375"/>
                    </a:xfrm>
                    <a:prstGeom prst="rect">
                      <a:avLst/>
                    </a:prstGeom>
                    <a:noFill/>
                    <a:ln>
                      <a:noFill/>
                    </a:ln>
                  </pic:spPr>
                </pic:pic>
              </a:graphicData>
            </a:graphic>
          </wp:inline>
        </w:drawing>
      </w:r>
    </w:p>
    <w:p w14:paraId="3E5434F6">
      <w:pPr>
        <w:snapToGrid w:val="0"/>
        <w:spacing w:line="520" w:lineRule="exact"/>
        <w:jc w:val="center"/>
        <w:rPr>
          <w:rFonts w:ascii="仿宋_GB2312" w:hAnsi="仿宋" w:eastAsia="仿宋_GB2312"/>
          <w:b/>
          <w:sz w:val="32"/>
          <w:szCs w:val="32"/>
        </w:rPr>
      </w:pPr>
      <w:r>
        <w:rPr>
          <w:rFonts w:hint="eastAsia" w:ascii="仿宋_GB2312" w:hAnsi="仿宋" w:eastAsia="仿宋_GB2312"/>
          <w:b/>
          <w:sz w:val="32"/>
          <w:szCs w:val="32"/>
        </w:rPr>
        <w:t>（图</w:t>
      </w:r>
      <w:r>
        <w:rPr>
          <w:rFonts w:hint="eastAsia" w:ascii="仿宋_GB2312" w:hAnsi="仿宋" w:eastAsia="仿宋_GB2312"/>
          <w:b/>
          <w:sz w:val="32"/>
          <w:szCs w:val="32"/>
          <w:lang w:eastAsia="zh-CN"/>
        </w:rPr>
        <w:t>1</w:t>
      </w:r>
      <w:r>
        <w:rPr>
          <w:rFonts w:hint="eastAsia" w:ascii="仿宋_GB2312" w:hAnsi="仿宋" w:eastAsia="仿宋_GB2312"/>
          <w:b/>
          <w:sz w:val="32"/>
          <w:szCs w:val="32"/>
        </w:rPr>
        <w:t>）</w:t>
      </w:r>
    </w:p>
    <w:p w14:paraId="37F5906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5AFFABB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4" w:name="_Toc31563"/>
      <w:bookmarkStart w:id="25" w:name="_Toc15396604"/>
      <w:bookmarkStart w:id="26" w:name="_Toc15377206"/>
      <w:r>
        <w:rPr>
          <w:rFonts w:hint="eastAsia" w:ascii="Times New Roman" w:hAnsi="Times New Roman" w:eastAsia="黑体"/>
          <w:color w:val="auto"/>
          <w:sz w:val="32"/>
          <w:szCs w:val="32"/>
          <w:highlight w:val="none"/>
          <w:lang w:eastAsia="zh-CN"/>
        </w:rPr>
        <w:t>二、收入决算情况说明</w:t>
      </w:r>
      <w:bookmarkEnd w:id="24"/>
      <w:bookmarkEnd w:id="25"/>
      <w:bookmarkEnd w:id="26"/>
    </w:p>
    <w:p w14:paraId="5FEADBA5">
      <w:pPr>
        <w:snapToGrid w:val="0"/>
        <w:spacing w:line="520" w:lineRule="exact"/>
        <w:ind w:firstLine="640" w:firstLineChars="200"/>
        <w:rPr>
          <w:rFonts w:ascii="仿宋_GB2312" w:hAnsi="仿宋" w:eastAsia="仿宋_GB2312"/>
          <w:sz w:val="32"/>
          <w:szCs w:val="32"/>
        </w:rPr>
      </w:pPr>
      <w:bookmarkStart w:id="27" w:name="_Hlk187824459"/>
      <w:r>
        <w:rPr>
          <w:rFonts w:hint="eastAsia" w:ascii="仿宋_GB2312" w:hAnsi="仿宋" w:eastAsia="仿宋_GB2312"/>
          <w:sz w:val="32"/>
          <w:szCs w:val="32"/>
        </w:rPr>
        <w:t>本年收入合计金额1,890.98万元，上年同期收入合计金额为1,694.03万元，与上年对比增加</w:t>
      </w:r>
      <w:r>
        <w:rPr>
          <w:rFonts w:ascii="仿宋_GB2312" w:hAnsi="仿宋_GB2312" w:eastAsia="仿宋_GB2312"/>
          <w:sz w:val="32"/>
          <w:u w:color="auto"/>
        </w:rPr>
        <w:t>196.95</w:t>
      </w:r>
      <w:r>
        <w:rPr>
          <w:rFonts w:hint="eastAsia" w:ascii="仿宋_GB2312" w:hAnsi="仿宋" w:eastAsia="仿宋_GB2312"/>
          <w:sz w:val="32"/>
          <w:szCs w:val="32"/>
        </w:rPr>
        <w:t>万元，比上年</w:t>
      </w:r>
      <w:r>
        <w:rPr>
          <w:rFonts w:ascii="仿宋_GB2312" w:hAnsi="仿宋_GB2312" w:eastAsia="仿宋_GB2312"/>
          <w:sz w:val="32"/>
          <w:u w:color="auto"/>
        </w:rPr>
        <w:t>增加11.63</w:t>
      </w:r>
      <w:r>
        <w:rPr>
          <w:rFonts w:hint="eastAsia" w:ascii="仿宋_GB2312" w:hAnsi="仿宋" w:eastAsia="仿宋_GB2312"/>
          <w:sz w:val="32"/>
          <w:szCs w:val="32"/>
        </w:rPr>
        <w:t>%。变化原因为经核实属于正常变动范围内。其中：</w:t>
      </w:r>
    </w:p>
    <w:p w14:paraId="4BF9ADA7">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本年一般公共预算财政拨款金额为1,536.57万元，上年同期一般公共预算财政拨款金额为1,544.58万元，与上年对比减少</w:t>
      </w:r>
      <w:r>
        <w:rPr>
          <w:rFonts w:ascii="仿宋_GB2312" w:hAnsi="仿宋_GB2312" w:eastAsia="仿宋_GB2312"/>
          <w:sz w:val="32"/>
          <w:u w:color="auto"/>
        </w:rPr>
        <w:t>8.01</w:t>
      </w:r>
      <w:r>
        <w:rPr>
          <w:rFonts w:hint="eastAsia" w:ascii="仿宋_GB2312" w:hAnsi="仿宋" w:eastAsia="仿宋_GB2312"/>
          <w:sz w:val="32"/>
          <w:szCs w:val="32"/>
        </w:rPr>
        <w:t>万元，比上年减少</w:t>
      </w:r>
      <w:r>
        <w:rPr>
          <w:rFonts w:ascii="仿宋_GB2312" w:hAnsi="仿宋_GB2312" w:eastAsia="仿宋_GB2312"/>
          <w:sz w:val="32"/>
          <w:u w:color="auto"/>
        </w:rPr>
        <w:t>0.52</w:t>
      </w:r>
      <w:r>
        <w:rPr>
          <w:rFonts w:hint="eastAsia" w:ascii="仿宋_GB2312" w:hAnsi="仿宋" w:eastAsia="仿宋_GB2312"/>
          <w:sz w:val="32"/>
          <w:szCs w:val="32"/>
        </w:rPr>
        <w:t>%。变化原因为</w:t>
      </w:r>
      <w:r>
        <w:rPr>
          <w:rFonts w:ascii="仿宋_GB2312" w:hAnsi="仿宋_GB2312" w:eastAsia="仿宋_GB2312"/>
          <w:sz w:val="32"/>
          <w:u w:color="auto"/>
        </w:rPr>
        <w:t>经核实属于正常变动范围内</w:t>
      </w:r>
      <w:r>
        <w:rPr>
          <w:rFonts w:hint="eastAsia" w:ascii="仿宋_GB2312" w:hAnsi="仿宋" w:eastAsia="仿宋_GB2312"/>
          <w:sz w:val="32"/>
          <w:szCs w:val="32"/>
        </w:rPr>
        <w:t>。本年政府性基金预算财政拨款金额为65.46万元，上年同期政府性基金预算财政拨款金额为7.00万元，与上年对比增加</w:t>
      </w:r>
      <w:r>
        <w:rPr>
          <w:rFonts w:ascii="仿宋_GB2312" w:hAnsi="仿宋_GB2312" w:eastAsia="仿宋_GB2312"/>
          <w:sz w:val="32"/>
          <w:u w:color="auto"/>
        </w:rPr>
        <w:t>58.46</w:t>
      </w:r>
      <w:r>
        <w:rPr>
          <w:rFonts w:hint="eastAsia" w:ascii="仿宋_GB2312" w:hAnsi="仿宋" w:eastAsia="仿宋_GB2312"/>
          <w:sz w:val="32"/>
          <w:szCs w:val="32"/>
        </w:rPr>
        <w:t>万元，比上年增加</w:t>
      </w:r>
      <w:r>
        <w:rPr>
          <w:rFonts w:ascii="仿宋_GB2312" w:hAnsi="仿宋_GB2312" w:eastAsia="仿宋_GB2312"/>
          <w:sz w:val="32"/>
          <w:u w:color="auto"/>
        </w:rPr>
        <w:t>835.21</w:t>
      </w:r>
      <w:r>
        <w:rPr>
          <w:rFonts w:hint="eastAsia" w:ascii="仿宋_GB2312" w:hAnsi="仿宋" w:eastAsia="仿宋_GB2312"/>
          <w:sz w:val="32"/>
          <w:szCs w:val="32"/>
        </w:rPr>
        <w:t>%。变化原因为经核实属于正常变动范围内。本年国有资本经营预算财政拨款金额为0.00万元，上年同期国有资本经营预算财政拨款金额为0.00万元，与上年对比</w:t>
      </w:r>
      <w:r>
        <w:rPr>
          <w:rFonts w:ascii="仿宋_GB2312" w:hAnsi="仿宋_GB2312" w:eastAsia="仿宋_GB2312"/>
          <w:sz w:val="32"/>
          <w:u w:color="auto"/>
        </w:rPr>
        <w:t>无增减变化。</w:t>
      </w:r>
      <w:r>
        <w:rPr>
          <w:rFonts w:hint="eastAsia" w:ascii="仿宋_GB2312" w:hAnsi="仿宋" w:eastAsia="仿宋_GB2312"/>
          <w:sz w:val="32"/>
          <w:szCs w:val="32"/>
        </w:rPr>
        <w:t>本年事业收入金额为0.00万元，上年同期事业收入金额为0.00万元，与上年对比</w:t>
      </w:r>
      <w:r>
        <w:rPr>
          <w:rFonts w:ascii="仿宋_GB2312" w:hAnsi="仿宋_GB2312" w:eastAsia="仿宋_GB2312"/>
          <w:sz w:val="32"/>
          <w:u w:color="auto"/>
        </w:rPr>
        <w:t>无增减变化。</w:t>
      </w:r>
      <w:r>
        <w:rPr>
          <w:rFonts w:hint="eastAsia" w:ascii="仿宋_GB2312" w:hAnsi="仿宋" w:eastAsia="仿宋_GB2312"/>
          <w:sz w:val="32"/>
          <w:szCs w:val="32"/>
        </w:rPr>
        <w:t>本年事业单位经营收入金额为0.00万元，上年同期事业单位经营收入金额为0.00万元，与上年对比</w:t>
      </w:r>
      <w:r>
        <w:rPr>
          <w:rFonts w:ascii="仿宋_GB2312" w:hAnsi="仿宋_GB2312" w:eastAsia="仿宋_GB2312"/>
          <w:sz w:val="32"/>
          <w:u w:color="auto"/>
        </w:rPr>
        <w:t>无增减变化。</w:t>
      </w:r>
      <w:r>
        <w:rPr>
          <w:rFonts w:hint="eastAsia" w:ascii="仿宋_GB2312" w:hAnsi="仿宋" w:eastAsia="仿宋_GB2312"/>
          <w:sz w:val="32"/>
          <w:szCs w:val="32"/>
        </w:rPr>
        <w:t>本年其他收入金额为288.94万元，上年同期其他收入金额为142.45万元，与上年对比增加</w:t>
      </w:r>
      <w:r>
        <w:rPr>
          <w:rFonts w:ascii="仿宋_GB2312" w:hAnsi="仿宋_GB2312" w:eastAsia="仿宋_GB2312"/>
          <w:sz w:val="32"/>
          <w:u w:color="auto"/>
        </w:rPr>
        <w:t>146.50</w:t>
      </w:r>
      <w:r>
        <w:rPr>
          <w:rFonts w:hint="eastAsia" w:ascii="仿宋_GB2312" w:hAnsi="仿宋" w:eastAsia="仿宋_GB2312"/>
          <w:sz w:val="32"/>
          <w:szCs w:val="32"/>
        </w:rPr>
        <w:t>万元，比上年增加</w:t>
      </w:r>
      <w:r>
        <w:rPr>
          <w:rFonts w:ascii="仿宋_GB2312" w:hAnsi="仿宋_GB2312" w:eastAsia="仿宋_GB2312"/>
          <w:sz w:val="32"/>
          <w:u w:color="auto"/>
        </w:rPr>
        <w:t>102.84</w:t>
      </w:r>
      <w:r>
        <w:rPr>
          <w:rFonts w:hint="eastAsia" w:ascii="仿宋_GB2312" w:hAnsi="仿宋" w:eastAsia="仿宋_GB2312"/>
          <w:sz w:val="32"/>
          <w:szCs w:val="32"/>
        </w:rPr>
        <w:t>%。变化原因为经核实属于正常变动范围内。</w:t>
      </w:r>
    </w:p>
    <w:p w14:paraId="48FE9A8F">
      <w:pPr>
        <w:snapToGrid w:val="0"/>
        <w:spacing w:line="520" w:lineRule="exact"/>
        <w:ind w:firstLine="640" w:firstLineChars="200"/>
        <w:rPr>
          <w:rFonts w:ascii="仿宋_GB2312" w:hAnsi="仿宋" w:eastAsia="仿宋_GB2312"/>
          <w:sz w:val="32"/>
          <w:szCs w:val="32"/>
        </w:rPr>
      </w:pPr>
    </w:p>
    <w:bookmarkEnd w:id="27"/>
    <w:p w14:paraId="50AB5001">
      <w:pPr>
        <w:snapToGrid w:val="0"/>
        <w:jc w:val="center"/>
        <w:rPr>
          <w:rFonts w:ascii="仿宋_GB2312" w:hAnsi="仿宋" w:eastAsia="仿宋_GB2312"/>
          <w:sz w:val="32"/>
          <w:szCs w:val="32"/>
        </w:rPr>
      </w:pPr>
      <w:r>
        <w:rPr>
          <w:rFonts w:hint="eastAsia"/>
        </w:rPr>
        <w:drawing>
          <wp:inline distT="0" distB="0" distL="0" distR="0">
            <wp:extent cx="4108450" cy="3081655"/>
            <wp:effectExtent l="0" t="0" r="6350" b="4445"/>
            <wp:docPr id="5"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2"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108450" cy="3081655"/>
                    </a:xfrm>
                    <a:prstGeom prst="rect">
                      <a:avLst/>
                    </a:prstGeom>
                    <a:noFill/>
                    <a:ln>
                      <a:noFill/>
                    </a:ln>
                  </pic:spPr>
                </pic:pic>
              </a:graphicData>
            </a:graphic>
          </wp:inline>
        </w:drawing>
      </w:r>
    </w:p>
    <w:p w14:paraId="61E5672E">
      <w:pPr>
        <w:snapToGrid w:val="0"/>
        <w:spacing w:line="520" w:lineRule="exact"/>
        <w:jc w:val="center"/>
        <w:rPr>
          <w:rFonts w:ascii="仿宋_GB2312" w:hAnsi="仿宋" w:eastAsia="仿宋_GB2312"/>
          <w:sz w:val="32"/>
          <w:szCs w:val="32"/>
        </w:rPr>
      </w:pPr>
      <w:r>
        <w:rPr>
          <w:rFonts w:hint="eastAsia" w:ascii="仿宋_GB2312" w:hAnsi="仿宋" w:eastAsia="仿宋_GB2312"/>
          <w:sz w:val="32"/>
          <w:szCs w:val="32"/>
        </w:rPr>
        <w:t>（图</w:t>
      </w:r>
      <w:r>
        <w:rPr>
          <w:rFonts w:hint="eastAsia" w:ascii="仿宋_GB2312" w:hAnsi="仿宋" w:eastAsia="仿宋_GB2312"/>
          <w:sz w:val="32"/>
          <w:szCs w:val="32"/>
          <w:lang w:eastAsia="zh-CN"/>
        </w:rPr>
        <w:t>2</w:t>
      </w:r>
      <w:r>
        <w:rPr>
          <w:rFonts w:hint="eastAsia" w:ascii="仿宋_GB2312" w:hAnsi="仿宋" w:eastAsia="仿宋_GB2312"/>
          <w:sz w:val="32"/>
          <w:szCs w:val="32"/>
        </w:rPr>
        <w:t>）</w:t>
      </w:r>
    </w:p>
    <w:p w14:paraId="21AE4C97">
      <w:pPr>
        <w:ind w:firstLine="800" w:firstLineChars="250"/>
        <w:rPr>
          <w:rFonts w:hint="eastAsia" w:ascii="Times New Roman" w:hAnsi="Times New Roman" w:eastAsia="仿宋_GB2312" w:cs="仿宋_GB2312"/>
          <w:color w:val="auto"/>
          <w:sz w:val="32"/>
          <w:szCs w:val="32"/>
          <w:highlight w:val="none"/>
          <w:lang w:eastAsia="zh-CN"/>
        </w:rPr>
      </w:pPr>
    </w:p>
    <w:p w14:paraId="5F169D6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8" w:name="_Toc15396605"/>
      <w:bookmarkStart w:id="29" w:name="_Toc15377207"/>
      <w:bookmarkStart w:id="30" w:name="_Toc18510"/>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8"/>
      <w:bookmarkEnd w:id="29"/>
      <w:bookmarkEnd w:id="30"/>
    </w:p>
    <w:p w14:paraId="3422FE59">
      <w:pPr>
        <w:snapToGrid w:val="0"/>
        <w:spacing w:line="520" w:lineRule="exact"/>
        <w:ind w:firstLine="640" w:firstLineChars="200"/>
        <w:rPr>
          <w:rFonts w:ascii="仿宋_GB2312" w:hAnsi="仿宋" w:eastAsia="仿宋_GB2312"/>
          <w:sz w:val="32"/>
          <w:szCs w:val="32"/>
        </w:rPr>
      </w:pPr>
      <w:bookmarkStart w:id="31" w:name="_Hlk187826034"/>
      <w:r>
        <w:rPr>
          <w:rFonts w:hint="eastAsia" w:ascii="仿宋_GB2312" w:hAnsi="仿宋" w:eastAsia="仿宋_GB2312"/>
          <w:sz w:val="32"/>
          <w:szCs w:val="32"/>
        </w:rPr>
        <w:t>本年支出合计金额为2,216.45万元，上年同期支出合计金额为1,789.22万元，与上年对比增加</w:t>
      </w:r>
      <w:r>
        <w:rPr>
          <w:rFonts w:ascii="仿宋_GB2312" w:hAnsi="仿宋_GB2312" w:eastAsia="仿宋_GB2312"/>
          <w:sz w:val="32"/>
          <w:u w:color="auto"/>
        </w:rPr>
        <w:t>427.23</w:t>
      </w:r>
      <w:r>
        <w:rPr>
          <w:rFonts w:hint="eastAsia" w:ascii="仿宋_GB2312" w:hAnsi="仿宋" w:eastAsia="仿宋_GB2312"/>
          <w:sz w:val="32"/>
          <w:szCs w:val="32"/>
        </w:rPr>
        <w:t>万元，比上年增加</w:t>
      </w:r>
      <w:r>
        <w:rPr>
          <w:rFonts w:ascii="仿宋_GB2312" w:hAnsi="仿宋_GB2312" w:eastAsia="仿宋_GB2312"/>
          <w:sz w:val="32"/>
          <w:u w:color="auto"/>
        </w:rPr>
        <w:t>23.88</w:t>
      </w:r>
      <w:r>
        <w:rPr>
          <w:rFonts w:hint="eastAsia" w:ascii="仿宋_GB2312" w:hAnsi="仿宋" w:eastAsia="仿宋_GB2312"/>
          <w:sz w:val="32"/>
          <w:szCs w:val="32"/>
        </w:rPr>
        <w:t>%。变化原因为经核实属于正常变动范围内其中：</w:t>
      </w:r>
    </w:p>
    <w:p w14:paraId="63A3F0E8">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本年基本支出金额为959.14万元，上年同期基本支出金额为1,005.24万元，与上年对比减少</w:t>
      </w:r>
      <w:r>
        <w:rPr>
          <w:rFonts w:ascii="仿宋_GB2312" w:hAnsi="仿宋_GB2312" w:eastAsia="仿宋_GB2312"/>
          <w:sz w:val="32"/>
          <w:u w:color="auto"/>
        </w:rPr>
        <w:t>46.10</w:t>
      </w:r>
      <w:r>
        <w:rPr>
          <w:rFonts w:hint="eastAsia" w:ascii="仿宋_GB2312" w:hAnsi="仿宋" w:eastAsia="仿宋_GB2312"/>
          <w:sz w:val="32"/>
          <w:szCs w:val="32"/>
        </w:rPr>
        <w:t>万元，比上年减少</w:t>
      </w:r>
      <w:r>
        <w:rPr>
          <w:rFonts w:ascii="仿宋_GB2312" w:hAnsi="仿宋_GB2312" w:eastAsia="仿宋_GB2312"/>
          <w:sz w:val="32"/>
          <w:u w:color="auto"/>
        </w:rPr>
        <w:t>4.59</w:t>
      </w:r>
      <w:r>
        <w:rPr>
          <w:rFonts w:hint="eastAsia" w:ascii="仿宋_GB2312" w:hAnsi="仿宋" w:eastAsia="仿宋_GB2312"/>
          <w:sz w:val="32"/>
          <w:szCs w:val="32"/>
        </w:rPr>
        <w:t>%。变化原因为经核实属于正常变动范围内。本年项目支出金额为1,257.32万元，上年同期项目支出金额为783.99万元，与上年对比增加</w:t>
      </w:r>
      <w:r>
        <w:rPr>
          <w:rFonts w:ascii="仿宋_GB2312" w:hAnsi="仿宋_GB2312" w:eastAsia="仿宋_GB2312"/>
          <w:sz w:val="32"/>
          <w:u w:color="auto"/>
        </w:rPr>
        <w:t>473.33</w:t>
      </w:r>
      <w:r>
        <w:rPr>
          <w:rFonts w:hint="eastAsia" w:ascii="仿宋_GB2312" w:hAnsi="仿宋" w:eastAsia="仿宋_GB2312"/>
          <w:sz w:val="32"/>
          <w:szCs w:val="32"/>
        </w:rPr>
        <w:t>万元，比上年增加</w:t>
      </w:r>
      <w:r>
        <w:rPr>
          <w:rFonts w:ascii="仿宋_GB2312" w:hAnsi="仿宋_GB2312" w:eastAsia="仿宋_GB2312"/>
          <w:sz w:val="32"/>
          <w:u w:color="auto"/>
        </w:rPr>
        <w:t>60.37</w:t>
      </w:r>
      <w:r>
        <w:rPr>
          <w:rFonts w:hint="eastAsia" w:ascii="仿宋_GB2312" w:hAnsi="仿宋" w:eastAsia="仿宋_GB2312"/>
          <w:sz w:val="32"/>
          <w:szCs w:val="32"/>
        </w:rPr>
        <w:t>%。变化原因为经核实属于正常变动范围内。本年经营支出金额为0.00万元，上年同期经营支出金额为0.00万元，与上年对比</w:t>
      </w:r>
      <w:r>
        <w:rPr>
          <w:rFonts w:ascii="仿宋_GB2312" w:hAnsi="仿宋_GB2312" w:eastAsia="仿宋_GB2312"/>
          <w:sz w:val="32"/>
          <w:u w:color="auto"/>
        </w:rPr>
        <w:t>无增减变化。</w:t>
      </w:r>
    </w:p>
    <w:bookmarkEnd w:id="31"/>
    <w:p w14:paraId="698A71E6">
      <w:pPr>
        <w:snapToGrid w:val="0"/>
        <w:spacing w:line="520" w:lineRule="exact"/>
        <w:ind w:firstLine="640" w:firstLineChars="200"/>
        <w:rPr>
          <w:rFonts w:ascii="仿宋_GB2312" w:hAnsi="仿宋" w:eastAsia="仿宋_GB2312"/>
          <w:sz w:val="32"/>
          <w:szCs w:val="32"/>
        </w:rPr>
      </w:pPr>
    </w:p>
    <w:p w14:paraId="3F05E1C6">
      <w:pPr>
        <w:snapToGrid w:val="0"/>
        <w:jc w:val="center"/>
        <w:rPr>
          <w:rFonts w:ascii="仿宋_GB2312" w:hAnsi="仿宋" w:eastAsia="仿宋_GB2312"/>
          <w:sz w:val="32"/>
          <w:szCs w:val="32"/>
        </w:rPr>
      </w:pPr>
      <w:r>
        <w:rPr>
          <w:rFonts w:hint="eastAsia"/>
        </w:rPr>
        <w:drawing>
          <wp:inline distT="0" distB="0" distL="0" distR="0">
            <wp:extent cx="3940810" cy="2955925"/>
            <wp:effectExtent l="0" t="0" r="2540" b="15875"/>
            <wp:docPr id="6"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descr="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940810" cy="2955925"/>
                    </a:xfrm>
                    <a:prstGeom prst="rect">
                      <a:avLst/>
                    </a:prstGeom>
                    <a:noFill/>
                    <a:ln>
                      <a:noFill/>
                    </a:ln>
                  </pic:spPr>
                </pic:pic>
              </a:graphicData>
            </a:graphic>
          </wp:inline>
        </w:drawing>
      </w:r>
    </w:p>
    <w:p w14:paraId="6E9AD19F">
      <w:pPr>
        <w:snapToGrid w:val="0"/>
        <w:spacing w:line="520" w:lineRule="exact"/>
        <w:jc w:val="center"/>
        <w:rPr>
          <w:rFonts w:ascii="仿宋_GB2312" w:hAnsi="仿宋" w:eastAsia="仿宋_GB2312"/>
          <w:sz w:val="32"/>
          <w:szCs w:val="32"/>
        </w:rPr>
      </w:pPr>
      <w:r>
        <w:rPr>
          <w:rFonts w:hint="eastAsia" w:ascii="仿宋_GB2312" w:hAnsi="仿宋" w:eastAsia="仿宋_GB2312"/>
          <w:sz w:val="32"/>
          <w:szCs w:val="32"/>
        </w:rPr>
        <w:t>（图</w:t>
      </w:r>
      <w:r>
        <w:rPr>
          <w:rFonts w:hint="eastAsia" w:ascii="仿宋_GB2312" w:hAnsi="仿宋" w:eastAsia="仿宋_GB2312"/>
          <w:sz w:val="32"/>
          <w:szCs w:val="32"/>
          <w:lang w:eastAsia="zh-CN"/>
        </w:rPr>
        <w:t>3</w:t>
      </w:r>
      <w:r>
        <w:rPr>
          <w:rFonts w:hint="eastAsia" w:ascii="仿宋_GB2312" w:hAnsi="仿宋" w:eastAsia="仿宋_GB2312"/>
          <w:sz w:val="32"/>
          <w:szCs w:val="32"/>
        </w:rPr>
        <w:t>）</w:t>
      </w:r>
    </w:p>
    <w:p w14:paraId="6ACD5C7D">
      <w:pPr>
        <w:ind w:firstLine="800" w:firstLineChars="250"/>
        <w:rPr>
          <w:rFonts w:hint="eastAsia" w:ascii="Times New Roman" w:hAnsi="Times New Roman" w:eastAsia="仿宋_GB2312" w:cs="仿宋_GB2312"/>
          <w:color w:val="auto"/>
          <w:sz w:val="32"/>
          <w:szCs w:val="32"/>
          <w:highlight w:val="none"/>
          <w:lang w:eastAsia="zh-CN"/>
        </w:rPr>
      </w:pPr>
    </w:p>
    <w:p w14:paraId="44782376">
      <w:pPr>
        <w:spacing w:line="600" w:lineRule="exact"/>
        <w:ind w:firstLine="640" w:firstLineChars="200"/>
        <w:outlineLvl w:val="1"/>
        <w:rPr>
          <w:rStyle w:val="29"/>
          <w:rFonts w:ascii="Times New Roman" w:hAnsi="Times New Roman" w:eastAsia="黑体"/>
          <w:b w:val="0"/>
          <w:color w:val="auto"/>
          <w:highlight w:val="none"/>
        </w:rPr>
      </w:pPr>
      <w:bookmarkStart w:id="32" w:name="_Toc6268"/>
      <w:bookmarkStart w:id="33" w:name="_Toc15396606"/>
      <w:bookmarkStart w:id="34"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2"/>
      <w:bookmarkEnd w:id="33"/>
      <w:bookmarkEnd w:id="34"/>
    </w:p>
    <w:p w14:paraId="4EBDDD99">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（1）本年收入1,890.98万元，其中财政拨款收入1,602.04万元，占全年收入的比重为84.72%，其他收入288.94万元，占全年收入比重15.28%。</w:t>
      </w:r>
    </w:p>
    <w:p w14:paraId="35F71D6D">
      <w:pPr>
        <w:snapToGrid w:val="0"/>
        <w:spacing w:line="520" w:lineRule="exact"/>
        <w:ind w:firstLine="640" w:firstLineChars="200"/>
        <w:rPr>
          <w:rFonts w:ascii="仿宋_GB2312" w:hAnsi="仿宋" w:eastAsia="仿宋_GB2312"/>
          <w:sz w:val="32"/>
          <w:szCs w:val="32"/>
        </w:rPr>
      </w:pPr>
    </w:p>
    <w:p w14:paraId="0196F2FF">
      <w:pPr>
        <w:snapToGrid w:val="0"/>
        <w:jc w:val="center"/>
        <w:rPr>
          <w:rFonts w:ascii="仿宋_GB2312" w:hAnsi="仿宋" w:eastAsia="仿宋_GB2312"/>
          <w:sz w:val="32"/>
          <w:szCs w:val="32"/>
        </w:rPr>
      </w:pPr>
      <w:r>
        <w:rPr>
          <w:rFonts w:hint="eastAsia"/>
        </w:rPr>
        <w:drawing>
          <wp:inline distT="0" distB="0" distL="0" distR="0">
            <wp:extent cx="3905885" cy="2929255"/>
            <wp:effectExtent l="0" t="0" r="18415" b="4445"/>
            <wp:docPr id="3"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905885" cy="2929255"/>
                    </a:xfrm>
                    <a:prstGeom prst="rect">
                      <a:avLst/>
                    </a:prstGeom>
                    <a:noFill/>
                    <a:ln>
                      <a:noFill/>
                    </a:ln>
                  </pic:spPr>
                </pic:pic>
              </a:graphicData>
            </a:graphic>
          </wp:inline>
        </w:drawing>
      </w:r>
    </w:p>
    <w:p w14:paraId="6340B9C5">
      <w:pPr>
        <w:snapToGrid w:val="0"/>
        <w:spacing w:line="520" w:lineRule="exact"/>
        <w:jc w:val="center"/>
        <w:rPr>
          <w:rFonts w:ascii="仿宋_GB2312" w:hAnsi="仿宋" w:eastAsia="仿宋_GB2312"/>
          <w:sz w:val="32"/>
          <w:szCs w:val="32"/>
        </w:rPr>
      </w:pPr>
      <w:r>
        <w:rPr>
          <w:rFonts w:hint="eastAsia" w:ascii="仿宋_GB2312" w:hAnsi="仿宋" w:eastAsia="仿宋_GB2312"/>
          <w:sz w:val="32"/>
          <w:szCs w:val="32"/>
        </w:rPr>
        <w:t>（图</w:t>
      </w:r>
      <w:r>
        <w:rPr>
          <w:rFonts w:hint="eastAsia" w:ascii="仿宋_GB2312" w:hAnsi="仿宋" w:eastAsia="仿宋_GB2312"/>
          <w:sz w:val="32"/>
          <w:szCs w:val="32"/>
          <w:lang w:val="en-US" w:eastAsia="zh-CN"/>
        </w:rPr>
        <w:t>4</w:t>
      </w:r>
      <w:r>
        <w:rPr>
          <w:rFonts w:hint="eastAsia" w:ascii="仿宋_GB2312" w:hAnsi="仿宋" w:eastAsia="仿宋_GB2312"/>
          <w:sz w:val="32"/>
          <w:szCs w:val="32"/>
        </w:rPr>
        <w:t>）</w:t>
      </w:r>
    </w:p>
    <w:p w14:paraId="50249585">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本年预算支出合计2,216.45万元。按资金来源，财政拨款支出1,927.51万元，占总支出的比重为86.96%。其他支出288.94万元，占总支出的比重为13.04%。</w:t>
      </w:r>
    </w:p>
    <w:p w14:paraId="087796E1">
      <w:pPr>
        <w:snapToGrid w:val="0"/>
        <w:spacing w:line="520" w:lineRule="exact"/>
        <w:ind w:firstLine="640" w:firstLineChars="200"/>
        <w:rPr>
          <w:rFonts w:ascii="仿宋_GB2312" w:hAnsi="仿宋" w:eastAsia="仿宋_GB2312"/>
          <w:sz w:val="32"/>
          <w:szCs w:val="32"/>
        </w:rPr>
      </w:pPr>
    </w:p>
    <w:p w14:paraId="5CAE3109">
      <w:pPr>
        <w:snapToGrid w:val="0"/>
        <w:jc w:val="center"/>
        <w:rPr>
          <w:rFonts w:ascii="仿宋_GB2312" w:hAnsi="仿宋" w:eastAsia="仿宋_GB2312"/>
          <w:sz w:val="32"/>
          <w:szCs w:val="32"/>
        </w:rPr>
      </w:pPr>
      <w:r>
        <w:rPr>
          <w:rFonts w:hint="eastAsia"/>
        </w:rPr>
        <w:drawing>
          <wp:inline distT="0" distB="0" distL="0" distR="0">
            <wp:extent cx="4512945" cy="3384550"/>
            <wp:effectExtent l="0" t="0" r="1905" b="6350"/>
            <wp:docPr id="4"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512945" cy="3384550"/>
                    </a:xfrm>
                    <a:prstGeom prst="rect">
                      <a:avLst/>
                    </a:prstGeom>
                    <a:noFill/>
                    <a:ln>
                      <a:noFill/>
                    </a:ln>
                  </pic:spPr>
                </pic:pic>
              </a:graphicData>
            </a:graphic>
          </wp:inline>
        </w:drawing>
      </w:r>
    </w:p>
    <w:p w14:paraId="7D6ABD1B">
      <w:pPr>
        <w:snapToGrid w:val="0"/>
        <w:spacing w:line="520" w:lineRule="exact"/>
        <w:jc w:val="center"/>
        <w:rPr>
          <w:rFonts w:ascii="仿宋_GB2312" w:hAnsi="仿宋" w:eastAsia="仿宋_GB2312"/>
          <w:sz w:val="32"/>
          <w:szCs w:val="32"/>
        </w:rPr>
      </w:pPr>
      <w:r>
        <w:rPr>
          <w:rFonts w:hint="eastAsia" w:ascii="仿宋_GB2312" w:hAnsi="仿宋" w:eastAsia="仿宋_GB2312"/>
          <w:sz w:val="32"/>
          <w:szCs w:val="32"/>
        </w:rPr>
        <w:t>（图</w:t>
      </w:r>
      <w:r>
        <w:rPr>
          <w:rFonts w:hint="eastAsia" w:ascii="仿宋_GB2312" w:hAnsi="仿宋" w:eastAsia="仿宋_GB2312"/>
          <w:sz w:val="32"/>
          <w:szCs w:val="32"/>
          <w:lang w:val="en-US" w:eastAsia="zh-CN"/>
        </w:rPr>
        <w:t>5</w:t>
      </w:r>
      <w:r>
        <w:rPr>
          <w:rFonts w:hint="eastAsia" w:ascii="仿宋_GB2312" w:hAnsi="仿宋" w:eastAsia="仿宋_GB2312"/>
          <w:sz w:val="32"/>
          <w:szCs w:val="32"/>
        </w:rPr>
        <w:t>）</w:t>
      </w:r>
    </w:p>
    <w:p w14:paraId="03B7D5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729E12F">
      <w:pPr>
        <w:spacing w:line="600" w:lineRule="exact"/>
        <w:ind w:firstLine="640" w:firstLineChars="200"/>
        <w:outlineLvl w:val="1"/>
        <w:rPr>
          <w:rStyle w:val="29"/>
          <w:rFonts w:ascii="Times New Roman" w:hAnsi="Times New Roman" w:eastAsia="黑体"/>
          <w:b w:val="0"/>
          <w:color w:val="auto"/>
          <w:highlight w:val="none"/>
        </w:rPr>
      </w:pPr>
      <w:bookmarkStart w:id="35" w:name="_Toc15396607"/>
      <w:bookmarkStart w:id="36" w:name="_Toc15377209"/>
      <w:bookmarkStart w:id="37" w:name="_Toc10432"/>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5"/>
      <w:bookmarkEnd w:id="36"/>
      <w:bookmarkEnd w:id="37"/>
    </w:p>
    <w:p w14:paraId="7BD24F4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6960"/>
      <w:bookmarkStart w:id="3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8"/>
      <w:bookmarkEnd w:id="39"/>
    </w:p>
    <w:p w14:paraId="7B7A400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1862.05</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84.01</w:t>
      </w:r>
      <w:r>
        <w:rPr>
          <w:rFonts w:hint="eastAsia" w:ascii="仿宋_GB2312" w:hAnsi="仿宋_GB2312" w:eastAsia="仿宋_GB2312" w:cs="仿宋_GB2312"/>
          <w:color w:val="auto"/>
          <w:kern w:val="2"/>
          <w:sz w:val="32"/>
          <w:szCs w:val="32"/>
          <w:highlight w:val="none"/>
          <w:lang w:val="en-US" w:eastAsia="zh-CN" w:bidi="ar-SA"/>
        </w:rPr>
        <w:t>%。与2023年度相比，一般公共预算财政拨款支出增加222.27万元，增长13.55%。主要变动原因是项目支出增加。</w:t>
      </w:r>
    </w:p>
    <w:p w14:paraId="465FDE3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72576E1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55E7A7B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7FD9135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 w:hAnsi="仿宋" w:eastAsia="仿宋" w:cs="仿宋"/>
          <w:b w:val="0"/>
          <w:i w:val="0"/>
          <w:caps w:val="0"/>
          <w:color w:val="333333"/>
          <w:spacing w:val="0"/>
          <w:kern w:val="0"/>
          <w:sz w:val="32"/>
          <w:szCs w:val="32"/>
          <w:shd w:val="clear" w:color="auto" w:fill="FFFFFF"/>
          <w:lang w:val="en-US" w:eastAsia="zh-CN" w:bidi="ar"/>
        </w:rPr>
        <w:drawing>
          <wp:anchor distT="0" distB="0" distL="114300" distR="114300" simplePos="0" relativeHeight="251660288" behindDoc="1" locked="0" layoutInCell="1" allowOverlap="1">
            <wp:simplePos x="0" y="0"/>
            <wp:positionH relativeFrom="column">
              <wp:posOffset>415925</wp:posOffset>
            </wp:positionH>
            <wp:positionV relativeFrom="paragraph">
              <wp:posOffset>0</wp:posOffset>
            </wp:positionV>
            <wp:extent cx="4615180" cy="4030345"/>
            <wp:effectExtent l="4445" t="4445" r="9525" b="22860"/>
            <wp:wrapNone/>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68F288C">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4F38EBD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66DA2D0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16F71A7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p>
    <w:p w14:paraId="5738DDC6">
      <w:pPr>
        <w:spacing w:line="600" w:lineRule="exact"/>
        <w:rPr>
          <w:rFonts w:hint="eastAsia" w:ascii="仿宋_GB2312" w:hAnsi="仿宋_GB2312" w:eastAsia="仿宋_GB2312" w:cs="仿宋_GB2312"/>
          <w:color w:val="auto"/>
          <w:kern w:val="2"/>
          <w:sz w:val="32"/>
          <w:szCs w:val="32"/>
          <w:highlight w:val="none"/>
          <w:lang w:val="en-US" w:eastAsia="zh-CN" w:bidi="ar-SA"/>
        </w:rPr>
      </w:pPr>
    </w:p>
    <w:p w14:paraId="4D608CAC">
      <w:pPr>
        <w:spacing w:line="600" w:lineRule="exact"/>
        <w:ind w:firstLine="4166" w:firstLineChars="1302"/>
        <w:rPr>
          <w:rFonts w:hint="eastAsia" w:ascii="Times New Roman" w:hAnsi="Times New Roman" w:eastAsia="仿宋_GB2312" w:cs="仿宋_GB2312"/>
          <w:color w:val="auto"/>
          <w:kern w:val="2"/>
          <w:sz w:val="32"/>
          <w:szCs w:val="32"/>
          <w:highlight w:val="none"/>
          <w:lang w:val="en-US" w:eastAsia="zh-CN" w:bidi="ar-SA"/>
        </w:rPr>
      </w:pPr>
    </w:p>
    <w:p w14:paraId="2C36C07F">
      <w:pPr>
        <w:spacing w:line="600" w:lineRule="exact"/>
        <w:ind w:firstLine="4166" w:firstLineChars="1302"/>
        <w:rPr>
          <w:rFonts w:hint="eastAsia" w:ascii="Times New Roman" w:hAnsi="Times New Roman" w:eastAsia="仿宋_GB2312" w:cs="仿宋_GB2312"/>
          <w:color w:val="auto"/>
          <w:kern w:val="2"/>
          <w:sz w:val="32"/>
          <w:szCs w:val="32"/>
          <w:highlight w:val="none"/>
          <w:lang w:val="en-US" w:eastAsia="zh-CN" w:bidi="ar-SA"/>
        </w:rPr>
      </w:pPr>
    </w:p>
    <w:p w14:paraId="3CCFC8CC">
      <w:pPr>
        <w:spacing w:line="600" w:lineRule="exact"/>
        <w:ind w:firstLine="4166" w:firstLineChars="1302"/>
        <w:rPr>
          <w:rFonts w:hint="eastAsia" w:ascii="Times New Roman" w:hAnsi="Times New Roman" w:eastAsia="仿宋_GB2312" w:cs="仿宋_GB2312"/>
          <w:color w:val="auto"/>
          <w:kern w:val="2"/>
          <w:sz w:val="32"/>
          <w:szCs w:val="32"/>
          <w:highlight w:val="none"/>
          <w:lang w:val="en-US" w:eastAsia="zh-CN" w:bidi="ar-SA"/>
        </w:rPr>
      </w:pPr>
    </w:p>
    <w:p w14:paraId="0DF05C67">
      <w:pPr>
        <w:spacing w:line="600" w:lineRule="exact"/>
        <w:ind w:firstLine="4166" w:firstLineChars="1302"/>
        <w:rPr>
          <w:rFonts w:hint="eastAsia" w:ascii="Times New Roman" w:hAnsi="Times New Roman" w:eastAsia="仿宋_GB2312" w:cs="仿宋_GB2312"/>
          <w:color w:val="auto"/>
          <w:kern w:val="2"/>
          <w:sz w:val="32"/>
          <w:szCs w:val="32"/>
          <w:highlight w:val="none"/>
          <w:lang w:val="en-US" w:eastAsia="zh-CN" w:bidi="ar-SA"/>
        </w:rPr>
      </w:pPr>
    </w:p>
    <w:p w14:paraId="6747DF58">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18D7044">
      <w:pPr>
        <w:spacing w:line="600" w:lineRule="exact"/>
        <w:ind w:firstLine="4166" w:firstLineChars="1302"/>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图</w:t>
      </w:r>
      <w:r>
        <w:rPr>
          <w:rFonts w:hint="eastAsia" w:eastAsia="仿宋_GB2312" w:cs="仿宋_GB2312"/>
          <w:color w:val="auto"/>
          <w:kern w:val="2"/>
          <w:sz w:val="32"/>
          <w:szCs w:val="32"/>
          <w:highlight w:val="none"/>
          <w:lang w:val="en-US" w:eastAsia="zh-CN" w:bidi="ar-SA"/>
        </w:rPr>
        <w:t>6</w:t>
      </w:r>
      <w:bookmarkStart w:id="40" w:name="_Toc15377211"/>
    </w:p>
    <w:p w14:paraId="3BC5D98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28869"/>
      <w:r>
        <w:rPr>
          <w:rFonts w:hint="eastAsia" w:ascii="Times New Roman" w:hAnsi="Times New Roman" w:eastAsia="楷体_GB2312" w:cs="楷体_GB2312"/>
          <w:b/>
          <w:color w:val="auto"/>
          <w:sz w:val="32"/>
          <w:szCs w:val="32"/>
          <w:highlight w:val="none"/>
        </w:rPr>
        <w:t>（二）一般公共预算财政拨款支出决算结构情况</w:t>
      </w:r>
      <w:bookmarkEnd w:id="40"/>
      <w:bookmarkEnd w:id="41"/>
    </w:p>
    <w:p w14:paraId="0DE87BE0">
      <w:pPr>
        <w:snapToGrid w:val="0"/>
        <w:spacing w:line="520" w:lineRule="exact"/>
        <w:ind w:firstLine="640" w:firstLineChars="200"/>
        <w:rPr>
          <w:rFonts w:ascii="仿宋_GB2312" w:hAnsi="仿宋"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2024年度一般公共预算财政拨款支出</w:t>
      </w:r>
      <w:r>
        <w:rPr>
          <w:rFonts w:hint="eastAsia" w:ascii="仿宋_GB2312" w:hAnsi="仿宋_GB2312" w:eastAsia="仿宋_GB2312" w:cs="仿宋_GB2312"/>
          <w:sz w:val="32"/>
          <w:szCs w:val="32"/>
        </w:rPr>
        <w:t>1862.05</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ascii="仿宋_GB2312" w:hAnsi="仿宋_GB2312" w:eastAsia="仿宋_GB2312"/>
          <w:sz w:val="32"/>
          <w:u w:color="auto"/>
        </w:rPr>
        <w:t>2024</w:t>
      </w:r>
      <w:r>
        <w:rPr>
          <w:rFonts w:hint="eastAsia" w:ascii="仿宋_GB2312" w:hAnsi="仿宋" w:eastAsia="仿宋_GB2312"/>
          <w:sz w:val="32"/>
          <w:szCs w:val="32"/>
        </w:rPr>
        <w:t>年度</w:t>
      </w:r>
      <w:r>
        <w:rPr>
          <w:rFonts w:ascii="仿宋_GB2312" w:hAnsi="仿宋_GB2312" w:eastAsia="仿宋_GB2312"/>
          <w:sz w:val="32"/>
          <w:u w:color="auto"/>
        </w:rPr>
        <w:t>住房保障支出金额为53.97万元，占全年支出总额2.43%；一般公共服务支出金额为</w:t>
      </w:r>
      <w:r>
        <w:rPr>
          <w:rFonts w:hint="eastAsia" w:ascii="仿宋_GB2312" w:hAnsi="仿宋_GB2312" w:eastAsia="仿宋_GB2312"/>
          <w:sz w:val="32"/>
          <w:u w:color="auto"/>
          <w:lang w:val="en-US" w:eastAsia="zh-CN"/>
        </w:rPr>
        <w:t>1010.16</w:t>
      </w:r>
      <w:r>
        <w:rPr>
          <w:rFonts w:ascii="仿宋_GB2312" w:hAnsi="仿宋_GB2312" w:eastAsia="仿宋_GB2312"/>
          <w:sz w:val="32"/>
          <w:u w:color="auto"/>
        </w:rPr>
        <w:t>万元，占全年支出总额58.61%；农林水支出金额为643.42万元，占全年支出总额29.03%；卫生健康支出金额为20.57万元，占全年支出总额0.93%；社会保障和就业支出金额为128.92万元，占全年支出总额5.82%；文化旅游体育与传媒支出金额为5.00万元，占全年支出总额0.23%</w:t>
      </w:r>
      <w:r>
        <w:rPr>
          <w:rFonts w:hint="eastAsia" w:ascii="仿宋_GB2312" w:hAnsi="仿宋" w:eastAsia="仿宋_GB2312"/>
          <w:sz w:val="32"/>
          <w:szCs w:val="32"/>
        </w:rPr>
        <w:t>。</w:t>
      </w:r>
    </w:p>
    <w:p w14:paraId="5E78AB0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6D6BAC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097D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AE505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000000" w:themeColor="text1"/>
          <w:sz w:val="32"/>
          <w:szCs w:val="32"/>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605790</wp:posOffset>
            </wp:positionH>
            <wp:positionV relativeFrom="paragraph">
              <wp:posOffset>104775</wp:posOffset>
            </wp:positionV>
            <wp:extent cx="4061460" cy="3129915"/>
            <wp:effectExtent l="4445" t="5080" r="10795" b="8255"/>
            <wp:wrapNone/>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212FC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60E4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681E9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00A5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7BA1B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5F29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F588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AE7EA0">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0870CDC">
      <w:pPr>
        <w:spacing w:line="600" w:lineRule="exact"/>
        <w:ind w:firstLine="3840" w:firstLineChars="1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w:t>
      </w:r>
      <w:r>
        <w:rPr>
          <w:rFonts w:hint="eastAsia" w:eastAsia="仿宋_GB2312" w:cs="仿宋_GB2312"/>
          <w:color w:val="auto"/>
          <w:kern w:val="2"/>
          <w:sz w:val="32"/>
          <w:szCs w:val="32"/>
          <w:highlight w:val="none"/>
          <w:lang w:val="en-US" w:eastAsia="zh-CN" w:bidi="ar-SA"/>
        </w:rPr>
        <w:t>7</w:t>
      </w:r>
    </w:p>
    <w:p w14:paraId="502FBFE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2"/>
      <w:bookmarkStart w:id="43" w:name="_Toc9810"/>
      <w:r>
        <w:rPr>
          <w:rFonts w:hint="eastAsia" w:ascii="Times New Roman" w:hAnsi="Times New Roman" w:eastAsia="楷体_GB2312" w:cs="楷体_GB2312"/>
          <w:b/>
          <w:color w:val="auto"/>
          <w:sz w:val="32"/>
          <w:szCs w:val="32"/>
          <w:highlight w:val="none"/>
        </w:rPr>
        <w:t>（三）一般公共预算财政拨款支出决算具体情况</w:t>
      </w:r>
      <w:bookmarkEnd w:id="42"/>
      <w:bookmarkEnd w:id="43"/>
    </w:p>
    <w:p w14:paraId="587336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4" w:name="_Toc15377213"/>
      <w:bookmarkStart w:id="45" w:name="_Toc15378460"/>
      <w:bookmarkStart w:id="46" w:name="_Toc15377444"/>
      <w:r>
        <w:rPr>
          <w:rFonts w:hint="eastAsia" w:ascii="Times New Roman" w:hAnsi="Times New Roman" w:eastAsia="仿宋_GB2312" w:cs="仿宋_GB2312"/>
          <w:color w:val="auto"/>
          <w:kern w:val="2"/>
          <w:sz w:val="32"/>
          <w:szCs w:val="32"/>
          <w:highlight w:val="none"/>
          <w:lang w:val="en-US" w:eastAsia="zh-CN" w:bidi="ar-SA"/>
        </w:rPr>
        <w:t>2024年度一般公共预算财政拨款支出决算数为</w:t>
      </w:r>
      <w:r>
        <w:rPr>
          <w:rFonts w:hint="eastAsia" w:ascii="仿宋_GB2312" w:hAnsi="仿宋_GB2312" w:eastAsia="仿宋_GB2312" w:cs="仿宋_GB2312"/>
          <w:sz w:val="32"/>
          <w:szCs w:val="32"/>
        </w:rPr>
        <w:t>1862.05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4"/>
      <w:bookmarkEnd w:id="45"/>
      <w:bookmarkEnd w:id="46"/>
    </w:p>
    <w:p w14:paraId="38B0B309">
      <w:pPr>
        <w:numPr>
          <w:ilvl w:val="0"/>
          <w:numId w:val="3"/>
        </w:num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eastAsia="zh-CN"/>
        </w:rPr>
        <w:t>人大事务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行政运行</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8.57</w:t>
      </w:r>
      <w:r>
        <w:rPr>
          <w:rFonts w:hint="eastAsia" w:ascii="Times New Roman" w:hAnsi="Times New Roman" w:eastAsia="仿宋_GB2312" w:cs="Times New Roman"/>
          <w:sz w:val="32"/>
        </w:rPr>
        <w:t>万元，完成预算100%，决算数与预算数持平。</w:t>
      </w:r>
    </w:p>
    <w:p w14:paraId="6E0ECD7D">
      <w:pPr>
        <w:bidi w:val="0"/>
        <w:spacing w:line="600" w:lineRule="exact"/>
        <w:ind w:firstLine="640" w:firstLineChars="200"/>
      </w:pPr>
      <w:r>
        <w:rPr>
          <w:rFonts w:hint="eastAsia" w:ascii="Times New Roman" w:hAnsi="Times New Roman" w:eastAsia="仿宋_GB2312" w:cs="Times New Roman"/>
          <w:sz w:val="32"/>
          <w:lang w:val="en-US" w:eastAsia="zh-CN"/>
        </w:rPr>
        <w:t>2</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eastAsia="zh-CN"/>
        </w:rPr>
        <w:t>人大事务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一般行政管理事务</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2.36</w:t>
      </w:r>
      <w:r>
        <w:rPr>
          <w:rFonts w:hint="eastAsia" w:ascii="Times New Roman" w:hAnsi="Times New Roman" w:eastAsia="仿宋_GB2312" w:cs="Times New Roman"/>
          <w:sz w:val="32"/>
        </w:rPr>
        <w:t>万元，完成预算100%，决算数与预算数持平。</w:t>
      </w:r>
    </w:p>
    <w:p w14:paraId="4E5DEADB">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3</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政府办公厅（室）及相关机构事务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行政运行</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362.29</w:t>
      </w:r>
      <w:r>
        <w:rPr>
          <w:rFonts w:hint="eastAsia" w:ascii="Times New Roman" w:hAnsi="Times New Roman" w:eastAsia="仿宋_GB2312" w:cs="Times New Roman"/>
          <w:sz w:val="32"/>
        </w:rPr>
        <w:t>万元，完成预算100%，决算数与预算数持平。</w:t>
      </w:r>
    </w:p>
    <w:p w14:paraId="673F4DE9">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4</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政府办公厅（室）及相关机构事务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一般行政管理事务</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439.21</w:t>
      </w:r>
      <w:r>
        <w:rPr>
          <w:rFonts w:hint="eastAsia" w:ascii="Times New Roman" w:hAnsi="Times New Roman" w:eastAsia="仿宋_GB2312" w:cs="Times New Roman"/>
          <w:sz w:val="32"/>
        </w:rPr>
        <w:t>万元，完成预算100%，决算数与预算数持平。</w:t>
      </w:r>
    </w:p>
    <w:p w14:paraId="570D6168">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5</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政府办公厅（室）及相关机构事务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事业运行</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155.3</w:t>
      </w:r>
      <w:r>
        <w:rPr>
          <w:rFonts w:hint="eastAsia" w:ascii="Times New Roman" w:hAnsi="Times New Roman" w:eastAsia="仿宋_GB2312" w:cs="Times New Roman"/>
          <w:sz w:val="32"/>
        </w:rPr>
        <w:t>万元，完成预算100%，决算数与预算数持平。</w:t>
      </w:r>
    </w:p>
    <w:p w14:paraId="25500BD7">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6</w:t>
      </w:r>
      <w:r>
        <w:rPr>
          <w:rFonts w:ascii="Times New Roman" w:hAnsi="Times New Roman" w:eastAsia="仿宋_GB2312" w:cs="Times New Roman"/>
          <w:sz w:val="32"/>
        </w:rPr>
        <w:t>.</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民族事务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民族工作专项</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8</w:t>
      </w:r>
      <w:r>
        <w:rPr>
          <w:rFonts w:hint="eastAsia" w:ascii="Times New Roman" w:hAnsi="Times New Roman" w:eastAsia="仿宋_GB2312" w:cs="Times New Roman"/>
          <w:sz w:val="32"/>
        </w:rPr>
        <w:t>万元，完成预算100%，决算数与预算数持平。</w:t>
      </w:r>
    </w:p>
    <w:p w14:paraId="26080DA8">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7.</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民族事务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其他民族事务支出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1.25</w:t>
      </w:r>
      <w:r>
        <w:rPr>
          <w:rFonts w:hint="eastAsia" w:ascii="Times New Roman" w:hAnsi="Times New Roman" w:eastAsia="仿宋_GB2312" w:cs="Times New Roman"/>
          <w:sz w:val="32"/>
        </w:rPr>
        <w:t>万元，完成预算100%，决算数与预算数持平。</w:t>
      </w:r>
    </w:p>
    <w:p w14:paraId="3E6582AA">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8.</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组织事务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其他组织事务支出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0.38</w:t>
      </w:r>
      <w:r>
        <w:rPr>
          <w:rFonts w:hint="eastAsia" w:ascii="Times New Roman" w:hAnsi="Times New Roman" w:eastAsia="仿宋_GB2312" w:cs="Times New Roman"/>
          <w:sz w:val="32"/>
        </w:rPr>
        <w:t>万元，完成预算100%，决算数与预算数持平。</w:t>
      </w:r>
    </w:p>
    <w:p w14:paraId="0F7406C9">
      <w:pPr>
        <w:bidi w:val="0"/>
        <w:spacing w:line="600" w:lineRule="exact"/>
        <w:ind w:firstLine="640" w:firstLineChars="200"/>
        <w:rPr>
          <w:rFonts w:hint="eastAsia"/>
        </w:rPr>
      </w:pPr>
      <w:r>
        <w:rPr>
          <w:rFonts w:hint="eastAsia" w:ascii="Times New Roman" w:hAnsi="Times New Roman" w:eastAsia="仿宋_GB2312" w:cs="Times New Roman"/>
          <w:sz w:val="32"/>
          <w:lang w:val="en-US" w:eastAsia="zh-CN"/>
        </w:rPr>
        <w:t>9.</w:t>
      </w:r>
      <w:r>
        <w:rPr>
          <w:rFonts w:hint="eastAsia" w:ascii="Times New Roman" w:hAnsi="Times New Roman" w:eastAsia="仿宋_GB2312" w:cs="Times New Roman"/>
          <w:sz w:val="32"/>
        </w:rPr>
        <w:t>一般公共服务（类）</w:t>
      </w:r>
      <w:r>
        <w:rPr>
          <w:rFonts w:hint="eastAsia" w:ascii="Times New Roman" w:hAnsi="Times New Roman" w:eastAsia="仿宋_GB2312" w:cs="Times New Roman"/>
          <w:sz w:val="32"/>
          <w:lang w:val="en-US" w:eastAsia="zh-CN"/>
        </w:rPr>
        <w:t>其他一般公共服务支出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val="en-US" w:eastAsia="zh-CN"/>
        </w:rPr>
        <w:t>其他一般公共服务支出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32.8</w:t>
      </w:r>
      <w:r>
        <w:rPr>
          <w:rFonts w:hint="eastAsia" w:ascii="Times New Roman" w:hAnsi="Times New Roman" w:eastAsia="仿宋_GB2312" w:cs="Times New Roman"/>
          <w:sz w:val="32"/>
        </w:rPr>
        <w:t>万元，完成预算100%，决算数与预算数持平。</w:t>
      </w:r>
    </w:p>
    <w:p w14:paraId="199E372D">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10.</w:t>
      </w:r>
      <w:r>
        <w:rPr>
          <w:rFonts w:hint="eastAsia" w:ascii="Times New Roman" w:hAnsi="Times New Roman" w:eastAsia="仿宋_GB2312" w:cs="Times New Roman"/>
          <w:sz w:val="32"/>
        </w:rPr>
        <w:t>文化旅游体育与传媒（类）</w:t>
      </w:r>
      <w:r>
        <w:rPr>
          <w:rFonts w:hint="eastAsia" w:ascii="Times New Roman" w:hAnsi="Times New Roman" w:eastAsia="仿宋_GB2312" w:cs="Times New Roman"/>
          <w:sz w:val="32"/>
          <w:lang w:eastAsia="zh-CN"/>
        </w:rPr>
        <w:t>文化和旅游</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图书馆</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5</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r>
        <w:rPr>
          <w:rFonts w:hint="eastAsia" w:ascii="Times New Roman" w:hAnsi="Times New Roman" w:eastAsia="仿宋_GB2312" w:cs="Times New Roman"/>
          <w:sz w:val="32"/>
          <w:lang w:val="en-US" w:eastAsia="zh-CN"/>
        </w:rPr>
        <w:t xml:space="preserve"> </w:t>
      </w:r>
    </w:p>
    <w:p w14:paraId="53898996">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11</w:t>
      </w:r>
      <w:r>
        <w:rPr>
          <w:rFonts w:ascii="Times New Roman" w:hAnsi="Times New Roman" w:eastAsia="仿宋_GB2312" w:cs="Times New Roman"/>
          <w:sz w:val="32"/>
        </w:rPr>
        <w:t>.</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行政单位养老支出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机关事业单位基本养老保险缴费支出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63.18</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18DAACA0">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9.</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行政单位养老支出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机关事业单位职业年金缴费支出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48.17</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2721290A">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12.</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抚恤</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其他优抚支出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3.1</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32AB4D80">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13.</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其他社会保障和就业支出</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其他社会保障和就业支出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6.48</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1D467AAB">
      <w:pPr>
        <w:bidi w:val="0"/>
        <w:spacing w:line="600" w:lineRule="exact"/>
        <w:ind w:firstLine="640" w:firstLineChars="200"/>
        <w:rPr>
          <w:rFonts w:hint="eastAsia"/>
          <w:lang w:val="en-US" w:eastAsia="zh-CN"/>
        </w:rPr>
      </w:pPr>
      <w:r>
        <w:rPr>
          <w:rFonts w:hint="eastAsia" w:ascii="Times New Roman" w:hAnsi="Times New Roman" w:eastAsia="仿宋_GB2312" w:cs="Times New Roman"/>
          <w:sz w:val="32"/>
          <w:lang w:val="en-US" w:eastAsia="zh-CN"/>
        </w:rPr>
        <w:t>14.</w:t>
      </w:r>
      <w:r>
        <w:rPr>
          <w:rFonts w:hint="eastAsia" w:ascii="Times New Roman" w:hAnsi="Times New Roman" w:eastAsia="仿宋_GB2312" w:cs="Times New Roman"/>
          <w:sz w:val="32"/>
        </w:rPr>
        <w:t>社会保障和就业（类）</w:t>
      </w:r>
      <w:r>
        <w:rPr>
          <w:rFonts w:hint="eastAsia" w:ascii="Times New Roman" w:hAnsi="Times New Roman" w:eastAsia="仿宋_GB2312" w:cs="Times New Roman"/>
          <w:sz w:val="32"/>
          <w:lang w:eastAsia="zh-CN"/>
        </w:rPr>
        <w:t>人力资源和社会保障管理事务</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其他人力资源和社会保障管理事务支出</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11.09</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6DAFB374">
      <w:pPr>
        <w:bidi w:val="0"/>
        <w:spacing w:line="600" w:lineRule="exact"/>
        <w:ind w:firstLine="640" w:firstLineChars="200"/>
        <w:rPr>
          <w:rFonts w:ascii="Times New Roman" w:hAnsi="Times New Roman" w:eastAsia="仿宋_GB2312" w:cs="Times New Roman"/>
          <w:sz w:val="32"/>
        </w:rPr>
      </w:pPr>
      <w:r>
        <w:rPr>
          <w:rFonts w:hint="eastAsia" w:ascii="Times New Roman" w:hAnsi="Times New Roman" w:eastAsia="仿宋_GB2312" w:cs="Times New Roman"/>
          <w:sz w:val="32"/>
          <w:lang w:val="en-US" w:eastAsia="zh-CN"/>
        </w:rPr>
        <w:t>15.</w:t>
      </w:r>
      <w:r>
        <w:rPr>
          <w:rFonts w:hint="eastAsia" w:ascii="Times New Roman" w:hAnsi="Times New Roman" w:eastAsia="仿宋_GB2312" w:cs="Times New Roman"/>
          <w:sz w:val="32"/>
        </w:rPr>
        <w:t>卫生健康</w:t>
      </w:r>
      <w:r>
        <w:rPr>
          <w:rFonts w:hint="eastAsia" w:ascii="Times New Roman" w:hAnsi="Times New Roman" w:eastAsia="仿宋_GB2312" w:cs="Times New Roman"/>
          <w:sz w:val="32"/>
          <w:lang w:eastAsia="zh-CN"/>
        </w:rPr>
        <w:t>支出</w:t>
      </w:r>
      <w:r>
        <w:rPr>
          <w:rFonts w:hint="eastAsia" w:ascii="Times New Roman" w:hAnsi="Times New Roman" w:eastAsia="仿宋_GB2312" w:cs="Times New Roman"/>
          <w:sz w:val="32"/>
        </w:rPr>
        <w:t>（类）</w:t>
      </w:r>
      <w:r>
        <w:rPr>
          <w:rFonts w:hint="eastAsia" w:ascii="Times New Roman" w:hAnsi="Times New Roman" w:eastAsia="仿宋_GB2312" w:cs="Times New Roman"/>
          <w:sz w:val="32"/>
          <w:lang w:eastAsia="zh-CN"/>
        </w:rPr>
        <w:t>行政事业单位医疗</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行政单位医疗</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10.3</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673D3BD7">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16.</w:t>
      </w:r>
      <w:r>
        <w:rPr>
          <w:rFonts w:hint="eastAsia" w:ascii="Times New Roman" w:hAnsi="Times New Roman" w:eastAsia="仿宋_GB2312" w:cs="Times New Roman"/>
          <w:sz w:val="32"/>
        </w:rPr>
        <w:t>卫生健康</w:t>
      </w:r>
      <w:r>
        <w:rPr>
          <w:rFonts w:hint="eastAsia" w:ascii="Times New Roman" w:hAnsi="Times New Roman" w:eastAsia="仿宋_GB2312" w:cs="Times New Roman"/>
          <w:sz w:val="32"/>
          <w:lang w:eastAsia="zh-CN"/>
        </w:rPr>
        <w:t>支出</w:t>
      </w:r>
      <w:r>
        <w:rPr>
          <w:rFonts w:hint="eastAsia" w:ascii="Times New Roman" w:hAnsi="Times New Roman" w:eastAsia="仿宋_GB2312" w:cs="Times New Roman"/>
          <w:sz w:val="32"/>
        </w:rPr>
        <w:t>（类）</w:t>
      </w:r>
      <w:r>
        <w:rPr>
          <w:rFonts w:hint="eastAsia" w:ascii="Times New Roman" w:hAnsi="Times New Roman" w:eastAsia="仿宋_GB2312" w:cs="Times New Roman"/>
          <w:sz w:val="32"/>
          <w:lang w:eastAsia="zh-CN"/>
        </w:rPr>
        <w:t>行政事业单位医疗</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事业单位医疗</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7.03</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500DC5B7">
      <w:pPr>
        <w:bidi w:val="0"/>
        <w:spacing w:line="600" w:lineRule="exact"/>
        <w:ind w:firstLine="640" w:firstLineChars="200"/>
        <w:rPr>
          <w:rFonts w:hint="eastAsia" w:ascii="Times New Roman" w:hAnsi="Times New Roman" w:eastAsia="仿宋_GB2312" w:cs="Times New Roman"/>
          <w:sz w:val="32"/>
        </w:rPr>
      </w:pPr>
      <w:r>
        <w:rPr>
          <w:rFonts w:hint="eastAsia" w:ascii="Times New Roman" w:hAnsi="Times New Roman" w:eastAsia="仿宋_GB2312" w:cs="Times New Roman"/>
          <w:sz w:val="32"/>
          <w:lang w:val="en-US" w:eastAsia="zh-CN"/>
        </w:rPr>
        <w:t>17.</w:t>
      </w:r>
      <w:r>
        <w:rPr>
          <w:rFonts w:hint="eastAsia" w:ascii="Times New Roman" w:hAnsi="Times New Roman" w:eastAsia="仿宋_GB2312" w:cs="Times New Roman"/>
          <w:sz w:val="32"/>
        </w:rPr>
        <w:t>卫生健康</w:t>
      </w:r>
      <w:r>
        <w:rPr>
          <w:rFonts w:hint="eastAsia" w:ascii="Times New Roman" w:hAnsi="Times New Roman" w:eastAsia="仿宋_GB2312" w:cs="Times New Roman"/>
          <w:sz w:val="32"/>
          <w:lang w:eastAsia="zh-CN"/>
        </w:rPr>
        <w:t>支出</w:t>
      </w:r>
      <w:r>
        <w:rPr>
          <w:rFonts w:hint="eastAsia" w:ascii="Times New Roman" w:hAnsi="Times New Roman" w:eastAsia="仿宋_GB2312" w:cs="Times New Roman"/>
          <w:sz w:val="32"/>
        </w:rPr>
        <w:t>（类）</w:t>
      </w:r>
      <w:r>
        <w:rPr>
          <w:rFonts w:hint="eastAsia" w:ascii="Times New Roman" w:hAnsi="Times New Roman" w:eastAsia="仿宋_GB2312" w:cs="Times New Roman"/>
          <w:sz w:val="32"/>
          <w:lang w:eastAsia="zh-CN"/>
        </w:rPr>
        <w:t>行政事业单位医疗</w:t>
      </w:r>
      <w:r>
        <w:rPr>
          <w:rFonts w:hint="eastAsia" w:ascii="Times New Roman" w:hAnsi="Times New Roman" w:eastAsia="仿宋_GB2312" w:cs="Times New Roman"/>
          <w:sz w:val="32"/>
        </w:rPr>
        <w:t>（款）</w:t>
      </w:r>
      <w:r>
        <w:rPr>
          <w:rFonts w:hint="eastAsia" w:ascii="Times New Roman" w:hAnsi="Times New Roman" w:eastAsia="仿宋_GB2312" w:cs="Times New Roman"/>
          <w:sz w:val="32"/>
          <w:lang w:eastAsia="zh-CN"/>
        </w:rPr>
        <w:t>公务员医疗补助</w:t>
      </w:r>
      <w:r>
        <w:rPr>
          <w:rFonts w:hint="eastAsia" w:ascii="Times New Roman" w:hAnsi="Times New Roman" w:eastAsia="仿宋_GB2312" w:cs="Times New Roman"/>
          <w:sz w:val="32"/>
        </w:rPr>
        <w:t>（项）</w:t>
      </w:r>
      <w:r>
        <w:rPr>
          <w:rFonts w:ascii="Times New Roman" w:hAnsi="Times New Roman" w:eastAsia="仿宋_GB2312" w:cs="Times New Roman"/>
          <w:sz w:val="32"/>
        </w:rPr>
        <w:t xml:space="preserve">: </w:t>
      </w:r>
      <w:r>
        <w:rPr>
          <w:rFonts w:hint="eastAsia" w:ascii="Times New Roman" w:hAnsi="Times New Roman" w:eastAsia="仿宋_GB2312" w:cs="Times New Roman"/>
          <w:sz w:val="32"/>
        </w:rPr>
        <w:t>支出决算为</w:t>
      </w:r>
      <w:r>
        <w:rPr>
          <w:rFonts w:hint="eastAsia" w:ascii="Times New Roman" w:hAnsi="Times New Roman" w:eastAsia="仿宋_GB2312" w:cs="Times New Roman"/>
          <w:sz w:val="32"/>
          <w:lang w:val="en-US" w:eastAsia="zh-CN"/>
        </w:rPr>
        <w:t>3.23</w:t>
      </w:r>
      <w:r>
        <w:rPr>
          <w:rFonts w:hint="eastAsia" w:ascii="Times New Roman" w:hAnsi="Times New Roman" w:eastAsia="仿宋_GB2312" w:cs="Times New Roman"/>
          <w:sz w:val="32"/>
        </w:rPr>
        <w:t>万元，完成预算</w:t>
      </w:r>
      <w:r>
        <w:rPr>
          <w:rFonts w:hint="eastAsia" w:ascii="Times New Roman" w:hAnsi="Times New Roman" w:eastAsia="仿宋_GB2312" w:cs="Times New Roman"/>
          <w:sz w:val="32"/>
          <w:lang w:val="en-US" w:eastAsia="zh-CN"/>
        </w:rPr>
        <w:t>100</w:t>
      </w:r>
      <w:r>
        <w:rPr>
          <w:rFonts w:ascii="Times New Roman" w:hAnsi="Times New Roman" w:eastAsia="仿宋_GB2312" w:cs="Times New Roman"/>
          <w:sz w:val="32"/>
        </w:rPr>
        <w:t>%</w:t>
      </w:r>
      <w:r>
        <w:rPr>
          <w:rFonts w:hint="eastAsia" w:ascii="Times New Roman" w:hAnsi="Times New Roman" w:eastAsia="仿宋_GB2312" w:cs="Times New Roman"/>
          <w:sz w:val="32"/>
        </w:rPr>
        <w:t>，决算数与预算数持平。</w:t>
      </w:r>
    </w:p>
    <w:p w14:paraId="45ED5730">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18.农林水支出（类）农业农村（款）农村社会事业（项）:支出决算为87.69万元，完成预算100%，决算数与预算数持平。</w:t>
      </w:r>
    </w:p>
    <w:p w14:paraId="58AC532C">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19.农林水支出（类）农业农村（款）其他农业农村支出（项）:支出决算为65.64万元，完成预算100%，决算数与预算数持平。</w:t>
      </w:r>
    </w:p>
    <w:p w14:paraId="2C844A3E">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20.农林水支出（类）农业农村（款）农业生产发展（项）:支出决算为38.52万元，完成预算100%，决算数与预算数持平。</w:t>
      </w:r>
    </w:p>
    <w:p w14:paraId="69909B03">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21. 农林水支出（类）巩固脱贫衔接乡村振兴（款）其他巩固脱贫衔接乡村振兴支出（项）:支出决算为25.54万元，完成预算100%，决算数与预算数持平。</w:t>
      </w:r>
    </w:p>
    <w:p w14:paraId="357A5777">
      <w:pPr>
        <w:bidi w:val="0"/>
        <w:spacing w:line="600" w:lineRule="exact"/>
        <w:ind w:firstLine="640" w:firstLineChars="200"/>
        <w:rPr>
          <w:rFonts w:hint="eastAsia" w:ascii="Times New Roman" w:hAnsi="Times New Roman" w:eastAsia="仿宋_GB2312" w:cs="Times New Roman"/>
          <w:sz w:val="32"/>
          <w:lang w:val="en-US" w:eastAsia="zh-CN"/>
        </w:rPr>
      </w:pPr>
      <w:r>
        <w:rPr>
          <w:rFonts w:hint="eastAsia" w:ascii="Times New Roman" w:hAnsi="Times New Roman" w:eastAsia="仿宋_GB2312" w:cs="Times New Roman"/>
          <w:sz w:val="32"/>
          <w:lang w:val="en-US" w:eastAsia="zh-CN"/>
        </w:rPr>
        <w:t>22.农林水支出（类）农村综合改革（款）对村民委员会和村党支部的补助（项）:支出决算为426.04万元，完成预算100%，决算数与预算数持平。</w:t>
      </w:r>
    </w:p>
    <w:p w14:paraId="37E6B957">
      <w:pPr>
        <w:bidi w:val="0"/>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Times New Roman"/>
          <w:b w:val="0"/>
          <w:bCs w:val="0"/>
          <w:kern w:val="2"/>
          <w:sz w:val="32"/>
          <w:szCs w:val="24"/>
          <w:lang w:val="en-US" w:eastAsia="zh-CN" w:bidi="ar-SA"/>
        </w:rPr>
        <w:t>23.住房保障支出（类）住房改革支</w:t>
      </w:r>
      <w:r>
        <w:rPr>
          <w:rFonts w:hint="eastAsia" w:ascii="Times New Roman" w:hAnsi="Times New Roman" w:eastAsia="仿宋_GB2312" w:cs="Times New Roman"/>
          <w:sz w:val="32"/>
        </w:rPr>
        <w:t>出（款）住房公积金（项）:支出决算为5</w:t>
      </w:r>
      <w:r>
        <w:rPr>
          <w:rFonts w:hint="eastAsia" w:ascii="Times New Roman" w:hAnsi="Times New Roman" w:eastAsia="仿宋_GB2312" w:cs="Times New Roman"/>
          <w:sz w:val="32"/>
          <w:lang w:val="en-US" w:eastAsia="zh-CN"/>
        </w:rPr>
        <w:t>3.97</w:t>
      </w:r>
      <w:r>
        <w:rPr>
          <w:rFonts w:hint="eastAsia" w:ascii="Times New Roman" w:hAnsi="Times New Roman" w:eastAsia="仿宋_GB2312" w:cs="Times New Roman"/>
          <w:sz w:val="32"/>
        </w:rPr>
        <w:t>万元，完成预算100%，决算数与预算数持平。</w:t>
      </w:r>
    </w:p>
    <w:p w14:paraId="2E995582">
      <w:pPr>
        <w:tabs>
          <w:tab w:val="right" w:pos="8306"/>
        </w:tabs>
        <w:spacing w:line="600" w:lineRule="exact"/>
        <w:ind w:firstLine="640"/>
        <w:outlineLvl w:val="1"/>
        <w:rPr>
          <w:rStyle w:val="29"/>
          <w:rFonts w:ascii="Times New Roman" w:hAnsi="Times New Roman"/>
          <w:color w:val="auto"/>
          <w:highlight w:val="none"/>
        </w:rPr>
      </w:pPr>
      <w:bookmarkStart w:id="47" w:name="_Toc15396608"/>
      <w:bookmarkStart w:id="48" w:name="_Toc15377214"/>
      <w:bookmarkStart w:id="49" w:name="_Toc27593"/>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7"/>
      <w:bookmarkEnd w:id="48"/>
      <w:bookmarkEnd w:id="49"/>
      <w:r>
        <w:rPr>
          <w:rStyle w:val="29"/>
          <w:rFonts w:ascii="Times New Roman" w:hAnsi="Times New Roman" w:eastAsia="黑体"/>
          <w:b w:val="0"/>
          <w:color w:val="auto"/>
          <w:highlight w:val="none"/>
        </w:rPr>
        <w:tab/>
      </w:r>
    </w:p>
    <w:p w14:paraId="278D19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2024年度一般公共预算财政拨款基本支出</w:t>
      </w:r>
      <w:r>
        <w:rPr>
          <w:rFonts w:hint="eastAsia" w:ascii="仿宋_GB2312" w:hAnsi="仿宋_GB2312" w:eastAsia="仿宋_GB2312" w:cs="仿宋_GB2312"/>
          <w:sz w:val="32"/>
          <w:szCs w:val="32"/>
        </w:rPr>
        <w:t>959.14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448305BC">
      <w:pPr>
        <w:spacing w:line="600" w:lineRule="exact"/>
        <w:ind w:firstLine="640"/>
        <w:rPr>
          <w:rFonts w:hint="default"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865.18</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1E1FC76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rPr>
        <w:t>93.95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A4821F8">
      <w:pPr>
        <w:spacing w:line="600" w:lineRule="exact"/>
        <w:ind w:firstLine="640"/>
        <w:outlineLvl w:val="1"/>
        <w:rPr>
          <w:rStyle w:val="29"/>
          <w:rFonts w:ascii="Times New Roman" w:hAnsi="Times New Roman" w:eastAsia="黑体"/>
          <w:b w:val="0"/>
          <w:color w:val="auto"/>
          <w:highlight w:val="none"/>
        </w:rPr>
      </w:pPr>
      <w:bookmarkStart w:id="50" w:name="_Toc15396609"/>
      <w:bookmarkStart w:id="51" w:name="_Toc15377215"/>
      <w:bookmarkStart w:id="52" w:name="_Toc11452"/>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50"/>
      <w:bookmarkEnd w:id="51"/>
      <w:bookmarkEnd w:id="52"/>
    </w:p>
    <w:p w14:paraId="44E8394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3" w:name="_Toc15377216"/>
      <w:bookmarkStart w:id="54" w:name="_Toc10954"/>
      <w:r>
        <w:rPr>
          <w:rFonts w:hint="eastAsia" w:ascii="Times New Roman" w:hAnsi="Times New Roman" w:eastAsia="楷体_GB2312" w:cs="楷体_GB2312"/>
          <w:b/>
          <w:color w:val="auto"/>
          <w:sz w:val="32"/>
          <w:szCs w:val="32"/>
          <w:highlight w:val="none"/>
        </w:rPr>
        <w:t>（一）“三公”经费财政拨款支出决算总体情况说明</w:t>
      </w:r>
      <w:bookmarkEnd w:id="53"/>
      <w:bookmarkEnd w:id="54"/>
    </w:p>
    <w:p w14:paraId="26EE2F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2024年度“三公”经费财政拨款支出决算为</w:t>
      </w:r>
      <w:r>
        <w:rPr>
          <w:rFonts w:hint="eastAsia" w:ascii="仿宋_GB2312" w:hAnsi="仿宋_GB2312" w:eastAsia="仿宋_GB2312" w:cs="仿宋_GB2312"/>
          <w:sz w:val="32"/>
          <w:szCs w:val="32"/>
        </w:rPr>
        <w:t>1.17</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1.21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50.84</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495A472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17"/>
      <w:bookmarkStart w:id="56" w:name="_Toc20254"/>
      <w:r>
        <w:rPr>
          <w:rFonts w:hint="eastAsia" w:ascii="Times New Roman" w:hAnsi="Times New Roman" w:eastAsia="楷体_GB2312" w:cs="楷体_GB2312"/>
          <w:b/>
          <w:color w:val="auto"/>
          <w:sz w:val="32"/>
          <w:szCs w:val="32"/>
          <w:highlight w:val="none"/>
        </w:rPr>
        <w:t>（二）“三公”经费财政拨款支出决算具体情况说明</w:t>
      </w:r>
      <w:bookmarkEnd w:id="55"/>
      <w:bookmarkEnd w:id="56"/>
    </w:p>
    <w:p w14:paraId="0E0B195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1.17</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05159AD8">
      <w:pPr>
        <w:pStyle w:val="2"/>
        <w:rPr>
          <w:rFonts w:hint="eastAsia" w:ascii="仿宋_GB2312" w:hAnsi="仿宋_GB2312"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821690</wp:posOffset>
            </wp:positionH>
            <wp:positionV relativeFrom="paragraph">
              <wp:posOffset>62230</wp:posOffset>
            </wp:positionV>
            <wp:extent cx="3538855" cy="2214880"/>
            <wp:effectExtent l="4445" t="4445" r="19050" b="952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077BEAAE">
      <w:pPr>
        <w:pStyle w:val="2"/>
        <w:rPr>
          <w:rFonts w:hint="eastAsia" w:ascii="仿宋_GB2312" w:hAnsi="仿宋_GB2312" w:eastAsia="仿宋_GB2312" w:cs="仿宋_GB2312"/>
          <w:color w:val="auto"/>
          <w:kern w:val="2"/>
          <w:sz w:val="32"/>
          <w:szCs w:val="32"/>
          <w:highlight w:val="none"/>
          <w:lang w:val="en-US" w:eastAsia="zh-CN" w:bidi="ar-SA"/>
        </w:rPr>
      </w:pPr>
    </w:p>
    <w:p w14:paraId="726539E0">
      <w:pPr>
        <w:pStyle w:val="2"/>
        <w:rPr>
          <w:rFonts w:hint="eastAsia" w:ascii="仿宋_GB2312" w:hAnsi="仿宋_GB2312" w:eastAsia="仿宋_GB2312" w:cs="仿宋_GB2312"/>
          <w:color w:val="auto"/>
          <w:kern w:val="2"/>
          <w:sz w:val="32"/>
          <w:szCs w:val="32"/>
          <w:highlight w:val="none"/>
          <w:lang w:val="en-US" w:eastAsia="zh-CN" w:bidi="ar-SA"/>
        </w:rPr>
      </w:pPr>
    </w:p>
    <w:p w14:paraId="25E50392">
      <w:pPr>
        <w:pStyle w:val="2"/>
        <w:rPr>
          <w:rFonts w:hint="eastAsia" w:ascii="仿宋_GB2312" w:hAnsi="仿宋_GB2312" w:eastAsia="仿宋_GB2312" w:cs="仿宋_GB2312"/>
          <w:color w:val="auto"/>
          <w:kern w:val="2"/>
          <w:sz w:val="32"/>
          <w:szCs w:val="32"/>
          <w:highlight w:val="none"/>
          <w:lang w:val="en-US" w:eastAsia="zh-CN" w:bidi="ar-SA"/>
        </w:rPr>
      </w:pPr>
    </w:p>
    <w:p w14:paraId="5C8C4327">
      <w:pPr>
        <w:pStyle w:val="2"/>
        <w:rPr>
          <w:rFonts w:hint="eastAsia" w:ascii="仿宋_GB2312" w:hAnsi="仿宋_GB2312" w:eastAsia="仿宋_GB2312" w:cs="仿宋_GB2312"/>
          <w:color w:val="auto"/>
          <w:kern w:val="2"/>
          <w:sz w:val="32"/>
          <w:szCs w:val="32"/>
          <w:highlight w:val="none"/>
          <w:lang w:val="en-US" w:eastAsia="zh-CN" w:bidi="ar-SA"/>
        </w:rPr>
      </w:pPr>
    </w:p>
    <w:p w14:paraId="0F6DCD15">
      <w:pPr>
        <w:spacing w:line="600" w:lineRule="exact"/>
        <w:ind w:firstLine="3846" w:firstLineChars="120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w:t>
      </w:r>
      <w:r>
        <w:rPr>
          <w:rFonts w:hint="eastAsia" w:eastAsia="仿宋_GB2312" w:cs="仿宋_GB2312"/>
          <w:color w:val="auto"/>
          <w:kern w:val="2"/>
          <w:sz w:val="32"/>
          <w:szCs w:val="32"/>
          <w:highlight w:val="none"/>
          <w:lang w:val="en-US" w:eastAsia="zh-CN" w:bidi="ar-SA"/>
        </w:rPr>
        <w:t>8</w:t>
      </w:r>
    </w:p>
    <w:p w14:paraId="5BF7FE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。因公出国（境）支出决算比2023</w:t>
      </w:r>
      <w:r>
        <w:rPr>
          <w:rFonts w:hint="eastAsia" w:eastAsia="仿宋_GB2312" w:cs="仿宋_GB2312"/>
          <w:color w:val="auto"/>
          <w:kern w:val="2"/>
          <w:sz w:val="32"/>
          <w:szCs w:val="32"/>
          <w:highlight w:val="none"/>
          <w:lang w:val="en-US" w:eastAsia="zh-CN" w:bidi="ar-SA"/>
        </w:rPr>
        <w:t>年不变。</w:t>
      </w:r>
    </w:p>
    <w:p w14:paraId="5E5DE1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1.17万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公务用车购置及运行维护费支出决算比2023年度减少</w:t>
      </w:r>
      <w:r>
        <w:rPr>
          <w:rFonts w:hint="eastAsia" w:eastAsia="仿宋_GB2312" w:cs="仿宋_GB2312"/>
          <w:color w:val="auto"/>
          <w:kern w:val="2"/>
          <w:sz w:val="32"/>
          <w:szCs w:val="32"/>
          <w:highlight w:val="none"/>
          <w:lang w:val="en-US" w:eastAsia="zh-CN" w:bidi="ar-SA"/>
        </w:rPr>
        <w:t>1.21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50.84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开支减少。</w:t>
      </w:r>
    </w:p>
    <w:p w14:paraId="00B034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1.17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单位应急管理用车</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0E57A30A">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公务接待费支出决算比2023年度</w:t>
      </w:r>
      <w:r>
        <w:rPr>
          <w:rFonts w:hint="eastAsia" w:eastAsia="仿宋_GB2312" w:cs="仿宋_GB2312"/>
          <w:color w:val="auto"/>
          <w:kern w:val="2"/>
          <w:sz w:val="32"/>
          <w:szCs w:val="32"/>
          <w:highlight w:val="none"/>
          <w:lang w:val="en-US" w:eastAsia="zh-CN" w:bidi="ar-SA"/>
        </w:rPr>
        <w:t>保持不变</w:t>
      </w:r>
      <w:r>
        <w:rPr>
          <w:rFonts w:hint="eastAsia" w:ascii="Times New Roman" w:hAnsi="Times New Roman" w:eastAsia="仿宋_GB2312" w:cs="仿宋_GB2312"/>
          <w:color w:val="auto"/>
          <w:kern w:val="2"/>
          <w:sz w:val="32"/>
          <w:szCs w:val="32"/>
          <w:highlight w:val="none"/>
          <w:lang w:val="en-US" w:eastAsia="zh-CN" w:bidi="ar-SA"/>
        </w:rPr>
        <w:t>。</w:t>
      </w:r>
      <w:bookmarkStart w:id="57" w:name="_Toc15377218"/>
      <w:bookmarkStart w:id="58" w:name="_Toc15396610"/>
    </w:p>
    <w:p w14:paraId="5A1C8C0D">
      <w:pPr>
        <w:spacing w:line="600" w:lineRule="exact"/>
        <w:ind w:firstLine="640"/>
        <w:outlineLvl w:val="1"/>
        <w:rPr>
          <w:rStyle w:val="29"/>
          <w:rFonts w:ascii="Times New Roman" w:hAnsi="Times New Roman" w:eastAsia="黑体"/>
          <w:color w:val="auto"/>
          <w:highlight w:val="none"/>
        </w:rPr>
      </w:pPr>
      <w:bookmarkStart w:id="59" w:name="_Toc898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7"/>
      <w:bookmarkEnd w:id="58"/>
      <w:bookmarkEnd w:id="59"/>
    </w:p>
    <w:p w14:paraId="1C2910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2024年度政府性基金预算财政拨款支出</w:t>
      </w:r>
      <w:r>
        <w:rPr>
          <w:rFonts w:hint="eastAsia" w:ascii="仿宋_GB2312" w:hAnsi="仿宋_GB2312" w:eastAsia="仿宋_GB2312" w:cs="仿宋_GB2312"/>
          <w:sz w:val="32"/>
          <w:szCs w:val="32"/>
        </w:rPr>
        <w:t>65.46</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2.95</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。与2023年度相比，政府性基金预算财政拨款支出增加</w:t>
      </w:r>
      <w:r>
        <w:rPr>
          <w:rFonts w:hint="eastAsia" w:eastAsia="仿宋_GB2312" w:cs="仿宋_GB2312"/>
          <w:color w:val="auto"/>
          <w:kern w:val="2"/>
          <w:sz w:val="32"/>
          <w:szCs w:val="32"/>
          <w:highlight w:val="none"/>
          <w:lang w:val="en-US" w:eastAsia="zh-CN" w:bidi="ar-SA"/>
        </w:rPr>
        <w:t>58.46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835.14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基金项目增加。</w:t>
      </w:r>
    </w:p>
    <w:p w14:paraId="4C7EB394">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60" w:name="_Toc15396611"/>
      <w:bookmarkStart w:id="61" w:name="_Toc15377219"/>
      <w:bookmarkStart w:id="62" w:name="_Toc20193"/>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60"/>
      <w:bookmarkEnd w:id="61"/>
      <w:bookmarkEnd w:id="62"/>
    </w:p>
    <w:p w14:paraId="3566D2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。与2023年度相比</w:t>
      </w:r>
      <w:r>
        <w:rPr>
          <w:rFonts w:hint="eastAsia" w:eastAsia="仿宋_GB2312" w:cs="仿宋_GB2312"/>
          <w:color w:val="auto"/>
          <w:kern w:val="2"/>
          <w:sz w:val="32"/>
          <w:szCs w:val="32"/>
          <w:highlight w:val="none"/>
          <w:lang w:val="en-US" w:eastAsia="zh-CN" w:bidi="ar-SA"/>
        </w:rPr>
        <w:t>保持不变。</w:t>
      </w:r>
    </w:p>
    <w:p w14:paraId="7FDE8BD4">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63" w:name="_Toc15396612"/>
      <w:bookmarkStart w:id="64" w:name="_Toc15377221"/>
      <w:bookmarkStart w:id="65" w:name="_Toc2157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63"/>
      <w:bookmarkEnd w:id="64"/>
      <w:bookmarkEnd w:id="65"/>
    </w:p>
    <w:p w14:paraId="5E79B8E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6" w:name="_Toc15377222"/>
      <w:bookmarkStart w:id="67" w:name="_Toc27188"/>
      <w:r>
        <w:rPr>
          <w:rFonts w:hint="eastAsia" w:ascii="Times New Roman" w:hAnsi="Times New Roman" w:eastAsia="楷体_GB2312" w:cs="楷体_GB2312"/>
          <w:b/>
          <w:color w:val="auto"/>
          <w:sz w:val="32"/>
          <w:szCs w:val="32"/>
          <w:highlight w:val="none"/>
        </w:rPr>
        <w:t>（一）机关运行经费支出情况</w:t>
      </w:r>
      <w:bookmarkEnd w:id="66"/>
      <w:bookmarkEnd w:id="67"/>
    </w:p>
    <w:p w14:paraId="743746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马边彝族自治县雪口山镇人民政府</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93.95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元，比2023年度减少</w:t>
      </w:r>
      <w:r>
        <w:rPr>
          <w:rFonts w:hint="eastAsia" w:eastAsia="仿宋_GB2312" w:cs="仿宋_GB2312"/>
          <w:color w:val="auto"/>
          <w:kern w:val="2"/>
          <w:sz w:val="32"/>
          <w:szCs w:val="32"/>
          <w:highlight w:val="none"/>
          <w:lang w:val="en-US" w:eastAsia="zh-CN" w:bidi="ar-SA"/>
        </w:rPr>
        <w:t>23.92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20.29</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开支减少。</w:t>
      </w:r>
    </w:p>
    <w:p w14:paraId="0D76306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23"/>
      <w:bookmarkStart w:id="69" w:name="_Toc13705"/>
      <w:r>
        <w:rPr>
          <w:rFonts w:hint="eastAsia" w:ascii="Times New Roman" w:hAnsi="Times New Roman" w:eastAsia="楷体_GB2312" w:cs="楷体_GB2312"/>
          <w:b/>
          <w:color w:val="auto"/>
          <w:sz w:val="32"/>
          <w:szCs w:val="32"/>
          <w:highlight w:val="none"/>
        </w:rPr>
        <w:t>（二）政府采购支出情况</w:t>
      </w:r>
      <w:bookmarkEnd w:id="68"/>
      <w:bookmarkEnd w:id="69"/>
    </w:p>
    <w:p w14:paraId="7FA509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sz w:val="32"/>
          <w:szCs w:val="32"/>
        </w:rPr>
        <w:t>马边彝族自治县雪口山镇人民政府</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270.89</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270.89</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万元。主要用于雪口山项目开展。授予中小企业合同金额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55F2081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0" w:name="_Toc15377224"/>
      <w:bookmarkStart w:id="71" w:name="_Toc28107"/>
      <w:r>
        <w:rPr>
          <w:rFonts w:hint="eastAsia" w:ascii="Times New Roman" w:hAnsi="Times New Roman" w:eastAsia="楷体_GB2312" w:cs="楷体_GB2312"/>
          <w:b/>
          <w:color w:val="auto"/>
          <w:sz w:val="32"/>
          <w:szCs w:val="32"/>
          <w:highlight w:val="none"/>
        </w:rPr>
        <w:t>（三）国有资产占有使用情况</w:t>
      </w:r>
      <w:bookmarkEnd w:id="70"/>
      <w:bookmarkEnd w:id="71"/>
    </w:p>
    <w:p w14:paraId="52E885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截至2024年12月31日，</w:t>
      </w:r>
      <w:r>
        <w:rPr>
          <w:rFonts w:hint="eastAsia" w:ascii="仿宋_GB2312" w:hAnsi="仿宋_GB2312" w:eastAsia="仿宋_GB2312" w:cs="仿宋_GB2312"/>
          <w:sz w:val="32"/>
          <w:szCs w:val="32"/>
        </w:rPr>
        <w:t>马边彝族自治县雪口山镇人民政府</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辆，其他用车主要是用于单位应急用车。单价100万元（含）以上设备（不含车辆）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62C7059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2" w:name="_Toc28975"/>
      <w:r>
        <w:rPr>
          <w:rFonts w:hint="eastAsia" w:ascii="Times New Roman" w:hAnsi="Times New Roman" w:eastAsia="楷体_GB2312" w:cs="楷体_GB2312"/>
          <w:b/>
          <w:color w:val="auto"/>
          <w:sz w:val="32"/>
          <w:szCs w:val="32"/>
          <w:highlight w:val="none"/>
        </w:rPr>
        <w:t>（四）预算绩效管理情况</w:t>
      </w:r>
      <w:bookmarkEnd w:id="72"/>
    </w:p>
    <w:p w14:paraId="134F7275">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atLeast"/>
        <w:ind w:left="0" w:leftChars="0" w:right="0" w:firstLine="64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根据预算绩效管理要求，</w:t>
      </w:r>
      <w:r>
        <w:rPr>
          <w:rFonts w:hint="eastAsia" w:ascii="仿宋_GB2312" w:hAnsi="仿宋_GB2312" w:eastAsia="仿宋_GB2312" w:cs="仿宋_GB2312"/>
          <w:sz w:val="32"/>
          <w:szCs w:val="32"/>
        </w:rPr>
        <w:t>本单位在202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年度预算编制阶段</w:t>
      </w:r>
      <w:r>
        <w:rPr>
          <w:rFonts w:hint="eastAsia" w:ascii="仿宋_GB2312" w:hAnsi="仿宋_GB2312" w:eastAsia="仿宋_GB2312" w:cs="仿宋_GB2312"/>
          <w:sz w:val="32"/>
          <w:szCs w:val="32"/>
          <w:lang w:val="en-US" w:eastAsia="zh-CN"/>
        </w:rPr>
        <w:t>，组织对</w:t>
      </w:r>
      <w:r>
        <w:rPr>
          <w:rFonts w:hint="eastAsia" w:ascii="仿宋_GB2312" w:hAnsi="仿宋_GB2312" w:cs="仿宋_GB2312"/>
          <w:sz w:val="32"/>
          <w:szCs w:val="32"/>
          <w:lang w:val="en-US" w:eastAsia="zh-CN"/>
        </w:rPr>
        <w:t>4个</w:t>
      </w:r>
      <w:r>
        <w:rPr>
          <w:rFonts w:hint="eastAsia" w:ascii="仿宋_GB2312" w:hAnsi="仿宋_GB2312" w:eastAsia="仿宋_GB2312" w:cs="仿宋_GB2312"/>
          <w:sz w:val="32"/>
          <w:szCs w:val="32"/>
          <w:lang w:val="en-US" w:eastAsia="zh-CN"/>
        </w:rPr>
        <w:t>项目（项目名称）开展了预算事前绩效评估，对</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个项目编制了绩效目标，预算执行过程中，选取1个项目开展绩效监控，年终执行完毕后，对1个项目开展了绩效目标完成情况自评，</w:t>
      </w:r>
      <w:r>
        <w:rPr>
          <w:rFonts w:hint="eastAsia" w:ascii="仿宋_GB2312" w:hAnsi="仿宋_GB2312" w:eastAsia="仿宋_GB2312" w:cs="仿宋_GB2312"/>
          <w:sz w:val="32"/>
          <w:szCs w:val="32"/>
        </w:rPr>
        <w:t>202</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年特定目标类部门预算项目绩效目标自评表见附件（第四部分）。</w:t>
      </w:r>
    </w:p>
    <w:p w14:paraId="469A6F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BE8C2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E8E8D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3" w:name="_Toc15396613"/>
      <w:bookmarkStart w:id="74" w:name="_Toc12725"/>
      <w:bookmarkStart w:id="75"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3"/>
      <w:bookmarkEnd w:id="74"/>
      <w:bookmarkEnd w:id="75"/>
    </w:p>
    <w:p w14:paraId="3FEFAFEB">
      <w:pPr>
        <w:spacing w:line="600" w:lineRule="exact"/>
        <w:jc w:val="left"/>
        <w:rPr>
          <w:rFonts w:ascii="Times New Roman" w:hAnsi="Times New Roman"/>
          <w:b/>
          <w:color w:val="auto"/>
          <w:sz w:val="44"/>
          <w:szCs w:val="44"/>
          <w:highlight w:val="none"/>
        </w:rPr>
      </w:pPr>
    </w:p>
    <w:p w14:paraId="02C72B05">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bookmarkStart w:id="76" w:name="_Toc15377226"/>
      <w:r>
        <w:rPr>
          <w:rFonts w:hint="eastAsia" w:ascii="仿宋" w:hAnsi="仿宋" w:eastAsia="仿宋" w:cs="仿宋"/>
          <w:b w:val="0"/>
          <w:i w:val="0"/>
          <w:caps w:val="0"/>
          <w:color w:val="333333"/>
          <w:spacing w:val="0"/>
          <w:kern w:val="0"/>
          <w:sz w:val="32"/>
          <w:szCs w:val="32"/>
          <w:shd w:val="clear" w:color="auto" w:fill="FFFFFF"/>
          <w:lang w:val="en-US" w:eastAsia="zh-CN" w:bidi="ar"/>
        </w:rPr>
        <w:t>1.财政拨款收入：指单位从同级财政部门取得的财政预算资金。 </w:t>
      </w:r>
    </w:p>
    <w:p w14:paraId="27AB453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2.事业收入：指事业单位开展专业业务活动及辅助活动取得的收入。 </w:t>
      </w:r>
    </w:p>
    <w:p w14:paraId="78B7023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3.经营收入：指事业单位在专业业务活动及其辅助活动之外开展非独立核算经营活动取得的收入。 </w:t>
      </w:r>
    </w:p>
    <w:p w14:paraId="7693816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4.其他收入：指单位取得的除上述收入以外的各项收入。 </w:t>
      </w:r>
    </w:p>
    <w:p w14:paraId="0DD6B17C">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1C5AA6F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6.年初结转和结余：指以前年度尚未完成、结转到本年按有关规定继续使用的资金。 </w:t>
      </w:r>
    </w:p>
    <w:p w14:paraId="09C552EB">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7.结余分配：指事业单位按照事业单位会计制度的规定从非财政补助结余中分配的事业基金和职工福利基金等。 </w:t>
      </w:r>
    </w:p>
    <w:p w14:paraId="6E995F1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8、年末结转和结余：指单位按有关规定结转到下年或以后年度继续使用的资金。 </w:t>
      </w:r>
    </w:p>
    <w:p w14:paraId="4B78976B">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9.一般公共服务（类）政府办公厅（室）及机关机构事务（款）行政运行（项）：指机关单位运行基本支出，如行政办公费、会议费、遗属补助资金等。 </w:t>
      </w:r>
    </w:p>
    <w:p w14:paraId="30EA8C9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10.一般公共服务（类）政府办公厅（室）及机关机构事务（款）一般行政管理事务（项）: 指行政机关事业单位项目支出，如党建工作经费、网格化工作经费等项目。 </w:t>
      </w:r>
    </w:p>
    <w:p w14:paraId="1AEFB4C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11.一般公共服务（类）政府办公厅（室）及机关机构事务（款）事业运行（项）: 指机关事业单位运行基本支出，入事业办公费、福利费、工会费等支出。 </w:t>
      </w:r>
    </w:p>
    <w:p w14:paraId="01F5E830">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12.一般公共服务（类）人力资源事务（款）其他人力资源事务支出（项）:支机关事业单位临聘人员经费，入“三支一扶”人员基本工资、绩效、社会保障缴费等支出。 </w:t>
      </w:r>
    </w:p>
    <w:p w14:paraId="4E5A2376">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13.一般公共服务（类）民族事务（款）其他民族事务支出（项）: 指省财政厅关于民族地区春节送温暖活动慰问金。 </w:t>
      </w:r>
    </w:p>
    <w:p w14:paraId="5CA73C6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14.一般公共服务（类）民族事务（款）民族工作专项（项）: 指民族地区彝族年慰问金等经费支出。 </w:t>
      </w:r>
    </w:p>
    <w:p w14:paraId="756EFE43">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15.文化体育与传媒（类）文化（款）群众文化（项）:指文化站免费开放资金。 </w:t>
      </w:r>
    </w:p>
    <w:p w14:paraId="7A4D48E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16.文化体育与传媒（类）文化（款）其他文化支出（项）: 指文化站免费开放资金、农村文化体系建设资金、迎接十九大惠民活动等经费支出。 </w:t>
      </w:r>
    </w:p>
    <w:p w14:paraId="12FF492F">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17.社会保障和就业（类）行政事业单位离退休（款）机关事业单位基本养老保险缴费支出（项）:指机关事业单位在职人员的基本养老保险缴费支出。 </w:t>
      </w:r>
    </w:p>
    <w:p w14:paraId="19C60D1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18.社会保障和就业（类）行政事业单位离退休（款）机关事业单位职业年金缴费支出（项）:指机关事业单位在职人员的职业年金缴费支出。 </w:t>
      </w:r>
    </w:p>
    <w:p w14:paraId="585C6B1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19.医疗卫生与计划生育（类）计划生育事务（款）其他计划生育事务支出（项）:指计生工作专项经费，如政策法规专项工作经费支出、计生信息员生活补助等。 </w:t>
      </w:r>
    </w:p>
    <w:p w14:paraId="161DD52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20.医疗卫生与计划生育（类）行政事业单位医疗（款） 行政单位医疗（项）:指行政人员基本医疗保险缴费支出。 </w:t>
      </w:r>
    </w:p>
    <w:p w14:paraId="05127AC1">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21.医疗卫生与计划生育（类）行政事业单位医疗（款） 事业单位医疗（项）:指事业人员基本医疗保险缴费支出。 </w:t>
      </w:r>
    </w:p>
    <w:p w14:paraId="17CDC9D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22.农林水（类）林业（款）一般行政管理事务（项）: 指笋山管理工作经费。 </w:t>
      </w:r>
    </w:p>
    <w:p w14:paraId="6D6CC1B7">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23.农林水（类）农业（款）对高校毕业生到基层任职补助（项）:指大学生村官生活补助等支出。 </w:t>
      </w:r>
    </w:p>
    <w:p w14:paraId="42A58080">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24.农林水（类）扶贫（款）其他扶贫支出（项）: 指驻村工作队工作经费。 </w:t>
      </w:r>
    </w:p>
    <w:p w14:paraId="0C178E2A">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25.农林水（类）农村综合改革（款）对村民委员会和村党支部的补助（项）: 指基层组织活动和公共服务运行经费、第一书记工作经费、村组干部工资等经费。 </w:t>
      </w:r>
    </w:p>
    <w:p w14:paraId="2B31312E">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26.农林水（类）农村综合改革（款）对村集体经济组织的补助（项）: 指市级“四好村”奖补资金。 </w:t>
      </w:r>
    </w:p>
    <w:p w14:paraId="55ACAD1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27.住房保障支出（类）住房改革支出（款）住房公积金（项）: 指机关事业单位人员住房公积金支出。 </w:t>
      </w:r>
    </w:p>
    <w:p w14:paraId="405D3FB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28.基本支出：指为保障机构正常运转、完成日常工作任务而发生的人员支出和公用支出。 </w:t>
      </w:r>
    </w:p>
    <w:p w14:paraId="6CA06018">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29.项目支出：指在基本支出之外为完成特定行政任务和事业发展目标所发生的支出。 </w:t>
      </w:r>
    </w:p>
    <w:p w14:paraId="4CD607B4">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30.经营支出：指事业单位在专业业务活动及其辅助活动之外开展非独立核算经营活动发生的支出。 </w:t>
      </w:r>
    </w:p>
    <w:p w14:paraId="1E258E99">
      <w:pPr>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40" w:lineRule="atLeast"/>
        <w:ind w:left="0" w:right="0" w:firstLine="640" w:firstLineChars="200"/>
        <w:jc w:val="left"/>
        <w:textAlignment w:val="auto"/>
      </w:pPr>
      <w:r>
        <w:rPr>
          <w:rFonts w:hint="eastAsia" w:ascii="仿宋" w:hAnsi="仿宋" w:eastAsia="仿宋" w:cs="仿宋"/>
          <w:b w:val="0"/>
          <w:i w:val="0"/>
          <w:caps w:val="0"/>
          <w:color w:val="333333"/>
          <w:spacing w:val="0"/>
          <w:kern w:val="0"/>
          <w:sz w:val="32"/>
          <w:szCs w:val="32"/>
          <w:shd w:val="clear" w:color="auto" w:fill="FFFFFF"/>
          <w:lang w:val="en-US" w:eastAsia="zh-CN" w:bidi="ar"/>
        </w:rPr>
        <w:t>31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 </w:t>
      </w:r>
    </w:p>
    <w:p w14:paraId="5B848388">
      <w:pPr>
        <w:spacing w:line="600" w:lineRule="exact"/>
        <w:ind w:firstLine="640" w:firstLineChars="200"/>
        <w:jc w:val="left"/>
        <w:rPr>
          <w:rStyle w:val="28"/>
          <w:rFonts w:hint="eastAsia" w:ascii="Times New Roman" w:hAnsi="Times New Roman" w:eastAsia="黑体"/>
          <w:b w:val="0"/>
          <w:color w:val="auto"/>
          <w:highlight w:val="none"/>
          <w:lang w:eastAsia="zh-CN"/>
        </w:rPr>
      </w:pPr>
      <w:r>
        <w:rPr>
          <w:rFonts w:hint="eastAsia" w:ascii="仿宋" w:hAnsi="仿宋" w:eastAsia="仿宋" w:cs="仿宋"/>
          <w:b w:val="0"/>
          <w:i w:val="0"/>
          <w:caps w:val="0"/>
          <w:color w:val="333333"/>
          <w:spacing w:val="0"/>
          <w:kern w:val="0"/>
          <w:sz w:val="32"/>
          <w:szCs w:val="32"/>
          <w:shd w:val="clear" w:color="auto" w:fill="FFFFFF"/>
          <w:lang w:val="en-US" w:eastAsia="zh-CN" w:bidi="ar"/>
        </w:rPr>
        <w:t>32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br w:type="page"/>
      </w:r>
    </w:p>
    <w:p w14:paraId="455148A2">
      <w:pPr>
        <w:pStyle w:val="3"/>
        <w:jc w:val="center"/>
        <w:rPr>
          <w:rFonts w:ascii="黑体" w:hAnsi="黑体" w:eastAsia="黑体"/>
          <w:b w:val="0"/>
        </w:rPr>
      </w:pPr>
      <w:bookmarkStart w:id="77" w:name="_Toc25213"/>
      <w:r>
        <w:rPr>
          <w:rFonts w:hint="eastAsia" w:ascii="黑体" w:hAnsi="黑体" w:eastAsia="黑体"/>
          <w:b w:val="0"/>
        </w:rPr>
        <w:t>第四部分 附件</w:t>
      </w:r>
      <w:bookmarkEnd w:id="77"/>
    </w:p>
    <w:p w14:paraId="1B892401"/>
    <w:tbl>
      <w:tblPr>
        <w:tblStyle w:val="15"/>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4C42BBF2">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0B3FB5C0">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4</w:t>
            </w:r>
            <w:r>
              <w:rPr>
                <w:rFonts w:hint="eastAsia" w:ascii="宋体" w:hAnsi="宋体" w:cs="宋体"/>
                <w:b/>
                <w:sz w:val="32"/>
                <w:szCs w:val="32"/>
              </w:rPr>
              <w:t>年农民夜校工作经费项目绩效目标自评</w:t>
            </w:r>
          </w:p>
        </w:tc>
        <w:tc>
          <w:tcPr>
            <w:tcW w:w="239" w:type="dxa"/>
            <w:tcBorders>
              <w:top w:val="nil"/>
              <w:left w:val="nil"/>
              <w:bottom w:val="nil"/>
              <w:right w:val="nil"/>
            </w:tcBorders>
            <w:shd w:val="clear" w:color="auto" w:fill="auto"/>
            <w:vAlign w:val="center"/>
          </w:tcPr>
          <w:p w14:paraId="2EAF8842">
            <w:pPr>
              <w:widowControl/>
              <w:jc w:val="center"/>
              <w:textAlignment w:val="center"/>
              <w:rPr>
                <w:rFonts w:ascii="宋体" w:hAnsi="宋体" w:cs="宋体"/>
                <w:b/>
                <w:kern w:val="0"/>
                <w:sz w:val="32"/>
                <w:szCs w:val="32"/>
                <w:lang w:bidi="ar"/>
              </w:rPr>
            </w:pPr>
          </w:p>
        </w:tc>
      </w:tr>
      <w:tr w14:paraId="1E67680B">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580D2">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5C3B17">
            <w:pPr>
              <w:widowControl/>
              <w:spacing w:line="320" w:lineRule="exact"/>
              <w:jc w:val="left"/>
              <w:textAlignment w:val="center"/>
              <w:rPr>
                <w:rFonts w:hint="eastAsia" w:ascii="宋体" w:hAnsi="宋体" w:eastAsia="仿宋_GB2312" w:cs="宋体"/>
                <w:sz w:val="24"/>
                <w:lang w:eastAsia="zh-CN"/>
              </w:rPr>
            </w:pPr>
            <w:r>
              <w:rPr>
                <w:rFonts w:hint="eastAsia" w:ascii="宋体" w:hAnsi="宋体" w:cs="宋体"/>
                <w:sz w:val="24"/>
                <w:lang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7B87">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23B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eastAsia="zh-CN"/>
              </w:rPr>
              <w:t>雪口山镇人民政府</w:t>
            </w:r>
          </w:p>
        </w:tc>
      </w:tr>
      <w:tr w14:paraId="2B388619">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25841">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6BFE2600">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1875C158">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099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ED14">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32CA">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48E8">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r>
      <w:tr w14:paraId="7CBAF0BF">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0A449">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BFA75">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020A595C">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1D60">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2AFF">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17FA9C69">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0F07">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0.9</w:t>
            </w:r>
          </w:p>
        </w:tc>
      </w:tr>
      <w:tr w14:paraId="0B20FB42">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372C4">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B2D8">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96FE">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867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23E6">
            <w:pPr>
              <w:widowControl/>
              <w:spacing w:line="320" w:lineRule="exact"/>
              <w:jc w:val="left"/>
              <w:textAlignment w:val="center"/>
              <w:rPr>
                <w:rFonts w:ascii="宋体" w:hAnsi="宋体" w:cs="宋体"/>
                <w:sz w:val="24"/>
              </w:rPr>
            </w:pPr>
          </w:p>
        </w:tc>
      </w:tr>
      <w:tr w14:paraId="5CA14823">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052BA">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145AED9B">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220BC2">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4E47B">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1016BAD3">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AC8D6">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54634468">
            <w:pPr>
              <w:widowControl/>
              <w:spacing w:line="320" w:lineRule="exact"/>
              <w:ind w:left="0" w:leftChars="0" w:firstLine="480" w:firstLineChars="200"/>
              <w:jc w:val="left"/>
              <w:textAlignment w:val="top"/>
              <w:rPr>
                <w:rFonts w:ascii="宋体" w:hAnsi="宋体" w:cs="宋体"/>
                <w:sz w:val="24"/>
              </w:rPr>
            </w:pPr>
            <w:r>
              <w:rPr>
                <w:rFonts w:hint="eastAsia" w:ascii="宋体" w:hAnsi="宋体" w:cs="宋体"/>
                <w:sz w:val="24"/>
              </w:rPr>
              <w:t xml:space="preserve">保障农业农村技能培训正常开展；保障宣传党的方针政策；引导农民讲文明、树新风。               </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64C09FE7">
            <w:pPr>
              <w:widowControl/>
              <w:spacing w:line="320" w:lineRule="exact"/>
              <w:jc w:val="left"/>
              <w:textAlignment w:val="top"/>
              <w:rPr>
                <w:rFonts w:ascii="宋体" w:hAnsi="宋体" w:cs="宋体"/>
                <w:sz w:val="24"/>
              </w:rPr>
            </w:pPr>
            <w:r>
              <w:rPr>
                <w:rFonts w:hint="eastAsia" w:ascii="宋体" w:hAnsi="宋体" w:cs="宋体"/>
                <w:sz w:val="24"/>
              </w:rPr>
              <w:t xml:space="preserve">保障农业农村技能培训正常开展；保障宣传党的方针政策；引导农民讲文明、树新风。     </w:t>
            </w:r>
          </w:p>
        </w:tc>
      </w:tr>
      <w:tr w14:paraId="0C98CED2">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39B4081E">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38FFD48E">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3B24E581">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B6F0">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7FE75B23">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B803">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54E67314">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480B">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52DA2">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0B8FB9B7">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145D7995">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13DFF">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75B6E10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008FC5">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EE7687">
            <w:pPr>
              <w:widowControl/>
              <w:spacing w:line="320" w:lineRule="exact"/>
              <w:ind w:left="0" w:leftChars="0" w:firstLine="0" w:firstLineChars="0"/>
              <w:jc w:val="both"/>
              <w:textAlignment w:val="bottom"/>
              <w:rPr>
                <w:rFonts w:ascii="仿宋_GB2312" w:hAnsi="仿宋_GB2312" w:eastAsia="仿宋_GB2312" w:cs="仿宋_GB2312"/>
                <w:sz w:val="22"/>
                <w:szCs w:val="22"/>
              </w:rPr>
            </w:pPr>
            <w:r>
              <w:rPr>
                <w:rFonts w:hint="eastAsia" w:ascii="仿宋_GB2312" w:hAnsi="仿宋_GB2312" w:eastAsia="仿宋_GB2312" w:cs="仿宋_GB2312"/>
                <w:sz w:val="22"/>
                <w:szCs w:val="22"/>
              </w:rPr>
              <w:t>开展农民技能培训</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EFC571">
            <w:pPr>
              <w:widowControl/>
              <w:spacing w:line="320" w:lineRule="exact"/>
              <w:ind w:left="0" w:leftChars="0" w:firstLine="0" w:firstLineChars="0"/>
              <w:jc w:val="both"/>
              <w:textAlignment w:val="bottom"/>
              <w:rPr>
                <w:rFonts w:ascii="仿宋_GB2312" w:hAnsi="仿宋_GB2312" w:eastAsia="仿宋_GB2312" w:cs="仿宋_GB2312"/>
                <w:sz w:val="22"/>
                <w:szCs w:val="22"/>
              </w:rPr>
            </w:pPr>
            <w:r>
              <w:rPr>
                <w:rFonts w:hint="eastAsia" w:ascii="仿宋_GB2312" w:hAnsi="仿宋_GB2312" w:eastAsia="仿宋_GB2312" w:cs="仿宋_GB2312"/>
                <w:sz w:val="22"/>
                <w:szCs w:val="22"/>
              </w:rPr>
              <w:t>≥200人次</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FAD933">
            <w:pPr>
              <w:widowControl/>
              <w:spacing w:line="320" w:lineRule="exact"/>
              <w:ind w:left="0" w:leftChars="0" w:firstLine="0" w:firstLineChars="0"/>
              <w:jc w:val="both"/>
              <w:textAlignment w:val="bottom"/>
              <w:rPr>
                <w:rFonts w:ascii="仿宋_GB2312" w:hAnsi="仿宋_GB2312" w:eastAsia="仿宋_GB2312" w:cs="仿宋_GB2312"/>
                <w:sz w:val="22"/>
                <w:szCs w:val="22"/>
              </w:rPr>
            </w:pPr>
            <w:r>
              <w:rPr>
                <w:rFonts w:hint="eastAsia" w:ascii="仿宋_GB2312" w:hAnsi="仿宋_GB2312" w:eastAsia="仿宋_GB2312" w:cs="仿宋_GB2312"/>
                <w:sz w:val="22"/>
                <w:szCs w:val="22"/>
              </w:rPr>
              <w:t>≥200人次</w:t>
            </w:r>
          </w:p>
        </w:tc>
      </w:tr>
      <w:tr w14:paraId="781B20B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371AFF5B">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861CAB1">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82299D">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BD381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农民技能提升率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9198FB">
            <w:pPr>
              <w:widowControl/>
              <w:spacing w:line="320" w:lineRule="exact"/>
              <w:ind w:left="0" w:leftChars="0" w:firstLine="0" w:firstLineChars="0"/>
              <w:jc w:val="both"/>
              <w:textAlignment w:val="bottom"/>
              <w:rPr>
                <w:rFonts w:hint="eastAsia" w:ascii="仿宋_GB2312" w:hAnsi="仿宋_GB2312" w:eastAsia="仿宋_GB2312" w:cs="仿宋_GB2312"/>
                <w:sz w:val="22"/>
                <w:szCs w:val="22"/>
                <w:lang w:eastAsia="zh-CN"/>
              </w:rPr>
            </w:pPr>
            <w:r>
              <w:rPr>
                <w:rFonts w:hint="eastAsia" w:ascii="仿宋_GB2312" w:hAnsi="仿宋_GB2312" w:cs="仿宋_GB2312"/>
                <w:sz w:val="22"/>
                <w:szCs w:val="22"/>
                <w:lang w:eastAsia="zh-CN"/>
              </w:rPr>
              <w:t>大幅提升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B2E7F5">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eastAsia="zh-CN"/>
              </w:rPr>
              <w:t>大幅提升</w:t>
            </w:r>
          </w:p>
        </w:tc>
      </w:tr>
      <w:tr w14:paraId="5AB6A64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7D9C66F8">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3782C0F">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9D7F8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E8CD15">
            <w:pPr>
              <w:widowControl/>
              <w:spacing w:line="320" w:lineRule="exact"/>
              <w:ind w:left="0" w:leftChars="0" w:firstLine="0" w:firstLineChars="0"/>
              <w:jc w:val="both"/>
              <w:textAlignment w:val="bottom"/>
              <w:rPr>
                <w:rFonts w:hint="default" w:ascii="仿宋_GB2312" w:hAnsi="仿宋_GB2312" w:eastAsia="仿宋_GB2312" w:cs="仿宋_GB2312"/>
                <w:sz w:val="22"/>
                <w:szCs w:val="22"/>
                <w:lang w:val="en-US" w:eastAsia="zh-CN"/>
              </w:rPr>
            </w:pPr>
            <w:r>
              <w:rPr>
                <w:rFonts w:hint="eastAsia" w:ascii="仿宋_GB2312" w:hAnsi="仿宋_GB2312" w:cs="仿宋_GB2312"/>
                <w:sz w:val="22"/>
                <w:szCs w:val="22"/>
                <w:lang w:val="en-US" w:eastAsia="zh-CN"/>
              </w:rPr>
              <w:t>2024年底完成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3C294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val="en-US" w:eastAsia="zh-CN"/>
              </w:rPr>
              <w:t>2024年底完成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14FDB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val="en-US" w:eastAsia="zh-CN"/>
              </w:rPr>
              <w:t>2024年底完成</w:t>
            </w:r>
          </w:p>
        </w:tc>
      </w:tr>
      <w:tr w14:paraId="1278468E">
        <w:tblPrEx>
          <w:tblCellMar>
            <w:top w:w="0" w:type="dxa"/>
            <w:left w:w="108" w:type="dxa"/>
            <w:bottom w:w="0" w:type="dxa"/>
            <w:right w:w="108" w:type="dxa"/>
          </w:tblCellMar>
        </w:tblPrEx>
        <w:trPr>
          <w:gridAfter w:val="1"/>
          <w:wAfter w:w="239" w:type="dxa"/>
          <w:trHeight w:val="523" w:hRule="atLeast"/>
        </w:trPr>
        <w:tc>
          <w:tcPr>
            <w:tcW w:w="2001" w:type="dxa"/>
            <w:vMerge w:val="continue"/>
            <w:tcBorders>
              <w:left w:val="single" w:color="000000" w:sz="4" w:space="0"/>
              <w:right w:val="single" w:color="000000" w:sz="4" w:space="0"/>
            </w:tcBorders>
            <w:shd w:val="clear" w:color="auto" w:fill="auto"/>
            <w:vAlign w:val="center"/>
          </w:tcPr>
          <w:p w14:paraId="00021EA7">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4AD65F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A2B4D4">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C404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7850C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0.9</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41604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0.9</w:t>
            </w:r>
            <w:r>
              <w:rPr>
                <w:rFonts w:hint="eastAsia" w:ascii="仿宋_GB2312" w:hAnsi="仿宋_GB2312" w:eastAsia="仿宋_GB2312" w:cs="仿宋_GB2312"/>
                <w:sz w:val="22"/>
                <w:szCs w:val="22"/>
              </w:rPr>
              <w:t>万元</w:t>
            </w:r>
          </w:p>
        </w:tc>
      </w:tr>
      <w:tr w14:paraId="37C01C52">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8859B3B">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78044">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49955E2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09A74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D7D07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提升农民技能，创造社会财富</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A7628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推动地区经济发展</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4D92D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推动地区经济发展</w:t>
            </w:r>
          </w:p>
        </w:tc>
      </w:tr>
      <w:tr w14:paraId="2E03DD23">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089ADE8A">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ED41C4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06E4D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79176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提高农民思想素质</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44799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大幅提升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69C7D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大幅提升</w:t>
            </w:r>
          </w:p>
        </w:tc>
      </w:tr>
      <w:tr w14:paraId="2287FCE7">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41FA3CE2">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30ED1CD">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D52A9B">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E39A9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1CC58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D4D7E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1DBDE041">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4CA2EFA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2E4C716">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6FC10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EBAC3A">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提高群众致富增收能力</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97AEF6">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大幅提升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BB7B9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大幅提升</w:t>
            </w:r>
          </w:p>
        </w:tc>
      </w:tr>
      <w:tr w14:paraId="04EFFF08">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46B1F022">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D3895B">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04AAF39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2A553E">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F997D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农民夜校学员满意度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A3FCD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D3C2E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bl>
    <w:p w14:paraId="44B3F501">
      <w:pPr>
        <w:spacing w:line="600" w:lineRule="exact"/>
        <w:jc w:val="both"/>
        <w:outlineLvl w:val="9"/>
        <w:rPr>
          <w:rFonts w:ascii="黑体" w:hAnsi="黑体" w:eastAsia="黑体"/>
          <w:sz w:val="44"/>
          <w:szCs w:val="44"/>
        </w:rPr>
      </w:pPr>
    </w:p>
    <w:tbl>
      <w:tblPr>
        <w:tblStyle w:val="15"/>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6D09C768">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793F0BB5">
            <w:pPr>
              <w:widowControl/>
              <w:jc w:val="center"/>
              <w:textAlignment w:val="center"/>
              <w:rPr>
                <w:rFonts w:hint="eastAsia" w:ascii="宋体" w:hAnsi="宋体" w:cs="宋体"/>
                <w:b/>
                <w:sz w:val="32"/>
                <w:szCs w:val="32"/>
              </w:rPr>
            </w:pPr>
          </w:p>
          <w:p w14:paraId="78074586">
            <w:pPr>
              <w:widowControl/>
              <w:jc w:val="center"/>
              <w:textAlignment w:val="center"/>
              <w:rPr>
                <w:rFonts w:hint="eastAsia" w:ascii="宋体" w:hAnsi="宋体" w:cs="宋体"/>
                <w:b/>
                <w:sz w:val="32"/>
                <w:szCs w:val="32"/>
              </w:rPr>
            </w:pPr>
          </w:p>
          <w:p w14:paraId="0337B334">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4</w:t>
            </w:r>
            <w:r>
              <w:rPr>
                <w:rFonts w:hint="eastAsia" w:ascii="宋体" w:hAnsi="宋体" w:cs="宋体"/>
                <w:b/>
                <w:sz w:val="32"/>
                <w:szCs w:val="32"/>
              </w:rPr>
              <w:t>年村级基层组织和公共服务运行维护项目绩效目标自评</w:t>
            </w:r>
          </w:p>
        </w:tc>
        <w:tc>
          <w:tcPr>
            <w:tcW w:w="239" w:type="dxa"/>
            <w:tcBorders>
              <w:top w:val="nil"/>
              <w:left w:val="nil"/>
              <w:bottom w:val="nil"/>
              <w:right w:val="nil"/>
            </w:tcBorders>
            <w:shd w:val="clear" w:color="auto" w:fill="auto"/>
            <w:vAlign w:val="center"/>
          </w:tcPr>
          <w:p w14:paraId="4003AAF7">
            <w:pPr>
              <w:widowControl/>
              <w:jc w:val="center"/>
              <w:textAlignment w:val="center"/>
              <w:rPr>
                <w:rFonts w:ascii="宋体" w:hAnsi="宋体" w:cs="宋体"/>
                <w:b/>
                <w:kern w:val="0"/>
                <w:sz w:val="32"/>
                <w:szCs w:val="32"/>
                <w:lang w:bidi="ar"/>
              </w:rPr>
            </w:pPr>
          </w:p>
        </w:tc>
      </w:tr>
      <w:tr w14:paraId="6A386004">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6FEDA">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1A0DD">
            <w:pPr>
              <w:widowControl/>
              <w:spacing w:line="320" w:lineRule="exact"/>
              <w:ind w:left="0" w:leftChars="0" w:firstLine="0" w:firstLineChars="0"/>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132E">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21F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val="en-US" w:eastAsia="zh-CN"/>
              </w:rPr>
              <w:t>雪口山镇人民政府</w:t>
            </w:r>
          </w:p>
        </w:tc>
      </w:tr>
      <w:tr w14:paraId="16D63C6A">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C97351">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66C31809">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5F505448">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4FF3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3A95">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135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B63A">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021C">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135</w:t>
            </w:r>
          </w:p>
        </w:tc>
      </w:tr>
      <w:tr w14:paraId="5556DD8C">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D4A5A">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F8DF">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6EF30BF7">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C3E4">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135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D766">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7CAB5E57">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88F8">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135</w:t>
            </w:r>
          </w:p>
        </w:tc>
      </w:tr>
      <w:tr w14:paraId="38536738">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E5559">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4DF8">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6F78">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9FF5E">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8D031">
            <w:pPr>
              <w:widowControl/>
              <w:spacing w:line="320" w:lineRule="exact"/>
              <w:jc w:val="left"/>
              <w:textAlignment w:val="center"/>
              <w:rPr>
                <w:rFonts w:ascii="宋体" w:hAnsi="宋体" w:cs="宋体"/>
                <w:sz w:val="24"/>
              </w:rPr>
            </w:pPr>
          </w:p>
        </w:tc>
      </w:tr>
      <w:tr w14:paraId="424B4F8B">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C4ADC">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62B647C9">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34FFEC">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49C9B">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3480785D">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E0E8B">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4F08F983">
            <w:pPr>
              <w:widowControl/>
              <w:spacing w:line="320" w:lineRule="exact"/>
              <w:jc w:val="left"/>
              <w:textAlignment w:val="top"/>
              <w:rPr>
                <w:rFonts w:ascii="宋体" w:hAnsi="宋体" w:cs="宋体"/>
                <w:sz w:val="24"/>
              </w:rPr>
            </w:pPr>
            <w:r>
              <w:rPr>
                <w:rFonts w:hint="eastAsia" w:ascii="宋体" w:hAnsi="宋体" w:cs="宋体"/>
                <w:sz w:val="24"/>
              </w:rPr>
              <w:t>保障我镇8个村及曙光小区的基层组织正常运转</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64587B23">
            <w:pPr>
              <w:widowControl/>
              <w:spacing w:line="320" w:lineRule="exact"/>
              <w:jc w:val="left"/>
              <w:textAlignment w:val="top"/>
              <w:rPr>
                <w:rFonts w:ascii="宋体" w:hAnsi="宋体" w:cs="宋体"/>
                <w:sz w:val="24"/>
              </w:rPr>
            </w:pPr>
            <w:r>
              <w:rPr>
                <w:rFonts w:hint="eastAsia" w:ascii="宋体" w:hAnsi="宋体" w:cs="宋体"/>
                <w:sz w:val="24"/>
              </w:rPr>
              <w:t>保障我镇8个村及曙光小区的基层组织正常运转</w:t>
            </w:r>
          </w:p>
        </w:tc>
      </w:tr>
      <w:tr w14:paraId="56B313AB">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7EEECB58">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42873DEB">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695B81EB">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328D1">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3D25E9B2">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EDFE">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53D6C3FA">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148E">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4598">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744EE16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44C32783">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FFA15">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6D66BD5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B5C4D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52151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道路、河道维护</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9A2F9D">
            <w:pPr>
              <w:widowControl/>
              <w:spacing w:line="320" w:lineRule="exact"/>
              <w:ind w:left="0" w:leftChars="0" w:firstLine="0" w:firstLineChars="0"/>
              <w:jc w:val="both"/>
              <w:textAlignment w:val="bottom"/>
              <w:rPr>
                <w:rFonts w:hint="eastAsia" w:ascii="仿宋_GB2312" w:hAnsi="仿宋_GB2312" w:eastAsia="仿宋_GB2312" w:cs="仿宋_GB2312"/>
                <w:sz w:val="22"/>
                <w:szCs w:val="22"/>
                <w:lang w:eastAsia="zh-CN"/>
              </w:rPr>
            </w:pPr>
            <w:r>
              <w:rPr>
                <w:rFonts w:hint="eastAsia" w:ascii="仿宋_GB2312" w:hAnsi="仿宋_GB2312" w:eastAsia="仿宋_GB2312" w:cs="仿宋_GB2312"/>
                <w:sz w:val="22"/>
                <w:szCs w:val="22"/>
              </w:rPr>
              <w:t>≥5</w:t>
            </w:r>
            <w:r>
              <w:rPr>
                <w:rFonts w:hint="eastAsia" w:ascii="仿宋_GB2312" w:hAnsi="仿宋_GB2312" w:cs="仿宋_GB2312"/>
                <w:sz w:val="22"/>
                <w:szCs w:val="22"/>
                <w:lang w:val="en-US" w:eastAsia="zh-CN"/>
              </w:rPr>
              <w:t>次</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C932A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≥5</w:t>
            </w:r>
            <w:r>
              <w:rPr>
                <w:rFonts w:hint="eastAsia" w:ascii="仿宋_GB2312" w:hAnsi="仿宋_GB2312" w:cs="仿宋_GB2312"/>
                <w:sz w:val="22"/>
                <w:szCs w:val="22"/>
                <w:lang w:val="en-US" w:eastAsia="zh-CN"/>
              </w:rPr>
              <w:t>次</w:t>
            </w:r>
          </w:p>
        </w:tc>
      </w:tr>
      <w:tr w14:paraId="57ABD325">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44C4174E">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BA2ACDC">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B66FF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32E0D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cs="仿宋_GB2312"/>
                <w:sz w:val="22"/>
                <w:szCs w:val="22"/>
                <w:lang w:val="en-US" w:eastAsia="zh-CN"/>
              </w:rPr>
              <w:t>基础设施</w:t>
            </w:r>
            <w:r>
              <w:rPr>
                <w:rFonts w:hint="eastAsia" w:ascii="仿宋_GB2312" w:hAnsi="仿宋_GB2312" w:eastAsia="仿宋_GB2312" w:cs="仿宋_GB2312"/>
                <w:sz w:val="22"/>
                <w:szCs w:val="22"/>
              </w:rPr>
              <w:t>梁正常使用率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CF4E6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≥98%</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F41C8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≥98%</w:t>
            </w:r>
          </w:p>
        </w:tc>
      </w:tr>
      <w:tr w14:paraId="06C99CF5">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3D66DC24">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355D300">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1CC926">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8B9C38">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36C086">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35D319">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r>
      <w:tr w14:paraId="532E75C4">
        <w:tblPrEx>
          <w:tblCellMar>
            <w:top w:w="0" w:type="dxa"/>
            <w:left w:w="108" w:type="dxa"/>
            <w:bottom w:w="0" w:type="dxa"/>
            <w:right w:w="108" w:type="dxa"/>
          </w:tblCellMar>
        </w:tblPrEx>
        <w:trPr>
          <w:gridAfter w:val="1"/>
          <w:wAfter w:w="239" w:type="dxa"/>
          <w:trHeight w:val="523" w:hRule="atLeast"/>
        </w:trPr>
        <w:tc>
          <w:tcPr>
            <w:tcW w:w="2001" w:type="dxa"/>
            <w:vMerge w:val="continue"/>
            <w:tcBorders>
              <w:left w:val="single" w:color="000000" w:sz="4" w:space="0"/>
              <w:right w:val="single" w:color="000000" w:sz="4" w:space="0"/>
            </w:tcBorders>
            <w:shd w:val="clear" w:color="auto" w:fill="auto"/>
            <w:vAlign w:val="center"/>
          </w:tcPr>
          <w:p w14:paraId="63C58776">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95CEB3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4F77A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70AD15">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B4EF60">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135</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3E0A7">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135</w:t>
            </w:r>
            <w:r>
              <w:rPr>
                <w:rFonts w:hint="eastAsia" w:ascii="仿宋_GB2312" w:hAnsi="仿宋_GB2312" w:eastAsia="仿宋_GB2312" w:cs="仿宋_GB2312"/>
                <w:sz w:val="22"/>
                <w:szCs w:val="22"/>
              </w:rPr>
              <w:t>万元</w:t>
            </w:r>
          </w:p>
        </w:tc>
      </w:tr>
      <w:tr w14:paraId="29B9A68E">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33225498">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11349">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05EF516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E74BE4">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10B25E">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003536">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09BECC">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6B73589A">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361EEF5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693877E">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9A5980">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611D02">
            <w:pPr>
              <w:widowControl/>
              <w:spacing w:line="320" w:lineRule="exact"/>
              <w:ind w:left="0" w:leftChars="0" w:firstLine="0" w:firstLineChars="0"/>
              <w:jc w:val="both"/>
              <w:textAlignment w:val="bottom"/>
              <w:rPr>
                <w:rFonts w:hint="eastAsia" w:ascii="仿宋_GB2312" w:hAnsi="仿宋_GB2312" w:eastAsia="仿宋_GB2312" w:cs="仿宋_GB2312"/>
                <w:sz w:val="22"/>
                <w:szCs w:val="22"/>
                <w:lang w:val="en-US" w:eastAsia="zh-CN"/>
              </w:rPr>
            </w:pPr>
            <w:r>
              <w:rPr>
                <w:rFonts w:hint="eastAsia" w:ascii="仿宋_GB2312" w:hAnsi="仿宋_GB2312" w:cs="仿宋_GB2312"/>
                <w:sz w:val="22"/>
                <w:szCs w:val="22"/>
                <w:lang w:val="en-US" w:eastAsia="zh-CN"/>
              </w:rPr>
              <w:t>保障各村运转正常</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12AE2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D69C3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r>
      <w:tr w14:paraId="10D9007E">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97D6C90">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A506917">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4A107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5A6AF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退耕还林政策落地落实</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D8E1B1">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森林覆盖率明显提升</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9E0C7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森林覆盖率明显提升</w:t>
            </w:r>
          </w:p>
        </w:tc>
      </w:tr>
      <w:tr w14:paraId="33EBD4FA">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98C2FCA">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8F33AC0">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790B4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79349E">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提高村组干部办事效率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6C094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47810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r w14:paraId="23E856E7">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6B3996E9">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C6D084">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00881D7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12DBD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7DF6D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群众满意度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EEF2CD">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F2A909">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100</w:t>
            </w:r>
            <w:r>
              <w:rPr>
                <w:rFonts w:hint="eastAsia" w:ascii="仿宋_GB2312" w:hAnsi="仿宋_GB2312" w:eastAsia="仿宋_GB2312" w:cs="仿宋_GB2312"/>
                <w:sz w:val="22"/>
                <w:szCs w:val="22"/>
              </w:rPr>
              <w:t>%</w:t>
            </w:r>
          </w:p>
        </w:tc>
      </w:tr>
    </w:tbl>
    <w:p w14:paraId="52F642F9">
      <w:pPr>
        <w:pStyle w:val="2"/>
        <w:rPr>
          <w:rFonts w:ascii="黑体" w:hAnsi="黑体" w:eastAsia="黑体"/>
          <w:sz w:val="44"/>
          <w:szCs w:val="44"/>
        </w:rPr>
      </w:pPr>
    </w:p>
    <w:p w14:paraId="2C5BC200">
      <w:pPr>
        <w:pStyle w:val="2"/>
        <w:ind w:left="0" w:leftChars="0" w:firstLine="0" w:firstLineChars="0"/>
        <w:rPr>
          <w:rFonts w:ascii="黑体" w:hAnsi="黑体" w:eastAsia="黑体"/>
          <w:sz w:val="44"/>
          <w:szCs w:val="44"/>
        </w:rPr>
      </w:pPr>
    </w:p>
    <w:tbl>
      <w:tblPr>
        <w:tblStyle w:val="15"/>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164DC4D5">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269C5479">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4</w:t>
            </w:r>
            <w:r>
              <w:rPr>
                <w:rFonts w:hint="eastAsia" w:ascii="宋体" w:hAnsi="宋体" w:cs="宋体"/>
                <w:b/>
                <w:sz w:val="32"/>
                <w:szCs w:val="32"/>
              </w:rPr>
              <w:t>年</w:t>
            </w:r>
            <w:r>
              <w:rPr>
                <w:rFonts w:hint="eastAsia" w:ascii="宋体" w:hAnsi="宋体" w:cs="宋体"/>
                <w:b/>
                <w:sz w:val="32"/>
                <w:szCs w:val="32"/>
                <w:lang w:eastAsia="zh-CN"/>
              </w:rPr>
              <w:t>关工委</w:t>
            </w:r>
            <w:r>
              <w:rPr>
                <w:rFonts w:hint="eastAsia" w:ascii="宋体" w:hAnsi="宋体" w:cs="宋体"/>
                <w:b/>
                <w:sz w:val="32"/>
                <w:szCs w:val="32"/>
              </w:rPr>
              <w:t>经费项目绩效目标自评</w:t>
            </w:r>
          </w:p>
        </w:tc>
        <w:tc>
          <w:tcPr>
            <w:tcW w:w="239" w:type="dxa"/>
            <w:tcBorders>
              <w:top w:val="nil"/>
              <w:left w:val="nil"/>
              <w:bottom w:val="nil"/>
              <w:right w:val="nil"/>
            </w:tcBorders>
            <w:shd w:val="clear" w:color="auto" w:fill="auto"/>
            <w:vAlign w:val="center"/>
          </w:tcPr>
          <w:p w14:paraId="36DE5C3E">
            <w:pPr>
              <w:widowControl/>
              <w:jc w:val="center"/>
              <w:textAlignment w:val="center"/>
              <w:rPr>
                <w:rFonts w:ascii="宋体" w:hAnsi="宋体" w:cs="宋体"/>
                <w:b/>
                <w:kern w:val="0"/>
                <w:sz w:val="32"/>
                <w:szCs w:val="32"/>
                <w:lang w:bidi="ar"/>
              </w:rPr>
            </w:pPr>
          </w:p>
        </w:tc>
      </w:tr>
      <w:tr w14:paraId="72D70B40">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0CD2AE">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1CF804">
            <w:pPr>
              <w:widowControl/>
              <w:spacing w:line="320" w:lineRule="exact"/>
              <w:jc w:val="left"/>
              <w:textAlignment w:val="center"/>
              <w:rPr>
                <w:rFonts w:ascii="宋体" w:hAnsi="宋体" w:cs="宋体"/>
                <w:sz w:val="24"/>
              </w:rPr>
            </w:pPr>
            <w:r>
              <w:rPr>
                <w:rFonts w:hint="eastAsia" w:ascii="宋体" w:hAnsi="宋体" w:cs="宋体"/>
                <w:sz w:val="24"/>
                <w:lang w:val="en-US"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0CA0">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214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val="en-US" w:eastAsia="zh-CN"/>
              </w:rPr>
              <w:t>雪口山镇人民政府</w:t>
            </w:r>
          </w:p>
        </w:tc>
      </w:tr>
      <w:tr w14:paraId="7F19742D">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D4DFC">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717A2DEA">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3F80953C">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7325">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A19F">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DB8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5874">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w:t>
            </w:r>
          </w:p>
        </w:tc>
      </w:tr>
      <w:tr w14:paraId="5404B4C1">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C3321">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A5F9">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3802F241">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52E2">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74742">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40159A64">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A1A9">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1</w:t>
            </w:r>
          </w:p>
        </w:tc>
      </w:tr>
      <w:tr w14:paraId="01AEE802">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A849A">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C99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7DC8">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9D49">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314E">
            <w:pPr>
              <w:widowControl/>
              <w:spacing w:line="320" w:lineRule="exact"/>
              <w:jc w:val="left"/>
              <w:textAlignment w:val="center"/>
              <w:rPr>
                <w:rFonts w:ascii="宋体" w:hAnsi="宋体" w:cs="宋体"/>
                <w:sz w:val="24"/>
              </w:rPr>
            </w:pPr>
          </w:p>
        </w:tc>
      </w:tr>
      <w:tr w14:paraId="6168CB6E">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6B3633">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3C808239">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C9076F">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CDA0B">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244D3CC2">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25D95">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7D6159A8">
            <w:pPr>
              <w:widowControl/>
              <w:spacing w:line="320" w:lineRule="exact"/>
              <w:jc w:val="left"/>
              <w:textAlignment w:val="top"/>
              <w:rPr>
                <w:rFonts w:hint="eastAsia" w:ascii="宋体" w:hAnsi="宋体" w:eastAsia="宋体" w:cs="宋体"/>
                <w:sz w:val="24"/>
                <w:lang w:eastAsia="zh-CN"/>
              </w:rPr>
            </w:pPr>
            <w:r>
              <w:rPr>
                <w:rFonts w:hint="eastAsia" w:ascii="宋体" w:hAnsi="宋体" w:cs="宋体"/>
                <w:sz w:val="24"/>
                <w:lang w:eastAsia="zh-CN"/>
              </w:rPr>
              <w:t>关爱下一代</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73D3C531">
            <w:pPr>
              <w:widowControl/>
              <w:spacing w:line="320" w:lineRule="exact"/>
              <w:jc w:val="left"/>
              <w:textAlignment w:val="top"/>
              <w:rPr>
                <w:rFonts w:ascii="宋体" w:hAnsi="宋体" w:cs="宋体"/>
                <w:sz w:val="24"/>
              </w:rPr>
            </w:pPr>
            <w:r>
              <w:rPr>
                <w:rFonts w:hint="eastAsia" w:ascii="宋体" w:hAnsi="宋体" w:cs="宋体"/>
                <w:sz w:val="24"/>
                <w:lang w:eastAsia="zh-CN"/>
              </w:rPr>
              <w:t>关爱下一代</w:t>
            </w:r>
            <w:r>
              <w:rPr>
                <w:rFonts w:hint="eastAsia" w:ascii="宋体" w:hAnsi="宋体" w:cs="宋体"/>
                <w:sz w:val="24"/>
              </w:rPr>
              <w:t>经费支出</w:t>
            </w:r>
          </w:p>
        </w:tc>
      </w:tr>
      <w:tr w14:paraId="57DFCF41">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010B8BB0">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70A3F99B">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46C93DF4">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4C86">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049C45CA">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B757">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4103BF35">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8B14">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16B5">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3C4437FA">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2D13B2DA">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A5BEEC">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237806C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8363E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EC63A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驻村帮扶档案归档</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027C5E">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3卷</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A7C80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3卷</w:t>
            </w:r>
          </w:p>
        </w:tc>
      </w:tr>
      <w:tr w14:paraId="56129E12">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1503F35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927DAC1">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C2CE6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4CB89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驻村帮扶档案归档规范率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E6166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9FB3C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r>
      <w:tr w14:paraId="35B3D326">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52E8B6CA">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B03A0F2">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7E665B">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D2E91B">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55DE89">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A72DAF">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r>
      <w:tr w14:paraId="77D2BE06">
        <w:tblPrEx>
          <w:tblCellMar>
            <w:top w:w="0" w:type="dxa"/>
            <w:left w:w="108" w:type="dxa"/>
            <w:bottom w:w="0" w:type="dxa"/>
            <w:right w:w="108" w:type="dxa"/>
          </w:tblCellMar>
        </w:tblPrEx>
        <w:trPr>
          <w:gridAfter w:val="1"/>
          <w:wAfter w:w="239" w:type="dxa"/>
          <w:trHeight w:val="590" w:hRule="atLeast"/>
        </w:trPr>
        <w:tc>
          <w:tcPr>
            <w:tcW w:w="2001" w:type="dxa"/>
            <w:vMerge w:val="continue"/>
            <w:tcBorders>
              <w:left w:val="single" w:color="000000" w:sz="4" w:space="0"/>
              <w:right w:val="single" w:color="000000" w:sz="4" w:space="0"/>
            </w:tcBorders>
            <w:shd w:val="clear" w:color="auto" w:fill="auto"/>
            <w:vAlign w:val="center"/>
          </w:tcPr>
          <w:p w14:paraId="19CFDFD6">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04E33F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E2E51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ECBFF0">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B9600D">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370810">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1</w:t>
            </w:r>
            <w:r>
              <w:rPr>
                <w:rFonts w:hint="eastAsia" w:ascii="仿宋_GB2312" w:hAnsi="仿宋_GB2312" w:eastAsia="仿宋_GB2312" w:cs="仿宋_GB2312"/>
                <w:sz w:val="22"/>
                <w:szCs w:val="22"/>
              </w:rPr>
              <w:t>万元</w:t>
            </w:r>
          </w:p>
        </w:tc>
      </w:tr>
      <w:tr w14:paraId="1990C1DA">
        <w:tblPrEx>
          <w:tblCellMar>
            <w:top w:w="0" w:type="dxa"/>
            <w:left w:w="108" w:type="dxa"/>
            <w:bottom w:w="0" w:type="dxa"/>
            <w:right w:w="108" w:type="dxa"/>
          </w:tblCellMar>
        </w:tblPrEx>
        <w:trPr>
          <w:gridAfter w:val="1"/>
          <w:wAfter w:w="239" w:type="dxa"/>
          <w:trHeight w:val="659" w:hRule="atLeast"/>
        </w:trPr>
        <w:tc>
          <w:tcPr>
            <w:tcW w:w="2001" w:type="dxa"/>
            <w:vMerge w:val="continue"/>
            <w:tcBorders>
              <w:left w:val="single" w:color="000000" w:sz="4" w:space="0"/>
              <w:right w:val="single" w:color="000000" w:sz="4" w:space="0"/>
            </w:tcBorders>
            <w:shd w:val="clear" w:color="auto" w:fill="auto"/>
            <w:vAlign w:val="center"/>
          </w:tcPr>
          <w:p w14:paraId="4ED90E82">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68D513">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722CF33B">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2B455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84140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B7FA2F">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4C461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168894C8">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3576A31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967065F">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AD6D28">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5B58A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非贫困村贫困户稳定脱贫</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A0DAA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005D0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r>
      <w:tr w14:paraId="4AE30ACD">
        <w:tblPrEx>
          <w:tblCellMar>
            <w:top w:w="0" w:type="dxa"/>
            <w:left w:w="108" w:type="dxa"/>
            <w:bottom w:w="0" w:type="dxa"/>
            <w:right w:w="108" w:type="dxa"/>
          </w:tblCellMar>
        </w:tblPrEx>
        <w:trPr>
          <w:gridAfter w:val="1"/>
          <w:wAfter w:w="239" w:type="dxa"/>
          <w:trHeight w:val="599" w:hRule="atLeast"/>
        </w:trPr>
        <w:tc>
          <w:tcPr>
            <w:tcW w:w="2001" w:type="dxa"/>
            <w:vMerge w:val="continue"/>
            <w:tcBorders>
              <w:left w:val="single" w:color="000000" w:sz="4" w:space="0"/>
              <w:right w:val="single" w:color="000000" w:sz="4" w:space="0"/>
            </w:tcBorders>
            <w:shd w:val="clear" w:color="auto" w:fill="auto"/>
            <w:vAlign w:val="center"/>
          </w:tcPr>
          <w:p w14:paraId="228A37C7">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ADBA7D9">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EBB9C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19328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667CA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B6ADA2">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7DD2A656">
        <w:tblPrEx>
          <w:tblCellMar>
            <w:top w:w="0" w:type="dxa"/>
            <w:left w:w="108" w:type="dxa"/>
            <w:bottom w:w="0" w:type="dxa"/>
            <w:right w:w="108" w:type="dxa"/>
          </w:tblCellMar>
        </w:tblPrEx>
        <w:trPr>
          <w:gridAfter w:val="1"/>
          <w:wAfter w:w="239" w:type="dxa"/>
          <w:trHeight w:val="569" w:hRule="atLeast"/>
        </w:trPr>
        <w:tc>
          <w:tcPr>
            <w:tcW w:w="2001" w:type="dxa"/>
            <w:vMerge w:val="continue"/>
            <w:tcBorders>
              <w:left w:val="single" w:color="000000" w:sz="4" w:space="0"/>
              <w:right w:val="single" w:color="000000" w:sz="4" w:space="0"/>
            </w:tcBorders>
            <w:shd w:val="clear" w:color="auto" w:fill="auto"/>
            <w:vAlign w:val="center"/>
          </w:tcPr>
          <w:p w14:paraId="064B68B0">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F9BCF88">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92A124">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A52D016">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杜绝返贫现象</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6D505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两个非贫困村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9EC3D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两个非贫困村</w:t>
            </w:r>
          </w:p>
        </w:tc>
      </w:tr>
      <w:tr w14:paraId="6F5D3F35">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61516CF5">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6F3B7D">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22197D1C">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1722F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57942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贫困群众满意度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1F35CB">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≥99%</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D74FA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≥99%</w:t>
            </w:r>
          </w:p>
        </w:tc>
      </w:tr>
    </w:tbl>
    <w:p w14:paraId="078C92F1">
      <w:pPr>
        <w:pStyle w:val="2"/>
        <w:rPr>
          <w:rFonts w:ascii="黑体" w:hAnsi="黑体" w:eastAsia="黑体"/>
          <w:sz w:val="44"/>
          <w:szCs w:val="44"/>
        </w:rPr>
      </w:pPr>
    </w:p>
    <w:p w14:paraId="378129A0">
      <w:pPr>
        <w:pStyle w:val="2"/>
        <w:rPr>
          <w:rFonts w:ascii="黑体" w:hAnsi="黑体" w:eastAsia="黑体"/>
          <w:sz w:val="44"/>
          <w:szCs w:val="44"/>
        </w:rPr>
      </w:pPr>
    </w:p>
    <w:p w14:paraId="35B2E5F2">
      <w:pPr>
        <w:pStyle w:val="2"/>
        <w:ind w:left="0" w:leftChars="0" w:firstLine="0" w:firstLineChars="0"/>
        <w:rPr>
          <w:rFonts w:ascii="黑体" w:hAnsi="黑体" w:eastAsia="黑体"/>
          <w:sz w:val="44"/>
          <w:szCs w:val="44"/>
        </w:rPr>
      </w:pPr>
    </w:p>
    <w:tbl>
      <w:tblPr>
        <w:tblStyle w:val="15"/>
        <w:tblpPr w:leftFromText="180" w:rightFromText="180" w:vertAnchor="text" w:horzAnchor="page" w:tblpX="1281" w:tblpY="660"/>
        <w:tblOverlap w:val="never"/>
        <w:tblW w:w="9939" w:type="dxa"/>
        <w:tblInd w:w="0" w:type="dxa"/>
        <w:tblLayout w:type="fixed"/>
        <w:tblCellMar>
          <w:top w:w="0" w:type="dxa"/>
          <w:left w:w="108" w:type="dxa"/>
          <w:bottom w:w="0" w:type="dxa"/>
          <w:right w:w="108" w:type="dxa"/>
        </w:tblCellMar>
      </w:tblPr>
      <w:tblGrid>
        <w:gridCol w:w="2001"/>
        <w:gridCol w:w="1157"/>
        <w:gridCol w:w="1656"/>
        <w:gridCol w:w="1205"/>
        <w:gridCol w:w="1240"/>
        <w:gridCol w:w="2441"/>
        <w:gridCol w:w="239"/>
      </w:tblGrid>
      <w:tr w14:paraId="010338BA">
        <w:tblPrEx>
          <w:tblCellMar>
            <w:top w:w="0" w:type="dxa"/>
            <w:left w:w="108" w:type="dxa"/>
            <w:bottom w:w="0" w:type="dxa"/>
            <w:right w:w="108" w:type="dxa"/>
          </w:tblCellMar>
        </w:tblPrEx>
        <w:trPr>
          <w:trHeight w:val="721" w:hRule="atLeast"/>
        </w:trPr>
        <w:tc>
          <w:tcPr>
            <w:tcW w:w="9700" w:type="dxa"/>
            <w:gridSpan w:val="6"/>
            <w:tcBorders>
              <w:top w:val="nil"/>
              <w:left w:val="nil"/>
              <w:bottom w:val="nil"/>
              <w:right w:val="nil"/>
            </w:tcBorders>
            <w:shd w:val="clear" w:color="auto" w:fill="auto"/>
            <w:vAlign w:val="center"/>
          </w:tcPr>
          <w:p w14:paraId="771E8776">
            <w:pPr>
              <w:widowControl/>
              <w:jc w:val="center"/>
              <w:textAlignment w:val="center"/>
              <w:rPr>
                <w:rFonts w:ascii="宋体" w:hAnsi="宋体" w:cs="宋体"/>
                <w:b/>
                <w:sz w:val="32"/>
                <w:szCs w:val="32"/>
              </w:rPr>
            </w:pPr>
            <w:r>
              <w:rPr>
                <w:rFonts w:hint="eastAsia" w:ascii="宋体" w:hAnsi="宋体" w:cs="宋体"/>
                <w:b/>
                <w:sz w:val="32"/>
                <w:szCs w:val="32"/>
              </w:rPr>
              <w:t>202</w:t>
            </w:r>
            <w:r>
              <w:rPr>
                <w:rFonts w:hint="eastAsia" w:ascii="宋体" w:hAnsi="宋体" w:cs="宋体"/>
                <w:b/>
                <w:sz w:val="32"/>
                <w:szCs w:val="32"/>
                <w:lang w:val="en-US" w:eastAsia="zh-CN"/>
              </w:rPr>
              <w:t>4</w:t>
            </w:r>
            <w:r>
              <w:rPr>
                <w:rFonts w:hint="eastAsia" w:ascii="宋体" w:hAnsi="宋体" w:cs="宋体"/>
                <w:b/>
                <w:sz w:val="32"/>
                <w:szCs w:val="32"/>
              </w:rPr>
              <w:t>年党建工作经费项目绩效目标自评</w:t>
            </w:r>
          </w:p>
        </w:tc>
        <w:tc>
          <w:tcPr>
            <w:tcW w:w="239" w:type="dxa"/>
            <w:tcBorders>
              <w:top w:val="nil"/>
              <w:left w:val="nil"/>
              <w:bottom w:val="nil"/>
              <w:right w:val="nil"/>
            </w:tcBorders>
            <w:shd w:val="clear" w:color="auto" w:fill="auto"/>
            <w:vAlign w:val="center"/>
          </w:tcPr>
          <w:p w14:paraId="2133597F">
            <w:pPr>
              <w:widowControl/>
              <w:jc w:val="center"/>
              <w:textAlignment w:val="center"/>
              <w:rPr>
                <w:rFonts w:ascii="宋体" w:hAnsi="宋体" w:cs="宋体"/>
                <w:b/>
                <w:kern w:val="0"/>
                <w:sz w:val="32"/>
                <w:szCs w:val="32"/>
                <w:lang w:bidi="ar"/>
              </w:rPr>
            </w:pPr>
          </w:p>
        </w:tc>
      </w:tr>
      <w:tr w14:paraId="5099927A">
        <w:tblPrEx>
          <w:tblCellMar>
            <w:top w:w="0" w:type="dxa"/>
            <w:left w:w="108" w:type="dxa"/>
            <w:bottom w:w="0" w:type="dxa"/>
            <w:right w:w="108" w:type="dxa"/>
          </w:tblCellMar>
        </w:tblPrEx>
        <w:trPr>
          <w:gridAfter w:val="1"/>
          <w:wAfter w:w="239" w:type="dxa"/>
          <w:trHeight w:val="352" w:hRule="atLeast"/>
        </w:trPr>
        <w:tc>
          <w:tcPr>
            <w:tcW w:w="31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D9CBF">
            <w:pPr>
              <w:widowControl/>
              <w:spacing w:line="320" w:lineRule="exact"/>
              <w:jc w:val="left"/>
              <w:textAlignment w:val="center"/>
              <w:rPr>
                <w:rFonts w:ascii="宋体" w:hAnsi="宋体" w:cs="宋体"/>
                <w:sz w:val="24"/>
              </w:rPr>
            </w:pPr>
            <w:r>
              <w:rPr>
                <w:rFonts w:hint="eastAsia" w:ascii="宋体" w:hAnsi="宋体" w:cs="宋体"/>
                <w:kern w:val="0"/>
                <w:sz w:val="24"/>
                <w:lang w:bidi="ar"/>
              </w:rPr>
              <w:t>主管部门及代码</w:t>
            </w:r>
          </w:p>
        </w:tc>
        <w:tc>
          <w:tcPr>
            <w:tcW w:w="2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22847">
            <w:pPr>
              <w:widowControl/>
              <w:spacing w:line="320" w:lineRule="exact"/>
              <w:jc w:val="left"/>
              <w:textAlignment w:val="center"/>
              <w:rPr>
                <w:rFonts w:ascii="宋体" w:hAnsi="宋体" w:cs="宋体"/>
                <w:sz w:val="24"/>
              </w:rPr>
            </w:pPr>
            <w:r>
              <w:rPr>
                <w:rFonts w:hint="eastAsia" w:ascii="宋体" w:hAnsi="宋体" w:cs="宋体"/>
                <w:sz w:val="24"/>
                <w:lang w:val="en-US" w:eastAsia="zh-CN"/>
              </w:rPr>
              <w:t>雪口山镇人民政府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2128">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实施单位</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5DEB">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sz w:val="24"/>
                <w:lang w:val="en-US" w:eastAsia="zh-CN"/>
              </w:rPr>
              <w:t>雪口山镇人民政府</w:t>
            </w:r>
          </w:p>
        </w:tc>
      </w:tr>
      <w:tr w14:paraId="4F598D68">
        <w:tblPrEx>
          <w:tblCellMar>
            <w:top w:w="0" w:type="dxa"/>
            <w:left w:w="108" w:type="dxa"/>
            <w:bottom w:w="0" w:type="dxa"/>
            <w:right w:w="108" w:type="dxa"/>
          </w:tblCellMar>
        </w:tblPrEx>
        <w:trPr>
          <w:gridAfter w:val="1"/>
          <w:wAfter w:w="239" w:type="dxa"/>
          <w:trHeight w:val="374" w:hRule="atLeast"/>
        </w:trPr>
        <w:tc>
          <w:tcPr>
            <w:tcW w:w="315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1593D">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项目预算</w:t>
            </w:r>
          </w:p>
          <w:p w14:paraId="6D84B73E">
            <w:pPr>
              <w:widowControl/>
              <w:spacing w:line="320" w:lineRule="exact"/>
              <w:jc w:val="left"/>
              <w:textAlignment w:val="center"/>
              <w:rPr>
                <w:rFonts w:hint="eastAsia" w:ascii="宋体" w:hAnsi="宋体" w:eastAsia="仿宋_GB2312" w:cs="宋体"/>
                <w:kern w:val="0"/>
                <w:sz w:val="24"/>
                <w:lang w:eastAsia="zh-CN" w:bidi="ar"/>
              </w:rPr>
            </w:pPr>
            <w:r>
              <w:rPr>
                <w:rFonts w:hint="eastAsia" w:ascii="宋体" w:hAnsi="宋体" w:cs="宋体"/>
                <w:kern w:val="0"/>
                <w:sz w:val="24"/>
                <w:lang w:bidi="ar"/>
              </w:rPr>
              <w:t>执行情况</w:t>
            </w:r>
          </w:p>
          <w:p w14:paraId="3C544215">
            <w:pPr>
              <w:widowControl/>
              <w:spacing w:line="320" w:lineRule="exact"/>
              <w:jc w:val="left"/>
              <w:textAlignment w:val="center"/>
              <w:rPr>
                <w:rFonts w:ascii="宋体" w:hAnsi="宋体" w:cs="宋体"/>
                <w:sz w:val="24"/>
              </w:rPr>
            </w:pPr>
            <w:r>
              <w:rPr>
                <w:rFonts w:hint="eastAsia" w:ascii="宋体" w:hAnsi="宋体" w:cs="宋体"/>
                <w:kern w:val="0"/>
                <w:sz w:val="24"/>
                <w:lang w:bidi="ar"/>
              </w:rPr>
              <w:t>（万元）</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BAE4">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预算数：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D79E">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170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执行数：</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566A">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3</w:t>
            </w:r>
          </w:p>
        </w:tc>
      </w:tr>
      <w:tr w14:paraId="23FB8489">
        <w:tblPrEx>
          <w:tblCellMar>
            <w:top w:w="0" w:type="dxa"/>
            <w:left w:w="108" w:type="dxa"/>
            <w:bottom w:w="0" w:type="dxa"/>
            <w:right w:w="108" w:type="dxa"/>
          </w:tblCellMar>
        </w:tblPrEx>
        <w:trPr>
          <w:gridAfter w:val="1"/>
          <w:wAfter w:w="239" w:type="dxa"/>
          <w:trHeight w:val="69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7A7D3">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2C54">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1531512F">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6CB6">
            <w:pPr>
              <w:widowControl/>
              <w:spacing w:line="320" w:lineRule="exact"/>
              <w:jc w:val="left"/>
              <w:textAlignment w:val="center"/>
              <w:rPr>
                <w:rFonts w:hint="eastAsia" w:ascii="宋体" w:hAnsi="宋体" w:eastAsia="仿宋_GB2312" w:cs="宋体"/>
                <w:sz w:val="24"/>
                <w:lang w:val="en-US" w:eastAsia="zh-CN"/>
              </w:rPr>
            </w:pPr>
            <w:r>
              <w:rPr>
                <w:rFonts w:hint="eastAsia" w:ascii="宋体" w:hAnsi="宋体" w:cs="宋体"/>
                <w:sz w:val="24"/>
                <w:lang w:val="en-US" w:eastAsia="zh-CN"/>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C83B">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其中：</w:t>
            </w:r>
          </w:p>
          <w:p w14:paraId="147392E5">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财政拨款</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1BAE">
            <w:pPr>
              <w:widowControl/>
              <w:spacing w:line="320" w:lineRule="exact"/>
              <w:jc w:val="left"/>
              <w:textAlignment w:val="center"/>
              <w:rPr>
                <w:rFonts w:hint="default" w:ascii="宋体" w:hAnsi="宋体" w:eastAsia="仿宋_GB2312" w:cs="宋体"/>
                <w:sz w:val="24"/>
                <w:lang w:val="en-US" w:eastAsia="zh-CN"/>
              </w:rPr>
            </w:pPr>
            <w:r>
              <w:rPr>
                <w:rFonts w:hint="eastAsia" w:ascii="宋体" w:hAnsi="宋体" w:cs="宋体"/>
                <w:sz w:val="24"/>
                <w:lang w:val="en-US" w:eastAsia="zh-CN"/>
              </w:rPr>
              <w:t>3</w:t>
            </w:r>
          </w:p>
        </w:tc>
      </w:tr>
      <w:tr w14:paraId="79E6452D">
        <w:tblPrEx>
          <w:tblCellMar>
            <w:top w:w="0" w:type="dxa"/>
            <w:left w:w="108" w:type="dxa"/>
            <w:bottom w:w="0" w:type="dxa"/>
            <w:right w:w="108" w:type="dxa"/>
          </w:tblCellMar>
        </w:tblPrEx>
        <w:trPr>
          <w:gridAfter w:val="1"/>
          <w:wAfter w:w="239" w:type="dxa"/>
          <w:trHeight w:val="374" w:hRule="atLeast"/>
        </w:trPr>
        <w:tc>
          <w:tcPr>
            <w:tcW w:w="315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8FB40">
            <w:pPr>
              <w:spacing w:line="320" w:lineRule="exact"/>
              <w:jc w:val="left"/>
              <w:rPr>
                <w:rFonts w:ascii="宋体" w:hAnsi="宋体" w:cs="宋体"/>
                <w:sz w:val="24"/>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BB52">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131A">
            <w:pPr>
              <w:widowControl/>
              <w:spacing w:line="320" w:lineRule="exact"/>
              <w:jc w:val="left"/>
              <w:textAlignment w:val="center"/>
              <w:rPr>
                <w:rFonts w:ascii="宋体" w:hAnsi="宋体" w:cs="宋体"/>
                <w:sz w:val="24"/>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2336">
            <w:pPr>
              <w:widowControl/>
              <w:spacing w:line="320" w:lineRule="exact"/>
              <w:ind w:left="0" w:leftChars="0" w:firstLine="0" w:firstLineChars="0"/>
              <w:jc w:val="left"/>
              <w:textAlignment w:val="center"/>
              <w:rPr>
                <w:rFonts w:ascii="宋体" w:hAnsi="宋体" w:cs="宋体"/>
                <w:sz w:val="24"/>
              </w:rPr>
            </w:pPr>
            <w:r>
              <w:rPr>
                <w:rFonts w:hint="eastAsia" w:ascii="宋体" w:hAnsi="宋体" w:cs="宋体"/>
                <w:kern w:val="0"/>
                <w:sz w:val="24"/>
                <w:lang w:bidi="ar"/>
              </w:rPr>
              <w:t>其他资金</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6EC0A">
            <w:pPr>
              <w:widowControl/>
              <w:spacing w:line="320" w:lineRule="exact"/>
              <w:jc w:val="left"/>
              <w:textAlignment w:val="center"/>
              <w:rPr>
                <w:rFonts w:ascii="宋体" w:hAnsi="宋体" w:cs="宋体"/>
                <w:sz w:val="24"/>
              </w:rPr>
            </w:pPr>
          </w:p>
        </w:tc>
      </w:tr>
      <w:tr w14:paraId="01099322">
        <w:tblPrEx>
          <w:tblCellMar>
            <w:top w:w="0" w:type="dxa"/>
            <w:left w:w="108" w:type="dxa"/>
            <w:bottom w:w="0" w:type="dxa"/>
            <w:right w:w="108" w:type="dxa"/>
          </w:tblCellMar>
        </w:tblPrEx>
        <w:trPr>
          <w:gridAfter w:val="1"/>
          <w:wAfter w:w="239" w:type="dxa"/>
          <w:trHeight w:val="352" w:hRule="atLeast"/>
        </w:trPr>
        <w:tc>
          <w:tcPr>
            <w:tcW w:w="20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E5708">
            <w:pPr>
              <w:widowControl/>
              <w:spacing w:line="320" w:lineRule="exact"/>
              <w:ind w:left="0" w:leftChars="0" w:firstLine="0" w:firstLineChars="0"/>
              <w:jc w:val="left"/>
              <w:textAlignment w:val="center"/>
              <w:rPr>
                <w:rFonts w:ascii="宋体" w:hAnsi="宋体" w:cs="宋体"/>
                <w:kern w:val="0"/>
                <w:sz w:val="24"/>
                <w:lang w:bidi="ar"/>
              </w:rPr>
            </w:pPr>
            <w:r>
              <w:rPr>
                <w:rFonts w:hint="eastAsia" w:ascii="宋体" w:hAnsi="宋体" w:cs="宋体"/>
                <w:kern w:val="0"/>
                <w:sz w:val="24"/>
                <w:lang w:bidi="ar"/>
              </w:rPr>
              <w:t>年度总体目标</w:t>
            </w:r>
          </w:p>
          <w:p w14:paraId="0DE1F927">
            <w:pPr>
              <w:widowControl/>
              <w:spacing w:line="320" w:lineRule="exact"/>
              <w:jc w:val="left"/>
              <w:textAlignment w:val="center"/>
              <w:rPr>
                <w:rFonts w:ascii="宋体" w:hAnsi="宋体" w:cs="宋体"/>
                <w:sz w:val="24"/>
              </w:rPr>
            </w:pPr>
            <w:r>
              <w:rPr>
                <w:rFonts w:hint="eastAsia" w:ascii="宋体" w:hAnsi="宋体" w:cs="宋体"/>
                <w:kern w:val="0"/>
                <w:sz w:val="24"/>
                <w:lang w:bidi="ar"/>
              </w:rPr>
              <w:t>完成情况</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C6C6B">
            <w:pPr>
              <w:widowControl/>
              <w:spacing w:line="320" w:lineRule="exact"/>
              <w:jc w:val="left"/>
              <w:textAlignment w:val="center"/>
              <w:rPr>
                <w:rFonts w:ascii="宋体" w:hAnsi="宋体" w:cs="宋体"/>
                <w:sz w:val="24"/>
              </w:rPr>
            </w:pPr>
            <w:r>
              <w:rPr>
                <w:rFonts w:hint="eastAsia" w:ascii="宋体" w:hAnsi="宋体" w:cs="宋体"/>
                <w:kern w:val="0"/>
                <w:sz w:val="24"/>
                <w:lang w:bidi="ar"/>
              </w:rPr>
              <w:t>预期目标</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4ED69D">
            <w:pPr>
              <w:widowControl/>
              <w:spacing w:line="320" w:lineRule="exact"/>
              <w:jc w:val="left"/>
              <w:textAlignment w:val="center"/>
              <w:rPr>
                <w:rFonts w:ascii="宋体" w:hAnsi="宋体" w:cs="宋体"/>
                <w:sz w:val="24"/>
              </w:rPr>
            </w:pPr>
            <w:r>
              <w:rPr>
                <w:rFonts w:hint="eastAsia" w:ascii="宋体" w:hAnsi="宋体" w:cs="宋体"/>
                <w:kern w:val="0"/>
                <w:sz w:val="24"/>
                <w:lang w:bidi="ar"/>
              </w:rPr>
              <w:t>目标实际完成情况</w:t>
            </w:r>
          </w:p>
        </w:tc>
      </w:tr>
      <w:tr w14:paraId="591066F9">
        <w:tblPrEx>
          <w:tblCellMar>
            <w:top w:w="0" w:type="dxa"/>
            <w:left w:w="108" w:type="dxa"/>
            <w:bottom w:w="0" w:type="dxa"/>
            <w:right w:w="108" w:type="dxa"/>
          </w:tblCellMar>
        </w:tblPrEx>
        <w:trPr>
          <w:gridAfter w:val="1"/>
          <w:wAfter w:w="239" w:type="dxa"/>
          <w:trHeight w:val="862" w:hRule="atLeast"/>
        </w:trPr>
        <w:tc>
          <w:tcPr>
            <w:tcW w:w="20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7838A">
            <w:pPr>
              <w:spacing w:line="320" w:lineRule="exact"/>
              <w:jc w:val="left"/>
              <w:rPr>
                <w:rFonts w:ascii="宋体" w:hAnsi="宋体" w:cs="宋体"/>
                <w:sz w:val="24"/>
              </w:rPr>
            </w:pP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Pr>
          <w:p w14:paraId="728D2FDB">
            <w:pPr>
              <w:widowControl/>
              <w:spacing w:line="320" w:lineRule="exact"/>
              <w:ind w:left="0" w:leftChars="0" w:firstLine="0" w:firstLineChars="0"/>
              <w:jc w:val="left"/>
              <w:textAlignment w:val="top"/>
              <w:rPr>
                <w:rFonts w:ascii="宋体" w:hAnsi="宋体" w:cs="宋体"/>
                <w:sz w:val="24"/>
              </w:rPr>
            </w:pPr>
            <w:r>
              <w:rPr>
                <w:rFonts w:hint="eastAsia" w:ascii="宋体" w:hAnsi="宋体" w:cs="宋体"/>
                <w:sz w:val="24"/>
              </w:rPr>
              <w:t xml:space="preserve">开展党务培训，提升党务干部工作能力 规范党建资料装档；发展培养入党积极分子、预备党员                       </w:t>
            </w:r>
          </w:p>
        </w:tc>
        <w:tc>
          <w:tcPr>
            <w:tcW w:w="3681" w:type="dxa"/>
            <w:gridSpan w:val="2"/>
            <w:tcBorders>
              <w:top w:val="single" w:color="000000" w:sz="4" w:space="0"/>
              <w:left w:val="single" w:color="000000" w:sz="4" w:space="0"/>
              <w:bottom w:val="single" w:color="000000" w:sz="4" w:space="0"/>
              <w:right w:val="single" w:color="000000" w:sz="4" w:space="0"/>
            </w:tcBorders>
            <w:shd w:val="clear" w:color="auto" w:fill="auto"/>
          </w:tcPr>
          <w:p w14:paraId="71B57582">
            <w:pPr>
              <w:widowControl/>
              <w:spacing w:line="320" w:lineRule="exact"/>
              <w:ind w:left="0" w:leftChars="0" w:firstLine="0" w:firstLineChars="0"/>
              <w:jc w:val="left"/>
              <w:textAlignment w:val="top"/>
              <w:rPr>
                <w:rFonts w:ascii="宋体" w:hAnsi="宋体" w:cs="宋体"/>
                <w:sz w:val="24"/>
              </w:rPr>
            </w:pPr>
            <w:r>
              <w:rPr>
                <w:rFonts w:hint="eastAsia" w:ascii="宋体" w:hAnsi="宋体" w:cs="宋体"/>
                <w:sz w:val="24"/>
              </w:rPr>
              <w:t xml:space="preserve">开展党务培训，提升党务干部工作能力 规范党建资料装档；发展培养入党积极分子、预备党员     </w:t>
            </w:r>
          </w:p>
        </w:tc>
      </w:tr>
      <w:tr w14:paraId="08AA9F4F">
        <w:tblPrEx>
          <w:tblCellMar>
            <w:top w:w="0" w:type="dxa"/>
            <w:left w:w="108" w:type="dxa"/>
            <w:bottom w:w="0" w:type="dxa"/>
            <w:right w:w="108" w:type="dxa"/>
          </w:tblCellMar>
        </w:tblPrEx>
        <w:trPr>
          <w:gridAfter w:val="1"/>
          <w:wAfter w:w="239" w:type="dxa"/>
          <w:trHeight w:val="751" w:hRule="atLeast"/>
        </w:trPr>
        <w:tc>
          <w:tcPr>
            <w:tcW w:w="2001" w:type="dxa"/>
            <w:vMerge w:val="restart"/>
            <w:tcBorders>
              <w:top w:val="single" w:color="000000" w:sz="4" w:space="0"/>
              <w:left w:val="single" w:color="000000" w:sz="4" w:space="0"/>
              <w:right w:val="single" w:color="000000" w:sz="4" w:space="0"/>
            </w:tcBorders>
            <w:shd w:val="clear" w:color="auto" w:fill="auto"/>
            <w:vAlign w:val="center"/>
          </w:tcPr>
          <w:p w14:paraId="33A004BD">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年度绩效指标完成情况</w:t>
            </w:r>
          </w:p>
        </w:tc>
        <w:tc>
          <w:tcPr>
            <w:tcW w:w="1157" w:type="dxa"/>
            <w:tcBorders>
              <w:top w:val="single" w:color="000000" w:sz="4" w:space="0"/>
              <w:left w:val="nil"/>
              <w:bottom w:val="single" w:color="000000" w:sz="4" w:space="0"/>
              <w:right w:val="single" w:color="000000" w:sz="4" w:space="0"/>
            </w:tcBorders>
            <w:shd w:val="clear" w:color="auto" w:fill="auto"/>
            <w:vAlign w:val="center"/>
          </w:tcPr>
          <w:p w14:paraId="72A88DD3">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一级</w:t>
            </w:r>
          </w:p>
          <w:p w14:paraId="717301B6">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ABFB">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二级</w:t>
            </w:r>
          </w:p>
          <w:p w14:paraId="2029287A">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41A0">
            <w:pPr>
              <w:widowControl/>
              <w:spacing w:line="320" w:lineRule="exact"/>
              <w:ind w:left="0" w:leftChars="0" w:firstLine="0" w:firstLineChars="0"/>
              <w:jc w:val="left"/>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三级</w:t>
            </w:r>
          </w:p>
          <w:p w14:paraId="6FEA7D7B">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CB6B6">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预期指标值</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96A5">
            <w:pPr>
              <w:widowControl/>
              <w:spacing w:line="320" w:lineRule="exact"/>
              <w:ind w:left="0" w:leftChars="0" w:firstLine="0" w:firstLineChars="0"/>
              <w:jc w:val="left"/>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实际完成指标值</w:t>
            </w:r>
          </w:p>
        </w:tc>
      </w:tr>
      <w:tr w14:paraId="26DF64D4">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0601CBAC">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BE189">
            <w:pPr>
              <w:widowControl/>
              <w:spacing w:line="320" w:lineRule="exact"/>
              <w:ind w:left="0" w:leftChars="0" w:firstLine="0" w:firstLineChars="0"/>
              <w:jc w:val="left"/>
              <w:textAlignment w:val="bottom"/>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完成</w:t>
            </w:r>
          </w:p>
          <w:p w14:paraId="1B3D616F">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2628A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数量指标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E44E7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党建宣传</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077E9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展板、标识标牌≥10个</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8610F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展板、标识标牌≥10个</w:t>
            </w:r>
          </w:p>
        </w:tc>
      </w:tr>
      <w:tr w14:paraId="0993D66F">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2DBDA941">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3F3F8D3">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2B3B6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质量指标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DBDB2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党务干事培训合格率</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1FE1C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66E2B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100%</w:t>
            </w:r>
          </w:p>
        </w:tc>
      </w:tr>
      <w:tr w14:paraId="1116DB69">
        <w:tblPrEx>
          <w:tblCellMar>
            <w:top w:w="0" w:type="dxa"/>
            <w:left w:w="108" w:type="dxa"/>
            <w:bottom w:w="0" w:type="dxa"/>
            <w:right w:w="108" w:type="dxa"/>
          </w:tblCellMar>
        </w:tblPrEx>
        <w:trPr>
          <w:gridAfter w:val="1"/>
          <w:wAfter w:w="239" w:type="dxa"/>
          <w:trHeight w:val="454" w:hRule="atLeast"/>
        </w:trPr>
        <w:tc>
          <w:tcPr>
            <w:tcW w:w="2001" w:type="dxa"/>
            <w:vMerge w:val="continue"/>
            <w:tcBorders>
              <w:left w:val="single" w:color="000000" w:sz="4" w:space="0"/>
              <w:right w:val="single" w:color="000000" w:sz="4" w:space="0"/>
            </w:tcBorders>
            <w:shd w:val="clear" w:color="auto" w:fill="auto"/>
            <w:vAlign w:val="center"/>
          </w:tcPr>
          <w:p w14:paraId="3F13CE20">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6C7299FE">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0470B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时效指标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EA73DB">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7EF39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55096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cs="仿宋_GB2312"/>
                <w:sz w:val="22"/>
                <w:szCs w:val="22"/>
                <w:lang w:val="en-US" w:eastAsia="zh-CN"/>
              </w:rPr>
              <w:t>2024年底完成</w:t>
            </w:r>
          </w:p>
        </w:tc>
      </w:tr>
      <w:tr w14:paraId="60A13D90">
        <w:tblPrEx>
          <w:tblCellMar>
            <w:top w:w="0" w:type="dxa"/>
            <w:left w:w="108" w:type="dxa"/>
            <w:bottom w:w="0" w:type="dxa"/>
            <w:right w:w="108" w:type="dxa"/>
          </w:tblCellMar>
        </w:tblPrEx>
        <w:trPr>
          <w:gridAfter w:val="1"/>
          <w:wAfter w:w="239" w:type="dxa"/>
          <w:trHeight w:val="523" w:hRule="atLeast"/>
        </w:trPr>
        <w:tc>
          <w:tcPr>
            <w:tcW w:w="2001" w:type="dxa"/>
            <w:vMerge w:val="continue"/>
            <w:tcBorders>
              <w:left w:val="single" w:color="000000" w:sz="4" w:space="0"/>
              <w:right w:val="single" w:color="000000" w:sz="4" w:space="0"/>
            </w:tcBorders>
            <w:shd w:val="clear" w:color="auto" w:fill="auto"/>
            <w:vAlign w:val="center"/>
          </w:tcPr>
          <w:p w14:paraId="4181EDFC">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BDD09AA">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16CE05">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成本指标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2904E1">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严控成本支出</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05B61F">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3</w:t>
            </w:r>
            <w:r>
              <w:rPr>
                <w:rFonts w:hint="eastAsia" w:ascii="仿宋_GB2312" w:hAnsi="仿宋_GB2312" w:eastAsia="仿宋_GB2312" w:cs="仿宋_GB2312"/>
                <w:sz w:val="22"/>
                <w:szCs w:val="22"/>
              </w:rPr>
              <w:t>万元</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8CE79A">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w:t>
            </w:r>
            <w:r>
              <w:rPr>
                <w:rFonts w:hint="eastAsia" w:ascii="仿宋_GB2312" w:hAnsi="仿宋_GB2312" w:cs="仿宋_GB2312"/>
                <w:sz w:val="22"/>
                <w:szCs w:val="22"/>
                <w:lang w:val="en-US" w:eastAsia="zh-CN"/>
              </w:rPr>
              <w:t>3</w:t>
            </w:r>
            <w:r>
              <w:rPr>
                <w:rFonts w:hint="eastAsia" w:ascii="仿宋_GB2312" w:hAnsi="仿宋_GB2312" w:eastAsia="仿宋_GB2312" w:cs="仿宋_GB2312"/>
                <w:sz w:val="22"/>
                <w:szCs w:val="22"/>
              </w:rPr>
              <w:t>万元</w:t>
            </w:r>
          </w:p>
        </w:tc>
      </w:tr>
      <w:tr w14:paraId="371EDC4D">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5E9580E8">
            <w:pPr>
              <w:spacing w:line="320" w:lineRule="exact"/>
              <w:jc w:val="left"/>
              <w:rPr>
                <w:rFonts w:ascii="仿宋_GB2312" w:hAnsi="仿宋_GB2312" w:eastAsia="仿宋_GB2312" w:cs="仿宋_GB2312"/>
                <w:sz w:val="28"/>
                <w:szCs w:val="28"/>
              </w:rPr>
            </w:pP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4EDF0">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效益</w:t>
            </w:r>
          </w:p>
          <w:p w14:paraId="034AF3B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71A0E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经济效益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666A0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FABEA1">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AA33F4">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20B2F017">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62ADAC92">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27A2E9D7">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D8A66A">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社会效益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12910A">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提升党员干部政治素质</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267EA6">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E65BA3">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r w14:paraId="5373C415">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165E0726">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6733CDC">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2DB84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生态效益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639258">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8A590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18EEE9">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p>
        </w:tc>
      </w:tr>
      <w:tr w14:paraId="316AA15F">
        <w:tblPrEx>
          <w:tblCellMar>
            <w:top w:w="0" w:type="dxa"/>
            <w:left w:w="108" w:type="dxa"/>
            <w:bottom w:w="0" w:type="dxa"/>
            <w:right w:w="108" w:type="dxa"/>
          </w:tblCellMar>
        </w:tblPrEx>
        <w:trPr>
          <w:gridAfter w:val="1"/>
          <w:wAfter w:w="239" w:type="dxa"/>
          <w:trHeight w:val="694" w:hRule="atLeast"/>
        </w:trPr>
        <w:tc>
          <w:tcPr>
            <w:tcW w:w="2001" w:type="dxa"/>
            <w:vMerge w:val="continue"/>
            <w:tcBorders>
              <w:left w:val="single" w:color="000000" w:sz="4" w:space="0"/>
              <w:right w:val="single" w:color="000000" w:sz="4" w:space="0"/>
            </w:tcBorders>
            <w:shd w:val="clear" w:color="auto" w:fill="auto"/>
            <w:vAlign w:val="center"/>
          </w:tcPr>
          <w:p w14:paraId="1A9C9A0F">
            <w:pPr>
              <w:spacing w:line="320" w:lineRule="exact"/>
              <w:jc w:val="left"/>
              <w:rPr>
                <w:rFonts w:ascii="仿宋_GB2312" w:hAnsi="仿宋_GB2312" w:eastAsia="仿宋_GB2312" w:cs="仿宋_GB2312"/>
                <w:sz w:val="28"/>
                <w:szCs w:val="28"/>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4ABDE58D">
            <w:pPr>
              <w:spacing w:line="320" w:lineRule="exact"/>
              <w:jc w:val="left"/>
              <w:rPr>
                <w:rFonts w:ascii="仿宋_GB2312" w:hAnsi="仿宋_GB2312" w:eastAsia="仿宋_GB2312" w:cs="仿宋_GB2312"/>
                <w:sz w:val="28"/>
                <w:szCs w:val="28"/>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47B0A1">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可持续影响 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5DC8DD">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加强对群众的意识形态宣传工作</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A52E77">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2F7C00">
            <w:pPr>
              <w:widowControl/>
              <w:spacing w:line="320" w:lineRule="exact"/>
              <w:ind w:left="0" w:leftChars="0" w:firstLine="0" w:firstLineChars="0"/>
              <w:jc w:val="both"/>
              <w:textAlignment w:val="bottom"/>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≥95%</w:t>
            </w:r>
          </w:p>
        </w:tc>
      </w:tr>
      <w:tr w14:paraId="6C5E618D">
        <w:tblPrEx>
          <w:tblCellMar>
            <w:top w:w="0" w:type="dxa"/>
            <w:left w:w="108" w:type="dxa"/>
            <w:bottom w:w="0" w:type="dxa"/>
            <w:right w:w="108" w:type="dxa"/>
          </w:tblCellMar>
        </w:tblPrEx>
        <w:trPr>
          <w:gridAfter w:val="1"/>
          <w:wAfter w:w="239" w:type="dxa"/>
          <w:trHeight w:val="705" w:hRule="atLeast"/>
        </w:trPr>
        <w:tc>
          <w:tcPr>
            <w:tcW w:w="2001" w:type="dxa"/>
            <w:vMerge w:val="continue"/>
            <w:tcBorders>
              <w:left w:val="single" w:color="000000" w:sz="4" w:space="0"/>
              <w:bottom w:val="single" w:color="000000" w:sz="4" w:space="0"/>
              <w:right w:val="single" w:color="000000" w:sz="4" w:space="0"/>
            </w:tcBorders>
            <w:shd w:val="clear" w:color="auto" w:fill="auto"/>
            <w:vAlign w:val="center"/>
          </w:tcPr>
          <w:p w14:paraId="40863261">
            <w:pPr>
              <w:spacing w:line="320" w:lineRule="exact"/>
              <w:jc w:val="left"/>
              <w:rPr>
                <w:rFonts w:ascii="仿宋_GB2312" w:hAnsi="仿宋_GB2312" w:eastAsia="仿宋_GB2312" w:cs="仿宋_GB2312"/>
                <w:sz w:val="28"/>
                <w:szCs w:val="28"/>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E98FDD">
            <w:pPr>
              <w:widowControl/>
              <w:spacing w:line="320" w:lineRule="exact"/>
              <w:ind w:left="0" w:leftChars="0" w:firstLine="0" w:firstLineChars="0"/>
              <w:jc w:val="left"/>
              <w:textAlignment w:val="bottom"/>
              <w:rPr>
                <w:rFonts w:hint="eastAsia" w:ascii="仿宋_GB2312" w:hAnsi="仿宋_GB2312" w:eastAsia="仿宋_GB2312" w:cs="仿宋_GB2312"/>
                <w:kern w:val="0"/>
                <w:sz w:val="28"/>
                <w:szCs w:val="28"/>
                <w:lang w:eastAsia="zh-CN" w:bidi="ar"/>
              </w:rPr>
            </w:pPr>
            <w:r>
              <w:rPr>
                <w:rFonts w:hint="eastAsia" w:ascii="仿宋_GB2312" w:hAnsi="仿宋_GB2312" w:eastAsia="仿宋_GB2312" w:cs="仿宋_GB2312"/>
                <w:kern w:val="0"/>
                <w:sz w:val="28"/>
                <w:szCs w:val="28"/>
                <w:lang w:bidi="ar"/>
              </w:rPr>
              <w:t>满意</w:t>
            </w:r>
          </w:p>
          <w:p w14:paraId="40C2EF29">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度指标</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30D497">
            <w:pPr>
              <w:widowControl/>
              <w:spacing w:line="320" w:lineRule="exact"/>
              <w:ind w:left="0" w:leftChars="0" w:firstLine="0" w:firstLineChars="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lang w:bidi="ar"/>
              </w:rPr>
              <w:t>满意度指标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2B3ED2">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群众满意度</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DBDFAD">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≥99%</w:t>
            </w:r>
          </w:p>
        </w:tc>
        <w:tc>
          <w:tcPr>
            <w:tcW w:w="244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FA88AA">
            <w:pPr>
              <w:widowControl/>
              <w:spacing w:line="320" w:lineRule="exact"/>
              <w:ind w:left="0" w:leftChars="0" w:firstLine="0" w:firstLineChars="0"/>
              <w:jc w:val="both"/>
              <w:textAlignment w:val="bottom"/>
              <w:rPr>
                <w:rFonts w:hint="eastAsia" w:ascii="仿宋_GB2312" w:hAnsi="仿宋_GB2312" w:eastAsia="仿宋_GB2312" w:cs="仿宋_GB2312"/>
                <w:kern w:val="2"/>
                <w:sz w:val="22"/>
                <w:szCs w:val="22"/>
                <w:lang w:val="en-US" w:eastAsia="zh-CN" w:bidi="ar-SA"/>
              </w:rPr>
            </w:pPr>
            <w:r>
              <w:rPr>
                <w:rFonts w:hint="eastAsia" w:ascii="仿宋_GB2312" w:hAnsi="仿宋_GB2312" w:eastAsia="仿宋_GB2312" w:cs="仿宋_GB2312"/>
                <w:sz w:val="22"/>
                <w:szCs w:val="22"/>
              </w:rPr>
              <w:t>≥99%</w:t>
            </w:r>
          </w:p>
        </w:tc>
      </w:tr>
    </w:tbl>
    <w:p w14:paraId="1990032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41C4A267">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仿宋"/>
          <w:b w:val="0"/>
          <w:color w:val="auto"/>
          <w:highlight w:val="none"/>
        </w:rPr>
      </w:pPr>
      <w:bookmarkStart w:id="78"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76"/>
      <w:bookmarkEnd w:id="78"/>
      <w:bookmarkStart w:id="79" w:name="_Toc15396619"/>
    </w:p>
    <w:p w14:paraId="2B5DB76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8C93CD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9"/>
    </w:p>
    <w:p w14:paraId="13C042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0"/>
      <w:r>
        <w:rPr>
          <w:rFonts w:hint="eastAsia" w:ascii="Times New Roman" w:hAnsi="Times New Roman" w:eastAsia="仿宋_GB2312" w:cs="仿宋_GB2312"/>
          <w:color w:val="auto"/>
          <w:sz w:val="32"/>
          <w:szCs w:val="32"/>
          <w:highlight w:val="none"/>
        </w:rPr>
        <w:t>二、收入决算表</w:t>
      </w:r>
      <w:bookmarkEnd w:id="80"/>
    </w:p>
    <w:p w14:paraId="6E76655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1"/>
      <w:r>
        <w:rPr>
          <w:rFonts w:hint="eastAsia" w:ascii="Times New Roman" w:hAnsi="Times New Roman" w:eastAsia="仿宋_GB2312" w:cs="仿宋_GB2312"/>
          <w:color w:val="auto"/>
          <w:sz w:val="32"/>
          <w:szCs w:val="32"/>
          <w:highlight w:val="none"/>
        </w:rPr>
        <w:t>三、支出决算表</w:t>
      </w:r>
      <w:bookmarkEnd w:id="81"/>
    </w:p>
    <w:p w14:paraId="7665AE0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2"/>
      <w:r>
        <w:rPr>
          <w:rFonts w:hint="eastAsia" w:ascii="Times New Roman" w:hAnsi="Times New Roman" w:eastAsia="仿宋_GB2312" w:cs="仿宋_GB2312"/>
          <w:color w:val="auto"/>
          <w:sz w:val="32"/>
          <w:szCs w:val="32"/>
          <w:highlight w:val="none"/>
        </w:rPr>
        <w:t>四、财政拨款收入支出决算总表</w:t>
      </w:r>
      <w:bookmarkEnd w:id="82"/>
    </w:p>
    <w:p w14:paraId="21776FF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3"/>
      <w:r>
        <w:rPr>
          <w:rFonts w:hint="eastAsia" w:ascii="Times New Roman" w:hAnsi="Times New Roman" w:eastAsia="仿宋_GB2312" w:cs="仿宋_GB2312"/>
          <w:color w:val="auto"/>
          <w:sz w:val="32"/>
          <w:szCs w:val="32"/>
          <w:highlight w:val="none"/>
        </w:rPr>
        <w:t>五、财政拨款支出决算明细表</w:t>
      </w:r>
      <w:bookmarkEnd w:id="83"/>
      <w:bookmarkStart w:id="84" w:name="_Toc15396624"/>
    </w:p>
    <w:p w14:paraId="04CBE71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4"/>
    </w:p>
    <w:p w14:paraId="5AC9A08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5"/>
      <w:r>
        <w:rPr>
          <w:rFonts w:hint="eastAsia" w:ascii="Times New Roman" w:hAnsi="Times New Roman" w:eastAsia="仿宋_GB2312" w:cs="仿宋_GB2312"/>
          <w:color w:val="auto"/>
          <w:sz w:val="32"/>
          <w:szCs w:val="32"/>
          <w:highlight w:val="none"/>
        </w:rPr>
        <w:t>七、一般公共预算财政拨款支出决算明细表</w:t>
      </w:r>
      <w:bookmarkEnd w:id="85"/>
    </w:p>
    <w:p w14:paraId="342643D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6"/>
      <w:r>
        <w:rPr>
          <w:rFonts w:hint="eastAsia" w:ascii="Times New Roman" w:hAnsi="Times New Roman" w:eastAsia="仿宋_GB2312" w:cs="仿宋_GB2312"/>
          <w:color w:val="auto"/>
          <w:sz w:val="32"/>
          <w:szCs w:val="32"/>
          <w:highlight w:val="none"/>
        </w:rPr>
        <w:t>八、一般公共预算财政拨款基本支出决算表</w:t>
      </w:r>
      <w:bookmarkEnd w:id="86"/>
    </w:p>
    <w:p w14:paraId="0DB51D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7"/>
      <w:r>
        <w:rPr>
          <w:rFonts w:hint="eastAsia" w:ascii="Times New Roman" w:hAnsi="Times New Roman" w:eastAsia="仿宋_GB2312" w:cs="仿宋_GB2312"/>
          <w:color w:val="auto"/>
          <w:sz w:val="32"/>
          <w:szCs w:val="32"/>
          <w:highlight w:val="none"/>
        </w:rPr>
        <w:t>九、一般公共预算财政拨款项目支出决算表</w:t>
      </w:r>
      <w:bookmarkEnd w:id="87"/>
    </w:p>
    <w:p w14:paraId="10815CB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8"/>
      <w:r>
        <w:rPr>
          <w:rFonts w:hint="eastAsia" w:ascii="Times New Roman" w:hAnsi="Times New Roman" w:eastAsia="仿宋_GB2312" w:cs="仿宋_GB2312"/>
          <w:color w:val="auto"/>
          <w:sz w:val="32"/>
          <w:szCs w:val="32"/>
          <w:highlight w:val="none"/>
        </w:rPr>
        <w:t>十、</w:t>
      </w:r>
      <w:bookmarkEnd w:id="88"/>
      <w:r>
        <w:rPr>
          <w:rFonts w:hint="eastAsia" w:ascii="Times New Roman" w:hAnsi="Times New Roman" w:eastAsia="仿宋_GB2312" w:cs="仿宋_GB2312"/>
          <w:color w:val="auto"/>
          <w:sz w:val="32"/>
          <w:szCs w:val="32"/>
          <w:highlight w:val="none"/>
        </w:rPr>
        <w:t>政府性基金预算财政拨款收入支出决算表</w:t>
      </w:r>
    </w:p>
    <w:p w14:paraId="5337DF4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9"/>
      <w:r>
        <w:rPr>
          <w:rFonts w:hint="eastAsia" w:ascii="Times New Roman" w:hAnsi="Times New Roman" w:eastAsia="仿宋_GB2312" w:cs="仿宋_GB2312"/>
          <w:color w:val="auto"/>
          <w:sz w:val="32"/>
          <w:szCs w:val="32"/>
          <w:highlight w:val="none"/>
        </w:rPr>
        <w:t>十一、</w:t>
      </w:r>
      <w:bookmarkEnd w:id="8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720E1E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30"/>
      <w:r>
        <w:rPr>
          <w:rFonts w:hint="eastAsia" w:ascii="Times New Roman" w:hAnsi="Times New Roman" w:eastAsia="仿宋_GB2312" w:cs="仿宋_GB2312"/>
          <w:color w:val="auto"/>
          <w:sz w:val="32"/>
          <w:szCs w:val="32"/>
          <w:highlight w:val="none"/>
        </w:rPr>
        <w:t>十二、</w:t>
      </w:r>
      <w:bookmarkEnd w:id="90"/>
      <w:r>
        <w:rPr>
          <w:rFonts w:hint="eastAsia" w:ascii="Times New Roman" w:hAnsi="Times New Roman" w:eastAsia="仿宋_GB2312" w:cs="仿宋_GB2312"/>
          <w:color w:val="auto"/>
          <w:sz w:val="32"/>
          <w:szCs w:val="32"/>
          <w:highlight w:val="none"/>
          <w:lang w:eastAsia="zh-CN"/>
        </w:rPr>
        <w:t>国有资本经营预算财政拨款支出决算表</w:t>
      </w:r>
    </w:p>
    <w:p w14:paraId="4B705AF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1" w:name="_Toc15396631"/>
      <w:r>
        <w:rPr>
          <w:rFonts w:hint="eastAsia" w:ascii="Times New Roman" w:hAnsi="Times New Roman" w:eastAsia="仿宋_GB2312" w:cs="仿宋_GB2312"/>
          <w:color w:val="auto"/>
          <w:sz w:val="32"/>
          <w:szCs w:val="32"/>
          <w:highlight w:val="none"/>
        </w:rPr>
        <w:t>十三、</w:t>
      </w:r>
      <w:bookmarkEnd w:id="91"/>
      <w:r>
        <w:rPr>
          <w:rFonts w:hint="eastAsia" w:ascii="Times New Roman" w:hAnsi="Times New Roman" w:eastAsia="仿宋_GB2312" w:cs="仿宋_GB2312"/>
          <w:color w:val="auto"/>
          <w:sz w:val="32"/>
          <w:szCs w:val="32"/>
          <w:highlight w:val="none"/>
          <w:lang w:eastAsia="zh-CN"/>
        </w:rPr>
        <w:t>财政拨款“三公”经费支出决算表</w:t>
      </w:r>
    </w:p>
    <w:p w14:paraId="3B0EBEB5">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A5B01">
    <w:pPr>
      <w:pStyle w:val="10"/>
      <w:jc w:val="center"/>
    </w:pPr>
  </w:p>
  <w:p w14:paraId="782D57B6">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0D8B3">
    <w:pPr>
      <w:pStyle w:val="10"/>
      <w:jc w:val="center"/>
    </w:pPr>
  </w:p>
  <w:p w14:paraId="04765EFD">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F0E3E">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54008">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C98449">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8C98449">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2073ECE8">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A8074">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9BCD6">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B89BCD6">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7266F">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37717B"/>
    <w:multiLevelType w:val="singleLevel"/>
    <w:tmpl w:val="0E37717B"/>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2">
    <w:nsid w:val="77391787"/>
    <w:multiLevelType w:val="singleLevel"/>
    <w:tmpl w:val="77391787"/>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1ZTRlYjFiODYxYmE1YWM4ZDQxYTA0N2RlYmQ2Nj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67D2960"/>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1900B28"/>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5F2958"/>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655274"/>
    <w:rsid w:val="3CEBA265"/>
    <w:rsid w:val="3D98207C"/>
    <w:rsid w:val="3DEE7CF3"/>
    <w:rsid w:val="3E740A63"/>
    <w:rsid w:val="3E78745D"/>
    <w:rsid w:val="3EE17838"/>
    <w:rsid w:val="3F55381A"/>
    <w:rsid w:val="3F7F7599"/>
    <w:rsid w:val="3FF4CAE0"/>
    <w:rsid w:val="3FF7B227"/>
    <w:rsid w:val="44E268DA"/>
    <w:rsid w:val="450D13D7"/>
    <w:rsid w:val="45506656"/>
    <w:rsid w:val="486A6C7A"/>
    <w:rsid w:val="497F0713"/>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2F0628"/>
    <w:rsid w:val="57BD3DD4"/>
    <w:rsid w:val="5A3452A1"/>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1904542"/>
    <w:rsid w:val="62BF3928"/>
    <w:rsid w:val="63B3701E"/>
    <w:rsid w:val="647F5392"/>
    <w:rsid w:val="65E66580"/>
    <w:rsid w:val="66065FEE"/>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E70E29"/>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109306628103965"/>
          <c:y val="0.116012436844151"/>
          <c:w val="0.857235508715039"/>
          <c:h val="0.676136805285659"/>
        </c:manualLayout>
      </c:layout>
      <c:barChart>
        <c:barDir val="col"/>
        <c:grouping val="clustered"/>
        <c:varyColors val="0"/>
        <c:ser>
          <c:idx val="0"/>
          <c:order val="0"/>
          <c:tx>
            <c:strRef>
              <c:f>Sheet1!$B$1</c:f>
              <c:strCache>
                <c:ptCount val="1"/>
                <c:pt idx="0">
                  <c:v>一般公共预算财政拨款支出决算变动情况</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1862.05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c:v>
                </c:pt>
                <c:pt idx="1">
                  <c:v>2023年</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1862.05</c:v>
                </c:pt>
                <c:pt idx="1">
                  <c:v>1639.78</c:v>
                </c:pt>
              </c:numCache>
            </c:numRef>
          </c:val>
        </c:ser>
        <c:dLbls>
          <c:showLegendKey val="0"/>
          <c:showVal val="0"/>
          <c:showCatName val="0"/>
          <c:showSerName val="0"/>
          <c:showPercent val="0"/>
          <c:showBubbleSize val="0"/>
        </c:dLbls>
        <c:gapWidth val="219"/>
        <c:overlap val="-27"/>
        <c:axId val="921506413"/>
        <c:axId val="430761979"/>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
                      </c:pt>
                    </c:strCache>
                  </c:strRef>
                </c:tx>
                <c:spPr>
                  <a:solidFill>
                    <a:schemeClr val="accent2"/>
                  </a:solidFill>
                  <a:ln>
                    <a:noFill/>
                  </a:ln>
                  <a:effectLst/>
                </c:spPr>
                <c:invertIfNegative val="0"/>
                <c:dLbls>
                  <c:delete val="1"/>
                </c:dLbls>
                <c:cat>
                  <c:strRef>
                    <c:extLst>
                      <c:ext uri="{02D57815-91ED-43cb-92C2-25804820EDAC}">
                        <c15:fullRef>
                          <c15:sqref>Sheet1!$A$2:$A$5</c15:sqref>
                        </c15:fullRef>
                        <c15:formulaRef>
                          <c15:sqref>Sheet1!$A$2:$A$3</c15:sqref>
                        </c15:formulaRef>
                      </c:ext>
                    </c:extLst>
                    <c:strCache>
                      <c:ptCount val="2"/>
                      <c:pt idx="0">
                        <c:v>2024年</c:v>
                      </c:pt>
                      <c:pt idx="1">
                        <c:v>2023年</c:v>
                      </c:pt>
                    </c:strCache>
                  </c:strRef>
                </c:cat>
                <c:val>
                  <c:numRef>
                    <c:extLst>
                      <c:ext uri="{02D57815-91ED-43cb-92C2-25804820EDAC}">
                        <c15:fullRef>
                          <c15:sqref>Sheet1!$C$2:$C$5</c15:sqref>
                        </c15:fullRef>
                        <c15:formulaRef>
                          <c15:sqref>Sheet1!$C$2:$C$3</c15:sqref>
                        </c15:formulaRef>
                      </c:ext>
                    </c:extLst>
                    <c:numCache>
                      <c:formatCode>General</c:formatCode>
                      <c:ptCount val="2"/>
                    </c:numCache>
                  </c:numRef>
                </c:val>
              </c15:ser>
            </c15:filteredBarSeries>
            <c15:filteredBarSeries>
              <c15:ser>
                <c:idx val="2"/>
                <c:order val="2"/>
                <c:tx>
                  <c:strRef>
                    <c:extLst>
                      <c:ext uri="{02D57815-91ED-43cb-92C2-25804820EDAC}">
                        <c15:formulaRef>
                          <c15:sqref>Sheet1!$D$1</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Sheet1!$A$2:$A$5</c15:sqref>
                        </c15:fullRef>
                        <c15:formulaRef>
                          <c15:sqref>Sheet1!$A$2:$A$3</c15:sqref>
                        </c15:formulaRef>
                      </c:ext>
                    </c:extLst>
                    <c:strCache>
                      <c:ptCount val="2"/>
                      <c:pt idx="0">
                        <c:v>2024年</c:v>
                      </c:pt>
                      <c:pt idx="1">
                        <c:v>2023年</c:v>
                      </c:pt>
                    </c:strCache>
                  </c:strRef>
                </c:cat>
                <c:val>
                  <c:numRef>
                    <c:extLst>
                      <c:ext uri="{02D57815-91ED-43cb-92C2-25804820EDAC}">
                        <c15:fullRef>
                          <c15:sqref>Sheet1!$D$2:$D$5</c15:sqref>
                        </c15:fullRef>
                        <c15:formulaRef>
                          <c15:sqref>Sheet1!$D$2:$D$3</c15:sqref>
                        </c15:formulaRef>
                      </c:ext>
                    </c:extLst>
                    <c:numCache>
                      <c:formatCode>General</c:formatCode>
                      <c:ptCount val="2"/>
                    </c:numCache>
                  </c:numRef>
                </c:val>
              </c15:ser>
            </c15:filteredBarSeries>
          </c:ext>
        </c:extLst>
      </c:barChart>
      <c:catAx>
        <c:axId val="92150641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0761979"/>
        <c:crosses val="autoZero"/>
        <c:auto val="1"/>
        <c:lblAlgn val="ctr"/>
        <c:lblOffset val="100"/>
        <c:noMultiLvlLbl val="0"/>
      </c:catAx>
      <c:valAx>
        <c:axId val="4307619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150641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409c61-b225-4aef-94b0-a589e3a34cb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149152180843433"/>
          <c:y val="0.0112926533571548"/>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026713817922491"/>
                  <c:y val="-0.080547411495565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79044446705212"/>
                  <c:y val="-0.014508274722676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391280418884279"/>
                  <c:y val="0.0050418725484494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74317778204569"/>
                  <c:y val="0.0061947161709519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385950481663963"/>
                  <c:y val="0.0078509028351208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591180264518205"/>
                  <c:y val="-0.033943308191841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一般公共服务（类）支出</c:v>
                </c:pt>
                <c:pt idx="1">
                  <c:v>文化旅游体育与传媒（类）支出</c:v>
                </c:pt>
                <c:pt idx="2">
                  <c:v>社会保障和就业（类）支出</c:v>
                </c:pt>
                <c:pt idx="3">
                  <c:v>卫生健康支出</c:v>
                </c:pt>
                <c:pt idx="4">
                  <c:v>农林水（类）支出</c:v>
                </c:pt>
                <c:pt idx="5">
                  <c:v>住房保障支出</c:v>
                </c:pt>
              </c:strCache>
            </c:strRef>
          </c:cat>
          <c:val>
            <c:numRef>
              <c:f>Sheet1!$B$2:$B$7</c:f>
              <c:numCache>
                <c:formatCode>0.00%</c:formatCode>
                <c:ptCount val="6"/>
                <c:pt idx="0">
                  <c:v>0.4073</c:v>
                </c:pt>
                <c:pt idx="1">
                  <c:v>0.0024</c:v>
                </c:pt>
                <c:pt idx="2">
                  <c:v>0.059</c:v>
                </c:pt>
                <c:pt idx="3">
                  <c:v>0.0117</c:v>
                </c:pt>
                <c:pt idx="4">
                  <c:v>0.4434</c:v>
                </c:pt>
                <c:pt idx="5">
                  <c:v>0.0343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65171503957784"/>
          <c:y val="0.852198316183349"/>
          <c:w val="0.734696569920844"/>
          <c:h val="0.14245623413069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79291fe-8234-4124-a3d6-d517c70ee73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a:t>
            </a:r>
            <a:r>
              <a:rPr altLang="en-US"/>
              <a:t>三公</a:t>
            </a:r>
            <a:r>
              <a:rPr lang="en-US" altLang="zh-CN"/>
              <a:t>”</a:t>
            </a:r>
            <a:r>
              <a:rPr altLang="en-US"/>
              <a:t>经费财政拨款支出结构</a:t>
            </a:r>
            <a:endParaRPr altLang="en-US"/>
          </a:p>
        </c:rich>
      </c:tx>
      <c:layout>
        <c:manualLayout>
          <c:xMode val="edge"/>
          <c:yMode val="edge"/>
          <c:x val="0.247038009404389"/>
          <c:y val="0.00571428571428571"/>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75"/>
                  <c:y val="0.01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20000844406002"/>
                  <c:y val="-0.038734705745744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625"/>
                  <c:y val="-0.007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因公出国（境）费支出决算</c:v>
                </c:pt>
                <c:pt idx="1">
                  <c:v>公务用车运行维护费支出决算</c:v>
                </c:pt>
                <c:pt idx="2">
                  <c:v>公务接待费支出决算</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0</c:v>
                </c:pt>
                <c:pt idx="1" c:formatCode="0%">
                  <c:v>1</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a0d910f-28bb-43ab-aaab-b9be23ef5a3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8958</Words>
  <Characters>9913</Characters>
  <Lines>61</Lines>
  <Paragraphs>17</Paragraphs>
  <TotalTime>19</TotalTime>
  <ScaleCrop>false</ScaleCrop>
  <LinksUpToDate>false</LinksUpToDate>
  <CharactersWithSpaces>10115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北风</cp:lastModifiedBy>
  <cp:lastPrinted>2025-08-06T17:34:00Z</cp:lastPrinted>
  <dcterms:modified xsi:type="dcterms:W3CDTF">2025-11-04T09:32:51Z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04787F2533EB45DC91BCDE4AB213247F</vt:lpwstr>
  </property>
</Properties>
</file>