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left"/>
        <w:outlineLvl w:val="0"/>
        <w:rPr>
          <w:rFonts w:ascii="方正小标宋简体" w:hAnsi="宋体" w:eastAsia="方正小标宋简体"/>
          <w:szCs w:val="21"/>
        </w:rPr>
      </w:pPr>
      <w:bookmarkStart w:id="0" w:name="_Toc15306267"/>
    </w:p>
    <w:p>
      <w:pPr>
        <w:pStyle w:val="2"/>
        <w:spacing w:before="93"/>
      </w:pPr>
    </w:p>
    <w:p>
      <w:pPr>
        <w:spacing w:line="600" w:lineRule="exact"/>
        <w:jc w:val="center"/>
        <w:outlineLvl w:val="0"/>
        <w:rPr>
          <w:rFonts w:ascii="方正小标宋简体" w:hAnsi="宋体" w:eastAsia="方正小标宋简体"/>
          <w:sz w:val="72"/>
          <w:szCs w:val="72"/>
        </w:rPr>
      </w:pPr>
    </w:p>
    <w:p>
      <w:pPr>
        <w:spacing w:line="600" w:lineRule="exact"/>
        <w:jc w:val="center"/>
        <w:outlineLvl w:val="0"/>
        <w:rPr>
          <w:rFonts w:ascii="方正小标宋简体" w:hAnsi="宋体" w:eastAsia="方正小标宋简体"/>
          <w:sz w:val="72"/>
          <w:szCs w:val="72"/>
        </w:rPr>
      </w:pPr>
    </w:p>
    <w:p>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1" w:name="_Toc15377193"/>
      <w:bookmarkStart w:id="2" w:name="_Toc15396475"/>
      <w:bookmarkStart w:id="3" w:name="_Toc15396597"/>
      <w:bookmarkStart w:id="4" w:name="_Toc15378441"/>
      <w:bookmarkStart w:id="5" w:name="_Toc15377425"/>
      <w:bookmarkStart w:id="6" w:name="_Toc20735"/>
      <w:bookmarkStart w:id="7" w:name="_Toc7709"/>
      <w:r>
        <w:rPr>
          <w:rFonts w:hint="eastAsia" w:ascii="方正小标宋简体" w:hAnsi="方正小标宋简体" w:eastAsia="方正小标宋简体" w:cs="方正小标宋简体"/>
          <w:sz w:val="72"/>
          <w:szCs w:val="72"/>
        </w:rPr>
        <w:t>2023年度</w:t>
      </w:r>
      <w:bookmarkEnd w:id="1"/>
      <w:bookmarkEnd w:id="2"/>
      <w:bookmarkEnd w:id="3"/>
      <w:bookmarkEnd w:id="4"/>
      <w:bookmarkEnd w:id="5"/>
      <w:bookmarkEnd w:id="6"/>
      <w:bookmarkEnd w:id="7"/>
    </w:p>
    <w:bookmarkEnd w:id="0"/>
    <w:p>
      <w:pPr>
        <w:pStyle w:val="2"/>
        <w:jc w:val="center"/>
        <w:rPr>
          <w:rFonts w:hint="eastAsia" w:ascii="方正小标宋简体" w:hAnsi="方正小标宋简体" w:eastAsia="方正小标宋简体" w:cs="方正小标宋简体"/>
          <w:kern w:val="2"/>
          <w:sz w:val="72"/>
          <w:szCs w:val="72"/>
          <w:lang w:val="en-US" w:eastAsia="zh-CN" w:bidi="ar-SA"/>
        </w:rPr>
      </w:pPr>
      <w:r>
        <w:rPr>
          <w:rFonts w:hint="eastAsia" w:ascii="方正小标宋简体" w:hAnsi="方正小标宋简体" w:eastAsia="方正小标宋简体" w:cs="方正小标宋简体"/>
          <w:kern w:val="2"/>
          <w:sz w:val="72"/>
          <w:szCs w:val="72"/>
          <w:lang w:val="en-US" w:eastAsia="zh-CN" w:bidi="ar-SA"/>
        </w:rPr>
        <w:t>四川省乐山市马边彝族</w:t>
      </w:r>
    </w:p>
    <w:p>
      <w:pPr>
        <w:adjustRightInd w:val="0"/>
        <w:snapToGrid w:val="0"/>
        <w:spacing w:line="360" w:lineRule="auto"/>
        <w:jc w:val="center"/>
        <w:outlineLvl w:val="0"/>
        <w:rPr>
          <w:rFonts w:hint="eastAsia" w:ascii="方正小标宋简体" w:hAnsi="方正小标宋简体" w:eastAsia="方正小标宋简体" w:cs="方正小标宋简体"/>
          <w:kern w:val="2"/>
          <w:sz w:val="72"/>
          <w:szCs w:val="72"/>
          <w:lang w:val="en-US" w:eastAsia="zh-CN" w:bidi="ar-SA"/>
        </w:rPr>
      </w:pPr>
      <w:bookmarkStart w:id="8" w:name="_Toc10550"/>
      <w:bookmarkStart w:id="9" w:name="_Toc9884"/>
      <w:r>
        <w:rPr>
          <w:rFonts w:hint="eastAsia" w:ascii="方正小标宋简体" w:hAnsi="方正小标宋简体" w:eastAsia="方正小标宋简体" w:cs="方正小标宋简体"/>
          <w:kern w:val="2"/>
          <w:sz w:val="72"/>
          <w:szCs w:val="72"/>
          <w:lang w:val="en-US" w:eastAsia="zh-CN" w:bidi="ar-SA"/>
        </w:rPr>
        <w:t>自治县红十字会决算</w:t>
      </w:r>
      <w:bookmarkEnd w:id="8"/>
      <w:bookmarkEnd w:id="9"/>
    </w:p>
    <w:p>
      <w:pPr>
        <w:widowControl/>
        <w:jc w:val="center"/>
        <w:rPr>
          <w:rFonts w:hint="eastAsia" w:ascii="黑体" w:hAnsi="黑体" w:eastAsia="黑体"/>
          <w:sz w:val="48"/>
          <w:szCs w:val="48"/>
        </w:rPr>
        <w:sectPr>
          <w:headerReference r:id="rId3" w:type="default"/>
          <w:pgSz w:w="11906" w:h="16838"/>
          <w:pgMar w:top="1440" w:right="1800" w:bottom="1440" w:left="1800" w:header="851" w:footer="992" w:gutter="0"/>
          <w:pgNumType w:fmt="decimal" w:start="1"/>
          <w:cols w:space="425" w:num="1"/>
          <w:titlePg/>
          <w:docGrid w:type="lines" w:linePitch="312" w:charSpace="0"/>
        </w:sectPr>
      </w:pPr>
    </w:p>
    <w:p>
      <w:pPr>
        <w:widowControl/>
        <w:jc w:val="center"/>
        <w:rPr>
          <w:rFonts w:ascii="黑体" w:hAnsi="黑体" w:eastAsia="黑体"/>
          <w:sz w:val="48"/>
          <w:szCs w:val="48"/>
        </w:rPr>
      </w:pPr>
      <w:r>
        <w:rPr>
          <w:rFonts w:hint="eastAsia" w:ascii="黑体" w:hAnsi="黑体" w:eastAsia="黑体"/>
          <w:sz w:val="48"/>
          <w:szCs w:val="48"/>
        </w:rPr>
        <w:t>目录</w:t>
      </w:r>
      <w:bookmarkStart w:id="126" w:name="_GoBack"/>
      <w:bookmarkEnd w:id="126"/>
    </w:p>
    <w:p>
      <w:pPr>
        <w:widowControl/>
        <w:jc w:val="center"/>
        <w:rPr>
          <w:rFonts w:ascii="黑体" w:hAnsi="黑体" w:eastAsia="黑体" w:cstheme="minorBidi"/>
          <w:sz w:val="28"/>
          <w:szCs w:val="28"/>
        </w:rPr>
      </w:pPr>
    </w:p>
    <w:p>
      <w:pPr>
        <w:pStyle w:val="12"/>
        <w:rPr>
          <w:rFonts w:hint="eastAsia"/>
        </w:rPr>
      </w:pPr>
      <w:r>
        <w:rPr>
          <w:rFonts w:hint="eastAsia"/>
        </w:rPr>
        <w:t>公开时间：202</w:t>
      </w:r>
      <w:r>
        <w:rPr>
          <w:rFonts w:hint="eastAsia"/>
          <w:lang w:val="en-US" w:eastAsia="zh-CN"/>
        </w:rPr>
        <w:t>4</w:t>
      </w:r>
      <w:r>
        <w:rPr>
          <w:rFonts w:hint="eastAsia"/>
        </w:rPr>
        <w:t>年</w:t>
      </w:r>
      <w:r>
        <w:rPr>
          <w:rFonts w:hint="eastAsia"/>
          <w:lang w:val="en-US" w:eastAsia="zh-CN"/>
        </w:rPr>
        <w:t>10</w:t>
      </w:r>
      <w:r>
        <w:rPr>
          <w:rFonts w:hint="eastAsia"/>
        </w:rPr>
        <w:t>月</w:t>
      </w:r>
      <w:r>
        <w:rPr>
          <w:rFonts w:hint="eastAsia"/>
          <w:lang w:val="en-US" w:eastAsia="zh-CN"/>
        </w:rPr>
        <w:t>23</w:t>
      </w:r>
      <w:r>
        <w:rPr>
          <w:rFonts w:hint="eastAsia"/>
        </w:rPr>
        <w:t>日</w:t>
      </w:r>
    </w:p>
    <w:p>
      <w:pPr>
        <w:pStyle w:val="12"/>
        <w:tabs>
          <w:tab w:val="right" w:leader="dot" w:pos="8306"/>
          <w:tab w:val="clear" w:pos="8296"/>
        </w:tabs>
        <w:jc w:val="both"/>
      </w:pPr>
      <w:r>
        <w:rPr>
          <w:rFonts w:hint="eastAsia"/>
        </w:rPr>
        <w:fldChar w:fldCharType="begin"/>
      </w:r>
      <w:r>
        <w:rPr>
          <w:rFonts w:hint="eastAsia"/>
        </w:rPr>
        <w:instrText xml:space="preserve">TOC \o "1-2" \h \u </w:instrText>
      </w:r>
      <w:r>
        <w:rPr>
          <w:rFonts w:hint="eastAsia"/>
        </w:rPr>
        <w:fldChar w:fldCharType="separate"/>
      </w:r>
    </w:p>
    <w:p>
      <w:pPr>
        <w:pStyle w:val="12"/>
        <w:tabs>
          <w:tab w:val="right" w:leader="dot" w:pos="8306"/>
          <w:tab w:val="clear" w:pos="8296"/>
        </w:tabs>
      </w:pPr>
      <w:r>
        <w:rPr>
          <w:rFonts w:hint="eastAsia"/>
        </w:rPr>
        <w:fldChar w:fldCharType="begin"/>
      </w:r>
      <w:r>
        <w:rPr>
          <w:rFonts w:hint="eastAsia"/>
        </w:rPr>
        <w:instrText xml:space="preserve"> HYPERLINK \l _Toc14650 </w:instrText>
      </w:r>
      <w:r>
        <w:rPr>
          <w:rFonts w:hint="eastAsia"/>
        </w:rPr>
        <w:fldChar w:fldCharType="separate"/>
      </w:r>
      <w:r>
        <w:rPr>
          <w:rFonts w:hint="eastAsia" w:ascii="黑体" w:hAnsi="黑体" w:eastAsia="黑体"/>
        </w:rPr>
        <w:t>第一部分 单位</w:t>
      </w:r>
      <w:r>
        <w:rPr>
          <w:rFonts w:hint="eastAsia" w:ascii="黑体" w:hAnsi="黑体" w:eastAsia="黑体"/>
          <w:bCs w:val="0"/>
        </w:rPr>
        <w:t>概况</w:t>
      </w:r>
      <w:r>
        <w:tab/>
      </w:r>
      <w:r>
        <w:fldChar w:fldCharType="begin"/>
      </w:r>
      <w:r>
        <w:instrText xml:space="preserve"> PAGEREF _Toc14650 \h </w:instrText>
      </w:r>
      <w:r>
        <w:fldChar w:fldCharType="separate"/>
      </w:r>
      <w:r>
        <w:t>1</w:t>
      </w:r>
      <w:r>
        <w:fldChar w:fldCharType="end"/>
      </w:r>
      <w:r>
        <w:rPr>
          <w:rFonts w:hint="eastAsia"/>
        </w:rPr>
        <w:fldChar w:fldCharType="end"/>
      </w:r>
    </w:p>
    <w:p>
      <w:pPr>
        <w:pStyle w:val="13"/>
        <w:tabs>
          <w:tab w:val="right" w:leader="dot" w:pos="8306"/>
          <w:tab w:val="clear" w:pos="8296"/>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_Toc9153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bCs w:val="0"/>
          <w:sz w:val="28"/>
          <w:szCs w:val="28"/>
        </w:rPr>
        <w:t>一、 主要职责</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_Toc9153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13"/>
        <w:tabs>
          <w:tab w:val="right" w:leader="dot" w:pos="8306"/>
          <w:tab w:val="clear" w:pos="8296"/>
        </w:tabs>
        <w:rPr>
          <w:rFonts w:hint="eastAsia"/>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_Toc9153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color w:val="auto"/>
          <w:sz w:val="28"/>
          <w:szCs w:val="28"/>
          <w:lang w:val="en-US" w:eastAsia="zh-CN"/>
        </w:rPr>
        <w:t>二</w:t>
      </w:r>
      <w:r>
        <w:rPr>
          <w:rFonts w:hint="eastAsia" w:asciiTheme="minorEastAsia" w:hAnsiTheme="minorEastAsia" w:eastAsiaTheme="minorEastAsia" w:cstheme="minorEastAsia"/>
          <w:color w:val="auto"/>
          <w:sz w:val="28"/>
          <w:szCs w:val="28"/>
          <w:lang w:eastAsia="zh-CN"/>
        </w:rPr>
        <w:t xml:space="preserve">、 </w:t>
      </w:r>
      <w:r>
        <w:rPr>
          <w:rFonts w:hint="eastAsia" w:asciiTheme="minorEastAsia" w:hAnsiTheme="minorEastAsia" w:eastAsiaTheme="minorEastAsia" w:cstheme="minorEastAsia"/>
          <w:color w:val="auto"/>
          <w:sz w:val="28"/>
          <w:szCs w:val="28"/>
          <w:highlight w:val="none"/>
          <w:lang w:val="en-US" w:eastAsia="zh-CN"/>
        </w:rPr>
        <w:t>机构设置</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_Toc9153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
      <w:pPr>
        <w:pStyle w:val="12"/>
        <w:tabs>
          <w:tab w:val="right" w:leader="dot" w:pos="8306"/>
          <w:tab w:val="clear" w:pos="8296"/>
        </w:tabs>
      </w:pPr>
      <w:r>
        <w:rPr>
          <w:rFonts w:hint="eastAsia"/>
        </w:rPr>
        <w:fldChar w:fldCharType="begin"/>
      </w:r>
      <w:r>
        <w:rPr>
          <w:rFonts w:hint="eastAsia"/>
        </w:rPr>
        <w:instrText xml:space="preserve"> HYPERLINK \l _Toc18677 </w:instrText>
      </w:r>
      <w:r>
        <w:rPr>
          <w:rFonts w:hint="eastAsia"/>
        </w:rPr>
        <w:fldChar w:fldCharType="separate"/>
      </w:r>
      <w:r>
        <w:rPr>
          <w:rFonts w:hint="eastAsia" w:ascii="黑体" w:hAnsi="黑体" w:eastAsia="黑体"/>
        </w:rPr>
        <w:t>第二部分 2023年度</w:t>
      </w:r>
      <w:r>
        <w:rPr>
          <w:rFonts w:hint="eastAsia" w:ascii="黑体" w:hAnsi="黑体" w:eastAsia="黑体"/>
          <w:bCs/>
        </w:rPr>
        <w:t>单位决算情况说明</w:t>
      </w:r>
      <w:r>
        <w:tab/>
      </w:r>
      <w:r>
        <w:fldChar w:fldCharType="begin"/>
      </w:r>
      <w:r>
        <w:instrText xml:space="preserve"> PAGEREF _Toc18677 \h </w:instrText>
      </w:r>
      <w:r>
        <w:fldChar w:fldCharType="separate"/>
      </w:r>
      <w:r>
        <w:t>2</w:t>
      </w:r>
      <w:r>
        <w:fldChar w:fldCharType="end"/>
      </w:r>
      <w:r>
        <w:rPr>
          <w:rFonts w:hint="eastAsia"/>
        </w:rPr>
        <w:fldChar w:fldCharType="end"/>
      </w:r>
    </w:p>
    <w:p>
      <w:pPr>
        <w:pStyle w:val="13"/>
        <w:tabs>
          <w:tab w:val="right" w:leader="dot" w:pos="8306"/>
          <w:tab w:val="clear" w:pos="8296"/>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_Toc1838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一、 收入支出决算总体情况说明</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_Toc1838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13"/>
        <w:tabs>
          <w:tab w:val="right" w:leader="dot" w:pos="8306"/>
          <w:tab w:val="clear" w:pos="8296"/>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_Toc28279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二、 收入决算情况说明</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_Toc28279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13"/>
        <w:tabs>
          <w:tab w:val="right" w:leader="dot" w:pos="8306"/>
          <w:tab w:val="clear" w:pos="8296"/>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_Toc10744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三、 支出决算情况说明</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_Toc10744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13"/>
        <w:tabs>
          <w:tab w:val="right" w:leader="dot" w:pos="8306"/>
          <w:tab w:val="clear" w:pos="8296"/>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_Toc2619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四、财政拨款收入支出决算总体情况说明</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_Toc2619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13"/>
        <w:tabs>
          <w:tab w:val="right" w:leader="dot" w:pos="8306"/>
          <w:tab w:val="clear" w:pos="8296"/>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_Toc8523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五、一般公共预算财政拨款支出决算情况说明</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_Toc8523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4</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13"/>
        <w:tabs>
          <w:tab w:val="right" w:leader="dot" w:pos="8306"/>
          <w:tab w:val="clear" w:pos="8296"/>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_Toc14657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六、一般公共预算财政拨款基本支出决算情况说明</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_Toc14657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7</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13"/>
        <w:tabs>
          <w:tab w:val="right" w:leader="dot" w:pos="8306"/>
          <w:tab w:val="clear" w:pos="8296"/>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_Toc3043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七、财政拨款“三公”经费支出决算情况说明</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_Toc3043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7</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13"/>
        <w:tabs>
          <w:tab w:val="right" w:leader="dot" w:pos="8306"/>
          <w:tab w:val="clear" w:pos="8296"/>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_Toc28319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八、政府性基金预算支出决算情况说明</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_Toc28319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9</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13"/>
        <w:tabs>
          <w:tab w:val="right" w:leader="dot" w:pos="8306"/>
          <w:tab w:val="clear" w:pos="8296"/>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_Toc30708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九、 国有资本经营预算支出决算情况说明</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_Toc30708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9</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13"/>
        <w:tabs>
          <w:tab w:val="right" w:leader="dot" w:pos="8306"/>
          <w:tab w:val="clear" w:pos="8296"/>
        </w:tabs>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_Toc17156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十、 其他重要事项的情况说明</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_Toc17156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9</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12"/>
        <w:tabs>
          <w:tab w:val="right" w:leader="dot" w:pos="8306"/>
          <w:tab w:val="clear" w:pos="8296"/>
        </w:tabs>
      </w:pPr>
      <w:r>
        <w:rPr>
          <w:rFonts w:hint="eastAsia"/>
        </w:rPr>
        <w:fldChar w:fldCharType="begin"/>
      </w:r>
      <w:r>
        <w:rPr>
          <w:rFonts w:hint="eastAsia"/>
        </w:rPr>
        <w:instrText xml:space="preserve"> HYPERLINK \l _Toc31131 </w:instrText>
      </w:r>
      <w:r>
        <w:rPr>
          <w:rFonts w:hint="eastAsia"/>
        </w:rPr>
        <w:fldChar w:fldCharType="separate"/>
      </w:r>
      <w:r>
        <w:rPr>
          <w:rFonts w:hint="eastAsia" w:ascii="黑体" w:hAnsi="黑体" w:eastAsia="黑体" w:cs="黑体"/>
          <w:szCs w:val="44"/>
        </w:rPr>
        <w:t xml:space="preserve">第三部分 </w:t>
      </w:r>
      <w:r>
        <w:rPr>
          <w:rFonts w:hint="eastAsia" w:ascii="黑体" w:hAnsi="黑体" w:eastAsia="黑体"/>
          <w:szCs w:val="44"/>
        </w:rPr>
        <w:t>名</w:t>
      </w:r>
      <w:r>
        <w:rPr>
          <w:rFonts w:hint="eastAsia" w:ascii="黑体" w:hAnsi="黑体" w:eastAsia="黑体"/>
        </w:rPr>
        <w:t>词解释</w:t>
      </w:r>
      <w:r>
        <w:tab/>
      </w:r>
      <w:r>
        <w:fldChar w:fldCharType="begin"/>
      </w:r>
      <w:r>
        <w:instrText xml:space="preserve"> PAGEREF _Toc31131 \h </w:instrText>
      </w:r>
      <w:r>
        <w:fldChar w:fldCharType="separate"/>
      </w:r>
      <w:r>
        <w:t>10</w:t>
      </w:r>
      <w:r>
        <w:fldChar w:fldCharType="end"/>
      </w:r>
      <w:r>
        <w:rPr>
          <w:rFonts w:hint="eastAsia"/>
        </w:rPr>
        <w:fldChar w:fldCharType="end"/>
      </w:r>
    </w:p>
    <w:p>
      <w:pPr>
        <w:pStyle w:val="12"/>
        <w:tabs>
          <w:tab w:val="right" w:leader="dot" w:pos="8306"/>
          <w:tab w:val="clear" w:pos="8296"/>
        </w:tabs>
        <w:rPr>
          <w:rFonts w:hint="eastAsia" w:asciiTheme="minorEastAsia" w:hAnsiTheme="minorEastAsia" w:eastAsiaTheme="minorEastAsia" w:cstheme="minorEastAsia"/>
        </w:rPr>
      </w:pPr>
      <w:r>
        <w:rPr>
          <w:rFonts w:hint="eastAsia"/>
          <w:lang w:val="en-US" w:eastAsia="zh-CN"/>
        </w:rPr>
        <w:t xml:space="preserve">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_Toc26552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 w:val="28"/>
          <w:szCs w:val="28"/>
        </w:rPr>
        <w:t>部门预算项目支出绩效自评表（2023年度）</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_Toc26552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12</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pPr>
        <w:pStyle w:val="12"/>
        <w:tabs>
          <w:tab w:val="right" w:leader="dot" w:pos="8306"/>
          <w:tab w:val="clear" w:pos="8296"/>
        </w:tabs>
      </w:pPr>
      <w:r>
        <w:rPr>
          <w:rFonts w:hint="eastAsia"/>
        </w:rPr>
        <w:fldChar w:fldCharType="begin"/>
      </w:r>
      <w:r>
        <w:rPr>
          <w:rFonts w:hint="eastAsia"/>
        </w:rPr>
        <w:instrText xml:space="preserve"> HYPERLINK \l _Toc7209 </w:instrText>
      </w:r>
      <w:r>
        <w:rPr>
          <w:rFonts w:hint="eastAsia"/>
        </w:rPr>
        <w:fldChar w:fldCharType="separate"/>
      </w:r>
      <w:r>
        <w:rPr>
          <w:rFonts w:hint="eastAsia" w:ascii="黑体" w:hAnsi="黑体" w:eastAsia="黑体"/>
          <w:szCs w:val="44"/>
        </w:rPr>
        <w:t>第</w:t>
      </w:r>
      <w:r>
        <w:rPr>
          <w:rFonts w:hint="eastAsia" w:ascii="黑体" w:hAnsi="黑体" w:eastAsia="黑体"/>
        </w:rPr>
        <w:t>五部分 附表</w:t>
      </w:r>
      <w:r>
        <w:tab/>
      </w:r>
      <w:r>
        <w:fldChar w:fldCharType="begin"/>
      </w:r>
      <w:r>
        <w:instrText xml:space="preserve"> PAGEREF _Toc7209 \h </w:instrText>
      </w:r>
      <w:r>
        <w:fldChar w:fldCharType="separate"/>
      </w:r>
      <w:r>
        <w:t>12</w:t>
      </w:r>
      <w:r>
        <w:fldChar w:fldCharType="end"/>
      </w:r>
      <w:r>
        <w:rPr>
          <w:rFonts w:hint="eastAsia"/>
        </w:rPr>
        <w:fldChar w:fldCharType="end"/>
      </w:r>
    </w:p>
    <w:p>
      <w:pPr>
        <w:pStyle w:val="13"/>
        <w:tabs>
          <w:tab w:val="right" w:leader="dot" w:pos="8306"/>
          <w:tab w:val="clear" w:pos="8296"/>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_Toc9516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一、收</w:t>
      </w:r>
      <w:r>
        <w:rPr>
          <w:rFonts w:hint="eastAsia" w:asciiTheme="minorEastAsia" w:hAnsiTheme="minorEastAsia" w:eastAsiaTheme="minorEastAsia" w:cstheme="minorEastAsia"/>
          <w:bCs w:val="0"/>
          <w:sz w:val="28"/>
          <w:szCs w:val="28"/>
        </w:rPr>
        <w:t>入支出决算总表</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_Toc9516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13"/>
        <w:tabs>
          <w:tab w:val="right" w:leader="dot" w:pos="8306"/>
          <w:tab w:val="clear" w:pos="8296"/>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_Toc28435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二、收</w:t>
      </w:r>
      <w:r>
        <w:rPr>
          <w:rFonts w:hint="eastAsia" w:asciiTheme="minorEastAsia" w:hAnsiTheme="minorEastAsia" w:eastAsiaTheme="minorEastAsia" w:cstheme="minorEastAsia"/>
          <w:bCs w:val="0"/>
          <w:sz w:val="28"/>
          <w:szCs w:val="28"/>
        </w:rPr>
        <w:t>入决算表</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_Toc28435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13"/>
        <w:tabs>
          <w:tab w:val="right" w:leader="dot" w:pos="8306"/>
          <w:tab w:val="clear" w:pos="8296"/>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_Toc6844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bCs w:val="0"/>
          <w:sz w:val="28"/>
          <w:szCs w:val="28"/>
        </w:rPr>
        <w:t>三、</w:t>
      </w:r>
      <w:r>
        <w:rPr>
          <w:rFonts w:hint="eastAsia" w:asciiTheme="minorEastAsia" w:hAnsiTheme="minorEastAsia" w:eastAsiaTheme="minorEastAsia" w:cstheme="minorEastAsia"/>
          <w:sz w:val="28"/>
          <w:szCs w:val="28"/>
        </w:rPr>
        <w:t>支</w:t>
      </w:r>
      <w:r>
        <w:rPr>
          <w:rFonts w:hint="eastAsia" w:asciiTheme="minorEastAsia" w:hAnsiTheme="minorEastAsia" w:eastAsiaTheme="minorEastAsia" w:cstheme="minorEastAsia"/>
          <w:bCs w:val="0"/>
          <w:sz w:val="28"/>
          <w:szCs w:val="28"/>
        </w:rPr>
        <w:t>出决算表</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_Toc6844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13"/>
        <w:tabs>
          <w:tab w:val="right" w:leader="dot" w:pos="8306"/>
          <w:tab w:val="clear" w:pos="8296"/>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_Toc4883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bCs w:val="0"/>
          <w:sz w:val="28"/>
          <w:szCs w:val="28"/>
        </w:rPr>
        <w:t>四、</w:t>
      </w:r>
      <w:r>
        <w:rPr>
          <w:rFonts w:hint="eastAsia" w:asciiTheme="minorEastAsia" w:hAnsiTheme="minorEastAsia" w:eastAsiaTheme="minorEastAsia" w:cstheme="minorEastAsia"/>
          <w:sz w:val="28"/>
          <w:szCs w:val="28"/>
        </w:rPr>
        <w:t>财</w:t>
      </w:r>
      <w:r>
        <w:rPr>
          <w:rFonts w:hint="eastAsia" w:asciiTheme="minorEastAsia" w:hAnsiTheme="minorEastAsia" w:eastAsiaTheme="minorEastAsia" w:cstheme="minorEastAsia"/>
          <w:bCs w:val="0"/>
          <w:sz w:val="28"/>
          <w:szCs w:val="28"/>
        </w:rPr>
        <w:t>政拨款收入支出决算总表</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_Toc4883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13"/>
        <w:tabs>
          <w:tab w:val="right" w:leader="dot" w:pos="8306"/>
          <w:tab w:val="clear" w:pos="8296"/>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_Toc12744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bCs w:val="0"/>
          <w:sz w:val="28"/>
          <w:szCs w:val="28"/>
        </w:rPr>
        <w:t>五、</w:t>
      </w:r>
      <w:r>
        <w:rPr>
          <w:rFonts w:hint="eastAsia" w:asciiTheme="minorEastAsia" w:hAnsiTheme="minorEastAsia" w:eastAsiaTheme="minorEastAsia" w:cstheme="minorEastAsia"/>
          <w:sz w:val="28"/>
          <w:szCs w:val="28"/>
        </w:rPr>
        <w:t>财</w:t>
      </w:r>
      <w:r>
        <w:rPr>
          <w:rFonts w:hint="eastAsia" w:asciiTheme="minorEastAsia" w:hAnsiTheme="minorEastAsia" w:eastAsiaTheme="minorEastAsia" w:cstheme="minorEastAsia"/>
          <w:bCs w:val="0"/>
          <w:sz w:val="28"/>
          <w:szCs w:val="28"/>
        </w:rPr>
        <w:t>政拨款支出决算明细表</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_Toc12744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13"/>
        <w:tabs>
          <w:tab w:val="right" w:leader="dot" w:pos="8306"/>
          <w:tab w:val="clear" w:pos="8296"/>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_Toc4464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bCs w:val="0"/>
          <w:sz w:val="28"/>
          <w:szCs w:val="28"/>
        </w:rPr>
        <w:t>六、</w:t>
      </w:r>
      <w:r>
        <w:rPr>
          <w:rFonts w:hint="eastAsia" w:asciiTheme="minorEastAsia" w:hAnsiTheme="minorEastAsia" w:eastAsiaTheme="minorEastAsia" w:cstheme="minorEastAsia"/>
          <w:sz w:val="28"/>
          <w:szCs w:val="28"/>
        </w:rPr>
        <w:t>一</w:t>
      </w:r>
      <w:r>
        <w:rPr>
          <w:rFonts w:hint="eastAsia" w:asciiTheme="minorEastAsia" w:hAnsiTheme="minorEastAsia" w:eastAsiaTheme="minorEastAsia" w:cstheme="minorEastAsia"/>
          <w:bCs w:val="0"/>
          <w:sz w:val="28"/>
          <w:szCs w:val="28"/>
        </w:rPr>
        <w:t>般公共预算财政拨款支出决算表</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_Toc4464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13"/>
        <w:tabs>
          <w:tab w:val="right" w:leader="dot" w:pos="8306"/>
          <w:tab w:val="clear" w:pos="8296"/>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_Toc1616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bCs w:val="0"/>
          <w:sz w:val="28"/>
          <w:szCs w:val="28"/>
        </w:rPr>
        <w:t>七、</w:t>
      </w:r>
      <w:r>
        <w:rPr>
          <w:rFonts w:hint="eastAsia" w:asciiTheme="minorEastAsia" w:hAnsiTheme="minorEastAsia" w:eastAsiaTheme="minorEastAsia" w:cstheme="minorEastAsia"/>
          <w:sz w:val="28"/>
          <w:szCs w:val="28"/>
        </w:rPr>
        <w:t>一</w:t>
      </w:r>
      <w:r>
        <w:rPr>
          <w:rFonts w:hint="eastAsia" w:asciiTheme="minorEastAsia" w:hAnsiTheme="minorEastAsia" w:eastAsiaTheme="minorEastAsia" w:cstheme="minorEastAsia"/>
          <w:bCs w:val="0"/>
          <w:sz w:val="28"/>
          <w:szCs w:val="28"/>
        </w:rPr>
        <w:t>般公共预算财政拨款支出决算明细表</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_Toc1616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13"/>
        <w:tabs>
          <w:tab w:val="right" w:leader="dot" w:pos="8306"/>
          <w:tab w:val="clear" w:pos="8296"/>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_Toc22169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bCs w:val="0"/>
          <w:sz w:val="28"/>
          <w:szCs w:val="28"/>
        </w:rPr>
        <w:t>八、</w:t>
      </w:r>
      <w:r>
        <w:rPr>
          <w:rFonts w:hint="eastAsia" w:asciiTheme="minorEastAsia" w:hAnsiTheme="minorEastAsia" w:eastAsiaTheme="minorEastAsia" w:cstheme="minorEastAsia"/>
          <w:sz w:val="28"/>
          <w:szCs w:val="28"/>
        </w:rPr>
        <w:t>一</w:t>
      </w:r>
      <w:r>
        <w:rPr>
          <w:rFonts w:hint="eastAsia" w:asciiTheme="minorEastAsia" w:hAnsiTheme="minorEastAsia" w:eastAsiaTheme="minorEastAsia" w:cstheme="minorEastAsia"/>
          <w:bCs w:val="0"/>
          <w:sz w:val="28"/>
          <w:szCs w:val="28"/>
        </w:rPr>
        <w:t>般公共预算财政拨款基本支出决算表</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_Toc22169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13"/>
        <w:tabs>
          <w:tab w:val="right" w:leader="dot" w:pos="8306"/>
          <w:tab w:val="clear" w:pos="8296"/>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_Toc22965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bCs w:val="0"/>
          <w:sz w:val="28"/>
          <w:szCs w:val="28"/>
        </w:rPr>
        <w:t>九、</w:t>
      </w:r>
      <w:r>
        <w:rPr>
          <w:rFonts w:hint="eastAsia" w:asciiTheme="minorEastAsia" w:hAnsiTheme="minorEastAsia" w:eastAsiaTheme="minorEastAsia" w:cstheme="minorEastAsia"/>
          <w:sz w:val="28"/>
          <w:szCs w:val="28"/>
        </w:rPr>
        <w:t>一</w:t>
      </w:r>
      <w:r>
        <w:rPr>
          <w:rFonts w:hint="eastAsia" w:asciiTheme="minorEastAsia" w:hAnsiTheme="minorEastAsia" w:eastAsiaTheme="minorEastAsia" w:cstheme="minorEastAsia"/>
          <w:bCs w:val="0"/>
          <w:sz w:val="28"/>
          <w:szCs w:val="28"/>
        </w:rPr>
        <w:t>般公共预算财政拨款项目支出决算表</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_Toc22965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13"/>
        <w:tabs>
          <w:tab w:val="right" w:leader="dot" w:pos="8306"/>
          <w:tab w:val="clear" w:pos="8296"/>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_Toc12907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bCs w:val="0"/>
          <w:sz w:val="28"/>
          <w:szCs w:val="28"/>
        </w:rPr>
        <w:t>十、</w:t>
      </w:r>
      <w:r>
        <w:rPr>
          <w:rFonts w:hint="eastAsia" w:asciiTheme="minorEastAsia" w:hAnsiTheme="minorEastAsia" w:eastAsiaTheme="minorEastAsia" w:cstheme="minorEastAsia"/>
          <w:sz w:val="28"/>
          <w:szCs w:val="28"/>
        </w:rPr>
        <w:t>政</w:t>
      </w:r>
      <w:r>
        <w:rPr>
          <w:rFonts w:hint="eastAsia" w:asciiTheme="minorEastAsia" w:hAnsiTheme="minorEastAsia" w:eastAsiaTheme="minorEastAsia" w:cstheme="minorEastAsia"/>
          <w:bCs w:val="0"/>
          <w:sz w:val="28"/>
          <w:szCs w:val="28"/>
        </w:rPr>
        <w:t>府性基金预算财政拨款收入支出决算表</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_Toc12907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13"/>
        <w:tabs>
          <w:tab w:val="right" w:leader="dot" w:pos="8306"/>
          <w:tab w:val="clear" w:pos="8296"/>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_Toc2134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bCs w:val="0"/>
          <w:sz w:val="28"/>
          <w:szCs w:val="28"/>
        </w:rPr>
        <w:t>十一、</w:t>
      </w:r>
      <w:r>
        <w:rPr>
          <w:rFonts w:hint="eastAsia" w:asciiTheme="minorEastAsia" w:hAnsiTheme="minorEastAsia" w:eastAsiaTheme="minorEastAsia" w:cstheme="minorEastAsia"/>
          <w:sz w:val="28"/>
          <w:szCs w:val="28"/>
        </w:rPr>
        <w:t>国</w:t>
      </w:r>
      <w:r>
        <w:rPr>
          <w:rFonts w:hint="eastAsia" w:asciiTheme="minorEastAsia" w:hAnsiTheme="minorEastAsia" w:eastAsiaTheme="minorEastAsia" w:cstheme="minorEastAsia"/>
          <w:bCs w:val="0"/>
          <w:sz w:val="28"/>
          <w:szCs w:val="28"/>
        </w:rPr>
        <w:t>有资本经营预算财政拨款收入支出决算表</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_Toc2134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13"/>
        <w:tabs>
          <w:tab w:val="right" w:leader="dot" w:pos="8306"/>
          <w:tab w:val="clear" w:pos="8296"/>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_Toc5088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bCs w:val="0"/>
          <w:sz w:val="28"/>
          <w:szCs w:val="28"/>
        </w:rPr>
        <w:t>十二、国有资本经营预算财政拨款支出决算表</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_Toc5088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13"/>
        <w:tabs>
          <w:tab w:val="right" w:leader="dot" w:pos="8306"/>
          <w:tab w:val="clear" w:pos="8296"/>
        </w:tabs>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HYPERLINK \l _Toc274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bCs w:val="0"/>
          <w:sz w:val="28"/>
          <w:szCs w:val="28"/>
        </w:rPr>
        <w:t>十三、财政拨款“三公”经费支出决算表</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PAGEREF _Toc274 \h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13</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fldChar w:fldCharType="end"/>
      </w:r>
    </w:p>
    <w:p>
      <w:pPr>
        <w:pStyle w:val="3"/>
        <w:rPr>
          <w:rFonts w:hint="eastAsia"/>
        </w:rPr>
      </w:pPr>
      <w:r>
        <w:rPr>
          <w:rFonts w:hint="eastAsia"/>
        </w:rPr>
        <w:fldChar w:fldCharType="end"/>
      </w:r>
    </w:p>
    <w:p>
      <w:pPr>
        <w:rPr>
          <w:rFonts w:hint="eastAsia"/>
        </w:rPr>
      </w:pPr>
    </w:p>
    <w:p>
      <w:pPr>
        <w:pStyle w:val="2"/>
        <w:rPr>
          <w:rFonts w:hint="eastAsia"/>
        </w:rPr>
      </w:pPr>
    </w:p>
    <w:p>
      <w:pPr>
        <w:pStyle w:val="3"/>
        <w:rPr>
          <w:rFonts w:hint="eastAsia"/>
        </w:rPr>
      </w:pPr>
    </w:p>
    <w:p>
      <w:pPr>
        <w:rPr>
          <w:rFonts w:hint="eastAsia"/>
        </w:rPr>
      </w:pPr>
    </w:p>
    <w:p>
      <w:pPr>
        <w:pStyle w:val="2"/>
        <w:rPr>
          <w:rFonts w:hint="eastAsia"/>
        </w:rPr>
      </w:pPr>
    </w:p>
    <w:p>
      <w:pPr>
        <w:pStyle w:val="3"/>
        <w:rPr>
          <w:rFonts w:hint="eastAsia"/>
        </w:rPr>
      </w:pPr>
    </w:p>
    <w:p>
      <w:pPr>
        <w:rPr>
          <w:rFonts w:hint="eastAsia"/>
        </w:rPr>
      </w:pPr>
    </w:p>
    <w:p>
      <w:pPr>
        <w:pStyle w:val="2"/>
        <w:rPr>
          <w:rFonts w:hint="eastAsia"/>
        </w:rPr>
      </w:pPr>
    </w:p>
    <w:p>
      <w:pPr>
        <w:pStyle w:val="3"/>
        <w:rPr>
          <w:rFonts w:hint="eastAsia"/>
        </w:rPr>
      </w:pPr>
    </w:p>
    <w:p>
      <w:pPr>
        <w:rPr>
          <w:rFonts w:hint="eastAsia"/>
        </w:rPr>
      </w:pPr>
    </w:p>
    <w:p>
      <w:pPr>
        <w:pStyle w:val="2"/>
        <w:rPr>
          <w:rFonts w:hint="eastAsia"/>
        </w:rPr>
      </w:pPr>
    </w:p>
    <w:p>
      <w:pPr>
        <w:pStyle w:val="3"/>
        <w:rPr>
          <w:rFonts w:hint="eastAsia"/>
        </w:rPr>
      </w:pPr>
    </w:p>
    <w:p>
      <w:pPr>
        <w:tabs>
          <w:tab w:val="left" w:pos="576"/>
        </w:tabs>
        <w:bidi w:val="0"/>
        <w:jc w:val="left"/>
        <w:rPr>
          <w:rFonts w:hint="eastAsia" w:eastAsia="宋体"/>
          <w:lang w:eastAsia="zh-CN"/>
        </w:rPr>
        <w:sectPr>
          <w:footerReference r:id="rId5" w:type="first"/>
          <w:footerReference r:id="rId4" w:type="default"/>
          <w:pgSz w:w="11906" w:h="16838"/>
          <w:pgMar w:top="1440" w:right="1800" w:bottom="1440" w:left="1800" w:header="851" w:footer="992" w:gutter="0"/>
          <w:pgNumType w:fmt="decimal" w:start="1"/>
          <w:cols w:space="425" w:num="1"/>
          <w:titlePg/>
          <w:docGrid w:type="lines" w:linePitch="312" w:charSpace="0"/>
        </w:sectPr>
      </w:pPr>
      <w:bookmarkStart w:id="10" w:name="_Toc15377196"/>
      <w:bookmarkStart w:id="11" w:name="_Toc15396599"/>
      <w:bookmarkStart w:id="12" w:name="_Toc12432"/>
    </w:p>
    <w:p>
      <w:pPr>
        <w:pStyle w:val="4"/>
        <w:jc w:val="center"/>
        <w:rPr>
          <w:rStyle w:val="28"/>
          <w:rFonts w:ascii="黑体" w:hAnsi="黑体" w:eastAsia="黑体"/>
          <w:b/>
          <w:bCs w:val="0"/>
        </w:rPr>
      </w:pPr>
      <w:bookmarkStart w:id="13" w:name="_Toc14650"/>
      <w:r>
        <w:rPr>
          <w:rFonts w:hint="eastAsia" w:ascii="黑体" w:hAnsi="黑体" w:eastAsia="黑体"/>
          <w:b w:val="0"/>
        </w:rPr>
        <w:t>第一部分 单位</w:t>
      </w:r>
      <w:r>
        <w:rPr>
          <w:rStyle w:val="28"/>
          <w:rFonts w:hint="eastAsia" w:ascii="黑体" w:hAnsi="黑体" w:eastAsia="黑体"/>
          <w:b w:val="0"/>
          <w:bCs w:val="0"/>
        </w:rPr>
        <w:t>概况</w:t>
      </w:r>
      <w:bookmarkEnd w:id="10"/>
      <w:bookmarkEnd w:id="11"/>
      <w:bookmarkEnd w:id="12"/>
      <w:bookmarkEnd w:id="13"/>
    </w:p>
    <w:p>
      <w:pPr>
        <w:widowControl/>
        <w:jc w:val="left"/>
        <w:rPr>
          <w:rFonts w:ascii="黑体" w:eastAsia="黑体"/>
          <w:sz w:val="32"/>
          <w:szCs w:val="32"/>
        </w:rPr>
      </w:pPr>
    </w:p>
    <w:p>
      <w:pPr>
        <w:pStyle w:val="5"/>
        <w:numPr>
          <w:ilvl w:val="0"/>
          <w:numId w:val="1"/>
        </w:numPr>
        <w:rPr>
          <w:rStyle w:val="29"/>
          <w:rFonts w:ascii="黑体" w:hAnsi="黑体" w:eastAsia="黑体"/>
          <w:b w:val="0"/>
          <w:bCs w:val="0"/>
        </w:rPr>
      </w:pPr>
      <w:bookmarkStart w:id="14" w:name="_Toc19892"/>
      <w:bookmarkStart w:id="15" w:name="_Toc9153"/>
      <w:bookmarkStart w:id="16" w:name="_Toc15396600"/>
      <w:bookmarkStart w:id="17" w:name="_Toc15377197"/>
      <w:r>
        <w:rPr>
          <w:rStyle w:val="29"/>
          <w:rFonts w:hint="eastAsia" w:ascii="黑体" w:hAnsi="黑体" w:eastAsia="黑体"/>
          <w:b w:val="0"/>
          <w:bCs w:val="0"/>
        </w:rPr>
        <w:t>主要职责</w:t>
      </w:r>
      <w:bookmarkEnd w:id="14"/>
      <w:bookmarkEnd w:id="15"/>
    </w:p>
    <w:p>
      <w:pPr>
        <w:pageBreakBefore w:val="0"/>
        <w:kinsoku/>
        <w:wordWrap/>
        <w:overflowPunct/>
        <w:topLinePunct w:val="0"/>
        <w:autoSpaceDE/>
        <w:autoSpaceDN/>
        <w:bidi w:val="0"/>
        <w:snapToGrid w:val="0"/>
        <w:spacing w:line="600" w:lineRule="exact"/>
        <w:ind w:firstLine="640" w:firstLineChars="200"/>
        <w:jc w:val="left"/>
        <w:textAlignment w:val="auto"/>
        <w:rPr>
          <w:rFonts w:hint="eastAsia" w:ascii="仿宋_GB2312" w:hAnsi="仿宋" w:eastAsia="仿宋_GB2312"/>
          <w:sz w:val="32"/>
          <w:szCs w:val="32"/>
        </w:rPr>
      </w:pPr>
      <w:bookmarkStart w:id="18" w:name="_Toc15377200"/>
      <w:bookmarkStart w:id="19" w:name="_Toc15396601"/>
      <w:r>
        <w:rPr>
          <w:rFonts w:hint="eastAsia" w:ascii="仿宋_GB2312" w:hAnsi="仿宋" w:eastAsia="仿宋_GB2312"/>
          <w:sz w:val="32"/>
          <w:szCs w:val="32"/>
          <w:lang w:val="en-US" w:eastAsia="zh-CN"/>
        </w:rPr>
        <w:t>1.</w:t>
      </w:r>
      <w:r>
        <w:rPr>
          <w:rFonts w:hint="eastAsia" w:ascii="仿宋_GB2312" w:hAnsi="仿宋" w:eastAsia="仿宋_GB2312"/>
          <w:sz w:val="32"/>
          <w:szCs w:val="32"/>
        </w:rPr>
        <w:t>宣传、贯彻《中华人民共和国红十字会法》，执行《中国红十字会章程》，推动全县红十字会工作的开展。</w:t>
      </w:r>
    </w:p>
    <w:p>
      <w:pPr>
        <w:pageBreakBefore w:val="0"/>
        <w:kinsoku/>
        <w:wordWrap/>
        <w:overflowPunct/>
        <w:topLinePunct w:val="0"/>
        <w:autoSpaceDE/>
        <w:autoSpaceDN/>
        <w:bidi w:val="0"/>
        <w:snapToGrid w:val="0"/>
        <w:spacing w:line="600" w:lineRule="exact"/>
        <w:ind w:firstLine="640" w:firstLineChars="200"/>
        <w:jc w:val="left"/>
        <w:textAlignment w:val="auto"/>
        <w:rPr>
          <w:rFonts w:hint="eastAsia" w:ascii="仿宋_GB2312" w:hAnsi="仿宋" w:eastAsia="仿宋_GB2312"/>
          <w:sz w:val="32"/>
          <w:szCs w:val="32"/>
        </w:rPr>
      </w:pPr>
      <w:r>
        <w:rPr>
          <w:rFonts w:hint="eastAsia" w:ascii="仿宋_GB2312" w:hAnsi="仿宋" w:eastAsia="仿宋_GB2312"/>
          <w:sz w:val="32"/>
          <w:szCs w:val="32"/>
          <w:lang w:val="en-US" w:eastAsia="zh-CN"/>
        </w:rPr>
        <w:t>2.</w:t>
      </w:r>
      <w:r>
        <w:rPr>
          <w:rFonts w:hint="eastAsia" w:ascii="仿宋_GB2312" w:hAnsi="仿宋" w:eastAsia="仿宋_GB2312"/>
          <w:sz w:val="32"/>
          <w:szCs w:val="32"/>
        </w:rPr>
        <w:t>开展全县救援、救灾相关工作。在自然灾害和突发事件中，协助开展救护和救助工作;调查了解灾情，依法开展募捐活动;依法接受国内外组织和个人的捐赠;及时向灾区群众和受难者提供人道主义援助。</w:t>
      </w:r>
    </w:p>
    <w:p>
      <w:pPr>
        <w:pageBreakBefore w:val="0"/>
        <w:kinsoku/>
        <w:wordWrap/>
        <w:overflowPunct/>
        <w:topLinePunct w:val="0"/>
        <w:autoSpaceDE/>
        <w:autoSpaceDN/>
        <w:bidi w:val="0"/>
        <w:snapToGrid w:val="0"/>
        <w:spacing w:line="600" w:lineRule="exact"/>
        <w:ind w:firstLine="640" w:firstLineChars="200"/>
        <w:jc w:val="left"/>
        <w:textAlignment w:val="auto"/>
        <w:rPr>
          <w:rFonts w:hint="eastAsia" w:ascii="仿宋_GB2312" w:hAnsi="仿宋" w:eastAsia="仿宋_GB2312"/>
          <w:sz w:val="32"/>
          <w:szCs w:val="32"/>
        </w:rPr>
      </w:pPr>
      <w:r>
        <w:rPr>
          <w:rFonts w:hint="eastAsia" w:ascii="仿宋_GB2312" w:hAnsi="仿宋" w:eastAsia="仿宋_GB2312"/>
          <w:sz w:val="32"/>
          <w:szCs w:val="32"/>
          <w:lang w:val="en-US" w:eastAsia="zh-CN"/>
        </w:rPr>
        <w:t>3.</w:t>
      </w:r>
      <w:r>
        <w:rPr>
          <w:rFonts w:hint="eastAsia" w:ascii="仿宋_GB2312" w:hAnsi="仿宋" w:eastAsia="仿宋_GB2312"/>
          <w:sz w:val="32"/>
          <w:szCs w:val="32"/>
        </w:rPr>
        <w:t>开展应急救护培训，普及应急救护、防灾避险和卫生健康知识，组织志愿者参与现场救护。</w:t>
      </w:r>
    </w:p>
    <w:p>
      <w:pPr>
        <w:pageBreakBefore w:val="0"/>
        <w:kinsoku/>
        <w:wordWrap/>
        <w:overflowPunct/>
        <w:topLinePunct w:val="0"/>
        <w:autoSpaceDE/>
        <w:autoSpaceDN/>
        <w:bidi w:val="0"/>
        <w:snapToGrid w:val="0"/>
        <w:spacing w:line="600" w:lineRule="exact"/>
        <w:ind w:firstLine="640" w:firstLineChars="200"/>
        <w:jc w:val="left"/>
        <w:textAlignment w:val="auto"/>
        <w:rPr>
          <w:rFonts w:hint="eastAsia" w:ascii="仿宋_GB2312" w:hAnsi="仿宋" w:eastAsia="仿宋_GB2312"/>
          <w:sz w:val="32"/>
          <w:szCs w:val="32"/>
        </w:rPr>
      </w:pPr>
      <w:r>
        <w:rPr>
          <w:rFonts w:hint="eastAsia" w:ascii="仿宋_GB2312" w:hAnsi="仿宋" w:eastAsia="仿宋_GB2312"/>
          <w:sz w:val="32"/>
          <w:szCs w:val="32"/>
          <w:lang w:val="en-US" w:eastAsia="zh-CN"/>
        </w:rPr>
        <w:t>4.</w:t>
      </w:r>
      <w:r>
        <w:rPr>
          <w:rFonts w:hint="eastAsia" w:ascii="仿宋_GB2312" w:hAnsi="仿宋" w:eastAsia="仿宋_GB2312"/>
          <w:sz w:val="32"/>
          <w:szCs w:val="32"/>
        </w:rPr>
        <w:t>参与、推动无偿献血、遗体和人体器官捐献工作，参与开展造血干细胞捐献的相关工作。</w:t>
      </w:r>
    </w:p>
    <w:p>
      <w:pPr>
        <w:pageBreakBefore w:val="0"/>
        <w:kinsoku/>
        <w:wordWrap/>
        <w:overflowPunct/>
        <w:topLinePunct w:val="0"/>
        <w:autoSpaceDE/>
        <w:autoSpaceDN/>
        <w:bidi w:val="0"/>
        <w:snapToGrid w:val="0"/>
        <w:spacing w:line="600" w:lineRule="exact"/>
        <w:ind w:firstLine="640" w:firstLineChars="200"/>
        <w:jc w:val="left"/>
        <w:textAlignment w:val="auto"/>
        <w:rPr>
          <w:rFonts w:hint="eastAsia" w:ascii="仿宋_GB2312" w:hAnsi="仿宋" w:eastAsia="仿宋_GB2312"/>
          <w:sz w:val="32"/>
          <w:szCs w:val="32"/>
        </w:rPr>
      </w:pPr>
      <w:r>
        <w:rPr>
          <w:rFonts w:hint="eastAsia" w:ascii="仿宋_GB2312" w:hAnsi="仿宋" w:eastAsia="仿宋_GB2312"/>
          <w:sz w:val="32"/>
          <w:szCs w:val="32"/>
          <w:lang w:val="en-US" w:eastAsia="zh-CN"/>
        </w:rPr>
        <w:t>5.</w:t>
      </w:r>
      <w:r>
        <w:rPr>
          <w:rFonts w:hint="eastAsia" w:ascii="仿宋_GB2312" w:hAnsi="仿宋" w:eastAsia="仿宋_GB2312"/>
          <w:sz w:val="32"/>
          <w:szCs w:val="32"/>
        </w:rPr>
        <w:t>开展红十字志愿服务活动，开展有益于青少年身心健康的红十字青少年活动。</w:t>
      </w:r>
    </w:p>
    <w:p>
      <w:pPr>
        <w:pageBreakBefore w:val="0"/>
        <w:kinsoku/>
        <w:wordWrap/>
        <w:overflowPunct/>
        <w:topLinePunct w:val="0"/>
        <w:autoSpaceDE/>
        <w:autoSpaceDN/>
        <w:bidi w:val="0"/>
        <w:snapToGrid w:val="0"/>
        <w:spacing w:line="600" w:lineRule="exact"/>
        <w:ind w:firstLine="640" w:firstLineChars="200"/>
        <w:jc w:val="left"/>
        <w:textAlignment w:val="auto"/>
        <w:rPr>
          <w:rFonts w:hint="eastAsia" w:ascii="仿宋_GB2312" w:hAnsi="仿宋" w:eastAsia="仿宋_GB2312"/>
          <w:sz w:val="32"/>
          <w:szCs w:val="32"/>
        </w:rPr>
      </w:pPr>
      <w:r>
        <w:rPr>
          <w:rFonts w:hint="eastAsia" w:ascii="仿宋_GB2312" w:hAnsi="仿宋" w:eastAsia="仿宋_GB2312"/>
          <w:sz w:val="32"/>
          <w:szCs w:val="32"/>
          <w:lang w:val="en-US" w:eastAsia="zh-CN"/>
        </w:rPr>
        <w:t>6.</w:t>
      </w:r>
      <w:r>
        <w:rPr>
          <w:rFonts w:hint="eastAsia" w:ascii="仿宋_GB2312" w:hAnsi="仿宋" w:eastAsia="仿宋_GB2312"/>
          <w:sz w:val="32"/>
          <w:szCs w:val="32"/>
        </w:rPr>
        <w:t>宣传国际红十字和红新月运动的基本原则和日内瓦公约及其附加议定书，并依照有关规定开展工作。</w:t>
      </w:r>
    </w:p>
    <w:p>
      <w:pPr>
        <w:pageBreakBefore w:val="0"/>
        <w:kinsoku/>
        <w:wordWrap/>
        <w:overflowPunct/>
        <w:topLinePunct w:val="0"/>
        <w:autoSpaceDE/>
        <w:autoSpaceDN/>
        <w:bidi w:val="0"/>
        <w:snapToGrid w:val="0"/>
        <w:spacing w:line="600" w:lineRule="exact"/>
        <w:ind w:firstLine="640" w:firstLineChars="200"/>
        <w:jc w:val="left"/>
        <w:textAlignment w:val="auto"/>
        <w:rPr>
          <w:rFonts w:hint="eastAsia" w:ascii="仿宋_GB2312" w:hAnsi="仿宋" w:eastAsia="仿宋_GB2312"/>
          <w:sz w:val="32"/>
          <w:szCs w:val="32"/>
        </w:rPr>
      </w:pPr>
      <w:r>
        <w:rPr>
          <w:rFonts w:hint="eastAsia" w:ascii="仿宋_GB2312" w:hAnsi="仿宋" w:eastAsia="仿宋_GB2312"/>
          <w:sz w:val="32"/>
          <w:szCs w:val="32"/>
          <w:lang w:val="en-US" w:eastAsia="zh-CN"/>
        </w:rPr>
        <w:t>7.</w:t>
      </w:r>
      <w:r>
        <w:rPr>
          <w:rFonts w:hint="eastAsia" w:ascii="仿宋_GB2312" w:hAnsi="仿宋" w:eastAsia="仿宋_GB2312"/>
          <w:sz w:val="32"/>
          <w:szCs w:val="32"/>
        </w:rPr>
        <w:t>发展与各地红十字会之间的友好交往，开展人道领域方面的交流与合作。</w:t>
      </w:r>
    </w:p>
    <w:p>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left"/>
        <w:textAlignment w:val="auto"/>
        <w:rPr>
          <w:rStyle w:val="34"/>
          <w:rFonts w:hint="eastAsia" w:ascii="黑体" w:hAnsi="黑体" w:eastAsia="黑体"/>
          <w:b w:val="0"/>
          <w:bCs w:val="0"/>
          <w:color w:val="auto"/>
          <w:highlight w:val="none"/>
        </w:rPr>
      </w:pPr>
      <w:r>
        <w:rPr>
          <w:rFonts w:hint="eastAsia" w:ascii="仿宋_GB2312" w:hAnsi="仿宋" w:eastAsia="仿宋_GB2312"/>
          <w:b w:val="0"/>
          <w:bCs w:val="0"/>
          <w:sz w:val="32"/>
          <w:szCs w:val="32"/>
          <w:lang w:val="en-US" w:eastAsia="zh-CN"/>
        </w:rPr>
        <w:t>8.</w:t>
      </w:r>
      <w:r>
        <w:rPr>
          <w:rFonts w:hint="eastAsia" w:ascii="仿宋_GB2312" w:hAnsi="仿宋" w:eastAsia="仿宋_GB2312"/>
          <w:b w:val="0"/>
          <w:bCs w:val="0"/>
          <w:sz w:val="32"/>
          <w:szCs w:val="32"/>
        </w:rPr>
        <w:t>完成县委、县政府以及上级红十字会交办的其他工作。</w:t>
      </w:r>
      <w:r>
        <w:rPr>
          <w:rStyle w:val="34"/>
          <w:rFonts w:hint="eastAsia" w:ascii="黑体" w:hAnsi="黑体" w:eastAsia="黑体"/>
          <w:b w:val="0"/>
          <w:bCs w:val="0"/>
          <w:color w:val="auto"/>
          <w:highlight w:val="none"/>
        </w:rPr>
        <w:t>二、机构设置</w:t>
      </w:r>
      <w:bookmarkEnd w:id="18"/>
      <w:bookmarkEnd w:id="19"/>
    </w:p>
    <w:p>
      <w:pPr>
        <w:numPr>
          <w:ilvl w:val="0"/>
          <w:numId w:val="0"/>
        </w:num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马边彝族自治县红十字会</w:t>
      </w:r>
      <w:r>
        <w:rPr>
          <w:rFonts w:hint="eastAsia" w:ascii="仿宋_GB2312" w:hAnsi="仿宋_GB2312" w:eastAsia="仿宋_GB2312" w:cs="仿宋_GB2312"/>
          <w:sz w:val="32"/>
          <w:szCs w:val="32"/>
        </w:rPr>
        <w:t>下属二级</w:t>
      </w:r>
      <w:r>
        <w:rPr>
          <w:rFonts w:hint="eastAsia" w:ascii="仿宋_GB2312" w:hAnsi="仿宋_GB2312" w:eastAsia="仿宋_GB2312" w:cs="仿宋_GB2312"/>
          <w:sz w:val="32"/>
          <w:szCs w:val="32"/>
          <w:lang w:eastAsia="zh-CN"/>
        </w:rPr>
        <w:t>预算</w:t>
      </w:r>
      <w:r>
        <w:rPr>
          <w:rFonts w:hint="eastAsia" w:ascii="仿宋_GB2312" w:hAnsi="仿宋_GB2312" w:eastAsia="仿宋_GB2312" w:cs="仿宋_GB2312"/>
          <w:sz w:val="32"/>
          <w:szCs w:val="32"/>
        </w:rPr>
        <w:t>单位</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val="en-US" w:eastAsia="zh-CN"/>
        </w:rPr>
        <w:t>为公益一类</w:t>
      </w:r>
      <w:r>
        <w:rPr>
          <w:rFonts w:hint="eastAsia" w:ascii="仿宋_GB2312" w:hAnsi="仿宋_GB2312" w:eastAsia="仿宋_GB2312" w:cs="仿宋_GB2312"/>
          <w:sz w:val="32"/>
          <w:szCs w:val="32"/>
        </w:rPr>
        <w:t>事业单位。</w:t>
      </w:r>
    </w:p>
    <w:p>
      <w:pPr>
        <w:numPr>
          <w:ilvl w:val="0"/>
          <w:numId w:val="0"/>
        </w:num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纳入</w:t>
      </w:r>
      <w:r>
        <w:rPr>
          <w:rFonts w:hint="eastAsia" w:ascii="仿宋_GB2312" w:hAnsi="仿宋_GB2312" w:eastAsia="仿宋_GB2312" w:cs="仿宋_GB2312"/>
          <w:sz w:val="32"/>
          <w:szCs w:val="32"/>
          <w:lang w:val="en-US" w:eastAsia="zh-CN"/>
        </w:rPr>
        <w:t>马边彝族自治县红十字会</w:t>
      </w:r>
      <w:r>
        <w:rPr>
          <w:rFonts w:hint="eastAsia" w:ascii="仿宋_GB2312" w:hAnsi="仿宋_GB2312" w:eastAsia="仿宋_GB2312" w:cs="仿宋_GB2312"/>
          <w:sz w:val="32"/>
          <w:szCs w:val="32"/>
          <w:lang w:eastAsia="zh-CN"/>
        </w:rPr>
        <w:t>2023</w:t>
      </w:r>
      <w:r>
        <w:rPr>
          <w:rFonts w:hint="eastAsia" w:ascii="仿宋_GB2312" w:hAnsi="仿宋_GB2312" w:eastAsia="仿宋_GB2312" w:cs="仿宋_GB2312"/>
          <w:sz w:val="32"/>
          <w:szCs w:val="32"/>
        </w:rPr>
        <w:t>年度部门决算编制范围的二级预算单位</w:t>
      </w:r>
      <w:r>
        <w:rPr>
          <w:rFonts w:hint="eastAsia" w:ascii="仿宋_GB2312" w:hAnsi="仿宋_GB2312" w:eastAsia="仿宋_GB2312" w:cs="仿宋_GB2312"/>
          <w:sz w:val="32"/>
          <w:szCs w:val="32"/>
          <w:lang w:val="en-US" w:eastAsia="zh-CN"/>
        </w:rPr>
        <w:t>有1个，为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马边彝族自治县红十字会。</w:t>
      </w:r>
    </w:p>
    <w:p>
      <w:pPr>
        <w:widowControl/>
        <w:jc w:val="left"/>
        <w:rPr>
          <w:rFonts w:hint="eastAsia" w:ascii="黑体" w:hAnsi="黑体" w:eastAsia="黑体"/>
          <w:b w:val="0"/>
        </w:rPr>
      </w:pPr>
    </w:p>
    <w:bookmarkEnd w:id="16"/>
    <w:bookmarkEnd w:id="17"/>
    <w:p>
      <w:pPr>
        <w:widowControl/>
        <w:jc w:val="left"/>
        <w:rPr>
          <w:rFonts w:ascii="Times New Roman" w:hAnsi="Times New Roman" w:eastAsia="宋体" w:cs="Times New Roman"/>
          <w:kern w:val="2"/>
          <w:sz w:val="21"/>
          <w:szCs w:val="24"/>
          <w:lang w:val="en-US" w:eastAsia="zh-CN" w:bidi="ar-SA"/>
        </w:rPr>
      </w:pPr>
    </w:p>
    <w:p>
      <w:pPr>
        <w:pStyle w:val="4"/>
        <w:ind w:right="440"/>
        <w:jc w:val="center"/>
        <w:rPr>
          <w:rStyle w:val="28"/>
          <w:rFonts w:ascii="黑体" w:hAnsi="黑体" w:eastAsia="黑体"/>
          <w:b w:val="0"/>
          <w:bCs/>
        </w:rPr>
      </w:pPr>
      <w:bookmarkStart w:id="20" w:name="_Toc15396602"/>
      <w:bookmarkStart w:id="21" w:name="_Toc15377204"/>
      <w:bookmarkStart w:id="22" w:name="_Toc29470"/>
      <w:bookmarkStart w:id="23" w:name="_Toc18677"/>
      <w:r>
        <w:rPr>
          <w:rFonts w:hint="eastAsia" w:ascii="黑体" w:hAnsi="黑体" w:eastAsia="黑体"/>
          <w:b w:val="0"/>
        </w:rPr>
        <w:t>第二部分 2023年度</w:t>
      </w:r>
      <w:r>
        <w:rPr>
          <w:rStyle w:val="28"/>
          <w:rFonts w:hint="eastAsia" w:ascii="黑体" w:hAnsi="黑体" w:eastAsia="黑体"/>
          <w:b w:val="0"/>
          <w:bCs/>
        </w:rPr>
        <w:t>单位决算情况说明</w:t>
      </w:r>
      <w:bookmarkEnd w:id="20"/>
      <w:bookmarkEnd w:id="21"/>
      <w:bookmarkEnd w:id="22"/>
      <w:bookmarkEnd w:id="23"/>
    </w:p>
    <w:p/>
    <w:p>
      <w:pPr>
        <w:pStyle w:val="27"/>
        <w:numPr>
          <w:ilvl w:val="0"/>
          <w:numId w:val="2"/>
        </w:numPr>
        <w:spacing w:line="600" w:lineRule="exact"/>
        <w:ind w:firstLineChars="0"/>
        <w:outlineLvl w:val="1"/>
        <w:rPr>
          <w:rStyle w:val="29"/>
          <w:rFonts w:ascii="黑体" w:hAnsi="黑体" w:eastAsia="黑体"/>
          <w:b w:val="0"/>
        </w:rPr>
      </w:pPr>
      <w:bookmarkStart w:id="24" w:name="_Toc15396603"/>
      <w:bookmarkStart w:id="25" w:name="_Toc15377205"/>
      <w:bookmarkStart w:id="26" w:name="_Toc2315"/>
      <w:bookmarkStart w:id="27" w:name="_Toc1838"/>
      <w:r>
        <w:rPr>
          <w:rFonts w:hint="eastAsia" w:ascii="黑体" w:hAnsi="黑体" w:eastAsia="黑体"/>
          <w:sz w:val="32"/>
          <w:szCs w:val="32"/>
        </w:rPr>
        <w:t>收</w:t>
      </w:r>
      <w:r>
        <w:rPr>
          <w:rStyle w:val="29"/>
          <w:rFonts w:hint="eastAsia" w:ascii="黑体" w:hAnsi="黑体" w:eastAsia="黑体"/>
          <w:b w:val="0"/>
        </w:rPr>
        <w:t>入支出决算总体情况说明</w:t>
      </w:r>
      <w:bookmarkEnd w:id="24"/>
      <w:bookmarkEnd w:id="25"/>
      <w:bookmarkEnd w:id="26"/>
      <w:bookmarkEnd w:id="27"/>
    </w:p>
    <w:p>
      <w:pPr>
        <w:numPr>
          <w:ilvl w:val="0"/>
          <w:numId w:val="0"/>
        </w:numPr>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2023</w:t>
      </w:r>
      <w:r>
        <w:rPr>
          <w:rFonts w:hint="eastAsia" w:ascii="仿宋_GB2312" w:hAnsi="仿宋_GB2312" w:eastAsia="仿宋_GB2312" w:cs="仿宋_GB2312"/>
          <w:sz w:val="32"/>
          <w:szCs w:val="32"/>
        </w:rPr>
        <w:t>年度收、支总计</w:t>
      </w:r>
      <w:r>
        <w:rPr>
          <w:rFonts w:hint="eastAsia" w:ascii="仿宋_GB2312" w:hAnsi="仿宋_GB2312" w:eastAsia="仿宋_GB2312" w:cs="仿宋_GB2312"/>
          <w:sz w:val="32"/>
          <w:szCs w:val="32"/>
          <w:lang w:eastAsia="zh-CN"/>
        </w:rPr>
        <w:t>均为</w:t>
      </w:r>
      <w:r>
        <w:rPr>
          <w:rFonts w:hint="eastAsia" w:ascii="仿宋_GB2312" w:hAnsi="仿宋_GB2312" w:eastAsia="仿宋_GB2312" w:cs="仿宋_GB2312"/>
          <w:sz w:val="32"/>
          <w:szCs w:val="32"/>
          <w:lang w:val="en-US" w:eastAsia="zh-CN"/>
        </w:rPr>
        <w:t>318.6</w:t>
      </w:r>
      <w:r>
        <w:rPr>
          <w:rFonts w:hint="eastAsia" w:ascii="仿宋_GB2312" w:hAnsi="仿宋_GB2312" w:eastAsia="仿宋_GB2312" w:cs="仿宋_GB2312"/>
          <w:sz w:val="32"/>
          <w:szCs w:val="32"/>
        </w:rPr>
        <w:t>万元。与</w:t>
      </w:r>
      <w:r>
        <w:rPr>
          <w:rFonts w:hint="eastAsia" w:ascii="仿宋_GB2312" w:hAnsi="仿宋_GB2312" w:eastAsia="仿宋_GB2312" w:cs="仿宋_GB2312"/>
          <w:sz w:val="32"/>
          <w:szCs w:val="32"/>
          <w:lang w:eastAsia="zh-CN"/>
        </w:rPr>
        <w:t>2022</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度</w:t>
      </w:r>
      <w:r>
        <w:rPr>
          <w:rFonts w:hint="eastAsia" w:ascii="仿宋_GB2312" w:hAnsi="仿宋_GB2312" w:eastAsia="仿宋_GB2312" w:cs="仿宋_GB2312"/>
          <w:sz w:val="32"/>
          <w:szCs w:val="32"/>
        </w:rPr>
        <w:t>相比，收、支总计各增加</w:t>
      </w:r>
      <w:r>
        <w:rPr>
          <w:rFonts w:hint="eastAsia" w:ascii="仿宋_GB2312" w:hAnsi="仿宋_GB2312" w:eastAsia="仿宋_GB2312" w:cs="仿宋_GB2312"/>
          <w:sz w:val="32"/>
          <w:szCs w:val="32"/>
          <w:lang w:val="en-US" w:eastAsia="zh-CN"/>
        </w:rPr>
        <w:t>243.71</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325.4</w:t>
      </w:r>
      <w:r>
        <w:rPr>
          <w:rFonts w:hint="eastAsia" w:ascii="仿宋_GB2312" w:hAnsi="仿宋_GB2312" w:eastAsia="仿宋_GB2312" w:cs="仿宋_GB2312"/>
          <w:sz w:val="32"/>
          <w:szCs w:val="32"/>
        </w:rPr>
        <w:t>%。主要变动原因是</w:t>
      </w:r>
      <w:r>
        <w:rPr>
          <w:rFonts w:hint="eastAsia" w:ascii="仿宋_GB2312" w:hAnsi="仿宋_GB2312" w:eastAsia="仿宋_GB2312" w:cs="仿宋_GB2312"/>
          <w:sz w:val="32"/>
          <w:szCs w:val="32"/>
          <w:lang w:val="en-US" w:eastAsia="zh-CN"/>
        </w:rPr>
        <w:t>增加东西部协作项目，政府性基金预算项目也比上年度大幅度增加</w:t>
      </w:r>
      <w:r>
        <w:rPr>
          <w:rFonts w:hint="eastAsia" w:ascii="仿宋_GB2312" w:hAnsi="仿宋_GB2312" w:eastAsia="仿宋_GB2312" w:cs="仿宋_GB2312"/>
          <w:sz w:val="32"/>
          <w:szCs w:val="32"/>
          <w:lang w:eastAsia="zh-CN"/>
        </w:rPr>
        <w:t>。</w:t>
      </w:r>
    </w:p>
    <w:p>
      <w:pPr>
        <w:pStyle w:val="35"/>
        <w:rPr>
          <w:rFonts w:hint="eastAsia" w:ascii="仿宋" w:hAnsi="仿宋" w:eastAsia="仿宋"/>
          <w:color w:val="auto"/>
          <w:sz w:val="32"/>
          <w:szCs w:val="32"/>
          <w:highlight w:val="none"/>
          <w:lang w:eastAsia="zh-CN"/>
        </w:rPr>
      </w:pPr>
      <w:r>
        <w:drawing>
          <wp:anchor distT="0" distB="0" distL="114300" distR="114300" simplePos="0" relativeHeight="251660288" behindDoc="1" locked="0" layoutInCell="1" allowOverlap="1">
            <wp:simplePos x="0" y="0"/>
            <wp:positionH relativeFrom="column">
              <wp:posOffset>299720</wp:posOffset>
            </wp:positionH>
            <wp:positionV relativeFrom="paragraph">
              <wp:posOffset>66675</wp:posOffset>
            </wp:positionV>
            <wp:extent cx="4676775" cy="2286000"/>
            <wp:effectExtent l="4445" t="4445" r="5080" b="71755"/>
            <wp:wrapTight wrapText="bothSides">
              <wp:wrapPolygon>
                <wp:start x="-21" y="-42"/>
                <wp:lineTo x="-21" y="21558"/>
                <wp:lineTo x="21535" y="21558"/>
                <wp:lineTo x="21535" y="-42"/>
                <wp:lineTo x="-21" y="-42"/>
              </wp:wrapPolygon>
            </wp:wrapTight>
            <wp:docPr id="11"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pStyle w:val="35"/>
        <w:rPr>
          <w:rFonts w:hint="eastAsia" w:ascii="仿宋" w:hAnsi="仿宋" w:eastAsia="仿宋"/>
          <w:color w:val="auto"/>
          <w:sz w:val="32"/>
          <w:szCs w:val="32"/>
          <w:highlight w:val="none"/>
          <w:lang w:eastAsia="zh-CN"/>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jc w:val="left"/>
        <w:rPr>
          <w:rFonts w:ascii="仿宋_GB2312" w:eastAsia="仿宋_GB2312"/>
          <w:sz w:val="32"/>
          <w:szCs w:val="32"/>
        </w:rPr>
      </w:pPr>
    </w:p>
    <w:p>
      <w:pPr>
        <w:spacing w:line="600" w:lineRule="exact"/>
        <w:ind w:firstLine="640" w:firstLineChars="200"/>
        <w:rPr>
          <w:rFonts w:ascii="仿宋_GB2312" w:eastAsia="仿宋_GB2312"/>
          <w:sz w:val="32"/>
          <w:szCs w:val="32"/>
        </w:rPr>
      </w:pPr>
      <w:r>
        <w:rPr>
          <w:rFonts w:hint="eastAsia" w:ascii="仿宋" w:hAnsi="仿宋" w:eastAsia="仿宋"/>
          <w:color w:val="auto"/>
          <w:sz w:val="32"/>
          <w:szCs w:val="32"/>
          <w:highlight w:val="none"/>
        </w:rPr>
        <w:t>（图</w:t>
      </w:r>
      <w:r>
        <w:rPr>
          <w:rFonts w:ascii="仿宋" w:hAnsi="仿宋" w:eastAsia="仿宋"/>
          <w:color w:val="auto"/>
          <w:sz w:val="32"/>
          <w:szCs w:val="32"/>
          <w:highlight w:val="none"/>
        </w:rPr>
        <w:t>1</w:t>
      </w:r>
      <w:r>
        <w:rPr>
          <w:rFonts w:hint="eastAsia" w:ascii="仿宋" w:hAnsi="仿宋" w:eastAsia="仿宋"/>
          <w:color w:val="auto"/>
          <w:sz w:val="32"/>
          <w:szCs w:val="32"/>
          <w:highlight w:val="none"/>
        </w:rPr>
        <w:t>：收、支决算总计变动情况图）（柱状图）</w:t>
      </w:r>
    </w:p>
    <w:p>
      <w:pPr>
        <w:spacing w:line="600" w:lineRule="exact"/>
        <w:ind w:firstLine="640" w:firstLineChars="200"/>
        <w:jc w:val="left"/>
        <w:rPr>
          <w:rFonts w:ascii="仿宋_GB2312" w:eastAsia="仿宋_GB2312"/>
          <w:sz w:val="32"/>
          <w:szCs w:val="32"/>
        </w:rPr>
      </w:pPr>
    </w:p>
    <w:p>
      <w:pPr>
        <w:pStyle w:val="27"/>
        <w:numPr>
          <w:ilvl w:val="0"/>
          <w:numId w:val="2"/>
        </w:numPr>
        <w:spacing w:line="600" w:lineRule="exact"/>
        <w:ind w:firstLineChars="0"/>
        <w:outlineLvl w:val="1"/>
        <w:rPr>
          <w:rStyle w:val="29"/>
          <w:rFonts w:ascii="黑体" w:hAnsi="黑体" w:eastAsia="黑体"/>
          <w:b w:val="0"/>
        </w:rPr>
      </w:pPr>
      <w:bookmarkStart w:id="28" w:name="_Toc15396604"/>
      <w:bookmarkStart w:id="29" w:name="_Toc15377206"/>
      <w:bookmarkStart w:id="30" w:name="_Toc32439"/>
      <w:bookmarkStart w:id="31" w:name="_Toc28279"/>
      <w:r>
        <w:rPr>
          <w:rFonts w:hint="eastAsia" w:ascii="黑体" w:hAnsi="黑体" w:eastAsia="黑体"/>
          <w:sz w:val="32"/>
          <w:szCs w:val="32"/>
        </w:rPr>
        <w:t>收</w:t>
      </w:r>
      <w:r>
        <w:rPr>
          <w:rStyle w:val="29"/>
          <w:rFonts w:hint="eastAsia" w:ascii="黑体" w:hAnsi="黑体" w:eastAsia="黑体"/>
          <w:b w:val="0"/>
        </w:rPr>
        <w:t>入决算情况说明</w:t>
      </w:r>
      <w:bookmarkEnd w:id="28"/>
      <w:bookmarkEnd w:id="29"/>
      <w:bookmarkEnd w:id="30"/>
      <w:bookmarkEnd w:id="31"/>
    </w:p>
    <w:p>
      <w:pPr>
        <w:numPr>
          <w:ilvl w:val="0"/>
          <w:numId w:val="0"/>
        </w:num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度本年收入合计318.6万元，其中：一般公共预算财政拨款收入294.84万元，占92.54%；政府性基金预算财政拨款收入23.76万元，占7.45%；国有资本经营预算财政拨款收入0万元，占0%；上级补助收入0万元，占0%；事业收入0万元，占0%；经营收入0万元，占0%；附属单位上缴收入0万元，占0%；其他收入0万元，占0%。</w:t>
      </w:r>
    </w:p>
    <w:p>
      <w:pPr>
        <w:spacing w:line="600" w:lineRule="exact"/>
        <w:ind w:firstLine="420" w:firstLineChars="200"/>
        <w:outlineLvl w:val="1"/>
        <w:rPr>
          <w:rFonts w:ascii="仿宋" w:hAnsi="仿宋" w:eastAsia="仿宋"/>
          <w:sz w:val="32"/>
          <w:szCs w:val="32"/>
        </w:rPr>
      </w:pPr>
      <w:r>
        <w:drawing>
          <wp:anchor distT="0" distB="0" distL="114300" distR="114300" simplePos="0" relativeHeight="251662336" behindDoc="1" locked="0" layoutInCell="1" allowOverlap="1">
            <wp:simplePos x="0" y="0"/>
            <wp:positionH relativeFrom="column">
              <wp:posOffset>128270</wp:posOffset>
            </wp:positionH>
            <wp:positionV relativeFrom="paragraph">
              <wp:posOffset>204470</wp:posOffset>
            </wp:positionV>
            <wp:extent cx="4572000" cy="2640330"/>
            <wp:effectExtent l="4445" t="4445" r="14605" b="22225"/>
            <wp:wrapTight wrapText="bothSides">
              <wp:wrapPolygon>
                <wp:start x="-21" y="-36"/>
                <wp:lineTo x="-21" y="21470"/>
                <wp:lineTo x="21579" y="21470"/>
                <wp:lineTo x="21579" y="-36"/>
                <wp:lineTo x="-21" y="-36"/>
              </wp:wrapPolygon>
            </wp:wrapTight>
            <wp:docPr id="16"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pPr>
        <w:pStyle w:val="35"/>
        <w:rPr>
          <w:rFonts w:ascii="仿宋" w:hAnsi="仿宋" w:eastAsia="仿宋"/>
          <w:sz w:val="32"/>
          <w:szCs w:val="32"/>
        </w:rPr>
      </w:pPr>
    </w:p>
    <w:p>
      <w:pPr>
        <w:pStyle w:val="35"/>
        <w:rPr>
          <w:rFonts w:ascii="仿宋" w:hAnsi="仿宋" w:eastAsia="仿宋"/>
          <w:sz w:val="32"/>
          <w:szCs w:val="32"/>
        </w:rPr>
      </w:pPr>
    </w:p>
    <w:p>
      <w:pPr>
        <w:pStyle w:val="35"/>
        <w:rPr>
          <w:rFonts w:ascii="仿宋" w:hAnsi="仿宋" w:eastAsia="仿宋"/>
          <w:sz w:val="32"/>
          <w:szCs w:val="32"/>
        </w:rPr>
      </w:pPr>
    </w:p>
    <w:p>
      <w:pPr>
        <w:pStyle w:val="35"/>
        <w:rPr>
          <w:rFonts w:ascii="仿宋" w:hAnsi="仿宋" w:eastAsia="仿宋"/>
          <w:sz w:val="32"/>
          <w:szCs w:val="32"/>
        </w:rPr>
      </w:pPr>
    </w:p>
    <w:p>
      <w:pPr>
        <w:spacing w:line="600" w:lineRule="exact"/>
        <w:ind w:firstLine="640" w:firstLineChars="200"/>
        <w:rPr>
          <w:rFonts w:hint="eastAsia" w:ascii="仿宋" w:hAnsi="仿宋" w:eastAsia="仿宋"/>
          <w:sz w:val="32"/>
          <w:szCs w:val="32"/>
        </w:rPr>
      </w:pPr>
    </w:p>
    <w:p>
      <w:pPr>
        <w:spacing w:line="600" w:lineRule="exact"/>
        <w:ind w:firstLine="640" w:firstLineChars="200"/>
        <w:rPr>
          <w:rFonts w:ascii="仿宋" w:hAnsi="仿宋" w:eastAsia="仿宋"/>
          <w:sz w:val="32"/>
          <w:szCs w:val="32"/>
        </w:rPr>
      </w:pPr>
      <w:r>
        <w:rPr>
          <w:rFonts w:hint="eastAsia" w:ascii="仿宋" w:hAnsi="仿宋" w:eastAsia="仿宋"/>
          <w:sz w:val="32"/>
          <w:szCs w:val="32"/>
        </w:rPr>
        <w:t>（图2：收入决算结构图）（饼状图）</w:t>
      </w:r>
    </w:p>
    <w:p>
      <w:pPr>
        <w:spacing w:line="600" w:lineRule="exact"/>
        <w:ind w:firstLine="640" w:firstLineChars="200"/>
        <w:rPr>
          <w:rFonts w:ascii="仿宋_GB2312" w:eastAsia="仿宋_GB2312"/>
          <w:sz w:val="32"/>
          <w:szCs w:val="32"/>
        </w:rPr>
      </w:pPr>
    </w:p>
    <w:p>
      <w:pPr>
        <w:pStyle w:val="27"/>
        <w:numPr>
          <w:ilvl w:val="0"/>
          <w:numId w:val="2"/>
        </w:numPr>
        <w:spacing w:line="600" w:lineRule="exact"/>
        <w:ind w:firstLineChars="0"/>
        <w:outlineLvl w:val="1"/>
        <w:rPr>
          <w:rStyle w:val="29"/>
          <w:rFonts w:ascii="黑体" w:hAnsi="黑体" w:eastAsia="黑体"/>
          <w:b w:val="0"/>
        </w:rPr>
      </w:pPr>
      <w:bookmarkStart w:id="32" w:name="_Toc15396605"/>
      <w:bookmarkStart w:id="33" w:name="_Toc15377207"/>
      <w:bookmarkStart w:id="34" w:name="_Toc12028"/>
      <w:bookmarkStart w:id="35" w:name="_Toc10744"/>
      <w:r>
        <w:rPr>
          <w:rFonts w:hint="eastAsia" w:ascii="黑体" w:hAnsi="黑体" w:eastAsia="黑体"/>
          <w:sz w:val="32"/>
          <w:szCs w:val="32"/>
        </w:rPr>
        <w:t>支</w:t>
      </w:r>
      <w:r>
        <w:rPr>
          <w:rStyle w:val="29"/>
          <w:rFonts w:hint="eastAsia" w:ascii="黑体" w:hAnsi="黑体" w:eastAsia="黑体"/>
          <w:b w:val="0"/>
        </w:rPr>
        <w:t>出决算情况说明</w:t>
      </w:r>
      <w:bookmarkEnd w:id="32"/>
      <w:bookmarkEnd w:id="33"/>
      <w:bookmarkEnd w:id="34"/>
      <w:bookmarkEnd w:id="35"/>
    </w:p>
    <w:p>
      <w:pPr>
        <w:numPr>
          <w:ilvl w:val="0"/>
          <w:numId w:val="0"/>
        </w:num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2023年度本年支出合计318.6万元，其中：基本支出89.05万元，占27.95%；项目支出229.55万元，占72.04%；上缴上级支出0万元，占0%；经营支出0万元，占0%；对附属单位补助支出0万元，占0%。</w:t>
      </w:r>
    </w:p>
    <w:p>
      <w:pPr>
        <w:spacing w:line="600" w:lineRule="exact"/>
        <w:ind w:firstLine="640"/>
        <w:rPr>
          <w:rFonts w:ascii="仿宋" w:hAnsi="仿宋" w:eastAsia="仿宋"/>
          <w:sz w:val="32"/>
          <w:szCs w:val="32"/>
          <w:shd w:val="pct10" w:color="auto" w:fill="FFFFFF"/>
        </w:rPr>
      </w:pPr>
      <w:r>
        <w:drawing>
          <wp:anchor distT="0" distB="0" distL="114300" distR="114300" simplePos="0" relativeHeight="251663360" behindDoc="1" locked="0" layoutInCell="1" allowOverlap="1">
            <wp:simplePos x="0" y="0"/>
            <wp:positionH relativeFrom="column">
              <wp:posOffset>349885</wp:posOffset>
            </wp:positionH>
            <wp:positionV relativeFrom="paragraph">
              <wp:posOffset>208280</wp:posOffset>
            </wp:positionV>
            <wp:extent cx="4010660" cy="1864995"/>
            <wp:effectExtent l="4445" t="4445" r="23495" b="16510"/>
            <wp:wrapTight wrapText="bothSides">
              <wp:wrapPolygon>
                <wp:start x="-24" y="-51"/>
                <wp:lineTo x="-24" y="21350"/>
                <wp:lineTo x="21521" y="21350"/>
                <wp:lineTo x="21521" y="-51"/>
                <wp:lineTo x="-24" y="-51"/>
              </wp:wrapPolygon>
            </wp:wrapTight>
            <wp:docPr id="20"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pStyle w:val="35"/>
        <w:rPr>
          <w:rFonts w:ascii="仿宋" w:hAnsi="仿宋" w:eastAsia="仿宋"/>
          <w:sz w:val="32"/>
          <w:szCs w:val="32"/>
          <w:shd w:val="pct10" w:color="auto" w:fill="FFFFFF"/>
        </w:rPr>
      </w:pPr>
    </w:p>
    <w:p>
      <w:pPr>
        <w:pStyle w:val="35"/>
        <w:rPr>
          <w:rFonts w:ascii="仿宋" w:hAnsi="仿宋" w:eastAsia="仿宋"/>
          <w:sz w:val="32"/>
          <w:szCs w:val="32"/>
          <w:shd w:val="pct10" w:color="auto" w:fill="FFFFFF"/>
        </w:rPr>
      </w:pPr>
    </w:p>
    <w:p>
      <w:pPr>
        <w:pStyle w:val="35"/>
        <w:rPr>
          <w:rFonts w:ascii="仿宋" w:hAnsi="仿宋" w:eastAsia="仿宋"/>
          <w:sz w:val="32"/>
          <w:szCs w:val="32"/>
          <w:shd w:val="pct10" w:color="auto" w:fill="FFFFFF"/>
        </w:rPr>
      </w:pPr>
    </w:p>
    <w:p>
      <w:pPr>
        <w:spacing w:line="600" w:lineRule="exact"/>
        <w:ind w:firstLine="640" w:firstLineChars="200"/>
        <w:rPr>
          <w:rFonts w:ascii="仿宋_GB2312" w:eastAsia="仿宋_GB2312"/>
          <w:sz w:val="32"/>
          <w:szCs w:val="32"/>
        </w:rPr>
      </w:pPr>
      <w:r>
        <w:rPr>
          <w:rFonts w:hint="eastAsia" w:ascii="仿宋" w:hAnsi="仿宋" w:eastAsia="仿宋"/>
          <w:sz w:val="32"/>
          <w:szCs w:val="32"/>
        </w:rPr>
        <w:t>（图3：支出决算结构图）（饼状图）</w:t>
      </w:r>
    </w:p>
    <w:p>
      <w:pPr>
        <w:spacing w:line="600" w:lineRule="exact"/>
        <w:ind w:firstLine="640" w:firstLineChars="200"/>
        <w:rPr>
          <w:rFonts w:ascii="仿宋_GB2312" w:eastAsia="仿宋_GB2312"/>
          <w:sz w:val="32"/>
          <w:szCs w:val="32"/>
        </w:rPr>
      </w:pPr>
    </w:p>
    <w:p>
      <w:pPr>
        <w:spacing w:line="600" w:lineRule="exact"/>
        <w:ind w:firstLine="640" w:firstLineChars="200"/>
        <w:outlineLvl w:val="1"/>
        <w:rPr>
          <w:rStyle w:val="29"/>
          <w:rFonts w:ascii="黑体" w:hAnsi="黑体" w:eastAsia="黑体"/>
          <w:b w:val="0"/>
        </w:rPr>
      </w:pPr>
      <w:bookmarkStart w:id="36" w:name="_Toc15377208"/>
      <w:bookmarkStart w:id="37" w:name="_Toc15396606"/>
      <w:bookmarkStart w:id="38" w:name="_Toc28825"/>
      <w:bookmarkStart w:id="39" w:name="_Toc2619"/>
      <w:r>
        <w:rPr>
          <w:rFonts w:hint="eastAsia" w:ascii="黑体" w:hAnsi="黑体" w:eastAsia="黑体"/>
          <w:sz w:val="32"/>
          <w:szCs w:val="32"/>
        </w:rPr>
        <w:t>四、财</w:t>
      </w:r>
      <w:r>
        <w:rPr>
          <w:rStyle w:val="29"/>
          <w:rFonts w:hint="eastAsia" w:ascii="黑体" w:hAnsi="黑体" w:eastAsia="黑体"/>
          <w:b w:val="0"/>
        </w:rPr>
        <w:t>政拨款收入支出决算总体情况说明</w:t>
      </w:r>
      <w:bookmarkEnd w:id="36"/>
      <w:bookmarkEnd w:id="37"/>
      <w:bookmarkEnd w:id="38"/>
      <w:bookmarkEnd w:id="39"/>
    </w:p>
    <w:p>
      <w:pPr>
        <w:numPr>
          <w:ilvl w:val="0"/>
          <w:numId w:val="0"/>
        </w:numPr>
        <w:spacing w:line="600" w:lineRule="exact"/>
        <w:ind w:firstLine="640" w:firstLineChars="200"/>
        <w:rPr>
          <w:rFonts w:hint="eastAsia" w:ascii="仿宋_GB2312" w:hAnsi="仿宋_GB2312" w:eastAsia="仿宋_GB2312" w:cs="仿宋_GB2312"/>
          <w:sz w:val="32"/>
          <w:szCs w:val="32"/>
          <w:lang w:eastAsia="zh-CN"/>
        </w:rPr>
      </w:pPr>
      <w:bookmarkStart w:id="40" w:name="_Toc15396607"/>
      <w:bookmarkStart w:id="41" w:name="_Toc15377209"/>
      <w:r>
        <w:rPr>
          <w:rFonts w:hint="eastAsia" w:ascii="仿宋_GB2312" w:hAnsi="仿宋_GB2312" w:eastAsia="仿宋_GB2312" w:cs="仿宋_GB2312"/>
          <w:sz w:val="32"/>
          <w:szCs w:val="32"/>
        </w:rPr>
        <w:t>2023年度财政拨款收、支总计均为318.6万元。与2022年度相比，财政拨款收、支总计各增加</w:t>
      </w:r>
      <w:r>
        <w:rPr>
          <w:rFonts w:hint="eastAsia" w:ascii="仿宋_GB2312" w:hAnsi="仿宋_GB2312" w:eastAsia="仿宋_GB2312" w:cs="仿宋_GB2312"/>
          <w:sz w:val="32"/>
          <w:szCs w:val="32"/>
          <w:lang w:val="en-US" w:eastAsia="zh-CN"/>
        </w:rPr>
        <w:t>243.71</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325.4</w:t>
      </w:r>
      <w:r>
        <w:rPr>
          <w:rFonts w:hint="eastAsia" w:ascii="仿宋_GB2312" w:hAnsi="仿宋_GB2312" w:eastAsia="仿宋_GB2312" w:cs="仿宋_GB2312"/>
          <w:sz w:val="32"/>
          <w:szCs w:val="32"/>
        </w:rPr>
        <w:t>%。主要变动原因是</w:t>
      </w:r>
      <w:r>
        <w:rPr>
          <w:rFonts w:hint="eastAsia" w:ascii="仿宋_GB2312" w:hAnsi="仿宋_GB2312" w:eastAsia="仿宋_GB2312" w:cs="仿宋_GB2312"/>
          <w:sz w:val="32"/>
          <w:szCs w:val="32"/>
          <w:lang w:val="en-US" w:eastAsia="zh-CN"/>
        </w:rPr>
        <w:t>增加东西部协作项目，政府性基金预算项目也比上年度大幅度增加</w:t>
      </w:r>
      <w:r>
        <w:rPr>
          <w:rFonts w:hint="eastAsia" w:ascii="仿宋_GB2312" w:hAnsi="仿宋_GB2312" w:eastAsia="仿宋_GB2312" w:cs="仿宋_GB2312"/>
          <w:sz w:val="32"/>
          <w:szCs w:val="32"/>
          <w:lang w:eastAsia="zh-CN"/>
        </w:rPr>
        <w:t>。</w:t>
      </w:r>
    </w:p>
    <w:p>
      <w:pPr>
        <w:spacing w:line="600" w:lineRule="exact"/>
        <w:ind w:firstLine="640"/>
        <w:rPr>
          <w:rFonts w:ascii="仿宋" w:hAnsi="仿宋" w:eastAsia="仿宋"/>
          <w:sz w:val="32"/>
          <w:szCs w:val="32"/>
        </w:rPr>
      </w:pPr>
      <w:r>
        <w:drawing>
          <wp:anchor distT="0" distB="0" distL="114300" distR="114300" simplePos="0" relativeHeight="251664384" behindDoc="1" locked="0" layoutInCell="1" allowOverlap="1">
            <wp:simplePos x="0" y="0"/>
            <wp:positionH relativeFrom="column">
              <wp:posOffset>471170</wp:posOffset>
            </wp:positionH>
            <wp:positionV relativeFrom="paragraph">
              <wp:posOffset>23495</wp:posOffset>
            </wp:positionV>
            <wp:extent cx="4572000" cy="2486025"/>
            <wp:effectExtent l="4445" t="4445" r="14605" b="5080"/>
            <wp:wrapTight wrapText="bothSides">
              <wp:wrapPolygon>
                <wp:start x="-21" y="-39"/>
                <wp:lineTo x="-21" y="21479"/>
                <wp:lineTo x="21579" y="21479"/>
                <wp:lineTo x="21579" y="-39"/>
                <wp:lineTo x="-21" y="-39"/>
              </wp:wrapPolygon>
            </wp:wrapTight>
            <wp:docPr id="21"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pPr>
        <w:spacing w:line="600" w:lineRule="exact"/>
        <w:rPr>
          <w:rFonts w:ascii="仿宋" w:hAnsi="仿宋" w:eastAsia="仿宋"/>
          <w:sz w:val="32"/>
          <w:szCs w:val="32"/>
        </w:rPr>
      </w:pPr>
    </w:p>
    <w:p>
      <w:pPr>
        <w:pStyle w:val="35"/>
        <w:rPr>
          <w:rFonts w:ascii="仿宋" w:hAnsi="仿宋" w:eastAsia="仿宋"/>
          <w:sz w:val="32"/>
          <w:szCs w:val="32"/>
        </w:rPr>
      </w:pPr>
    </w:p>
    <w:p>
      <w:pPr>
        <w:pStyle w:val="35"/>
        <w:rPr>
          <w:rFonts w:ascii="仿宋" w:hAnsi="仿宋" w:eastAsia="仿宋"/>
          <w:sz w:val="32"/>
          <w:szCs w:val="32"/>
        </w:rPr>
      </w:pPr>
    </w:p>
    <w:p>
      <w:pPr>
        <w:pStyle w:val="35"/>
        <w:rPr>
          <w:rFonts w:ascii="仿宋" w:hAnsi="仿宋" w:eastAsia="仿宋"/>
          <w:sz w:val="32"/>
          <w:szCs w:val="32"/>
        </w:rPr>
      </w:pPr>
    </w:p>
    <w:p>
      <w:pPr>
        <w:spacing w:line="600" w:lineRule="exact"/>
        <w:ind w:firstLine="640" w:firstLineChars="200"/>
      </w:pPr>
      <w:r>
        <w:rPr>
          <w:rFonts w:hint="eastAsia" w:ascii="仿宋" w:hAnsi="仿宋" w:eastAsia="仿宋"/>
          <w:sz w:val="32"/>
          <w:szCs w:val="32"/>
        </w:rPr>
        <w:t>（图4：财政拨款收、支决算总计变动情况）（柱状图）</w:t>
      </w:r>
    </w:p>
    <w:p>
      <w:pPr>
        <w:spacing w:line="600" w:lineRule="exact"/>
        <w:ind w:firstLine="640" w:firstLineChars="200"/>
        <w:outlineLvl w:val="1"/>
        <w:rPr>
          <w:rStyle w:val="29"/>
          <w:rFonts w:ascii="黑体" w:hAnsi="黑体" w:eastAsia="黑体"/>
          <w:b w:val="0"/>
        </w:rPr>
      </w:pPr>
      <w:bookmarkStart w:id="42" w:name="_Toc19157"/>
      <w:bookmarkStart w:id="43" w:name="_Toc8523"/>
      <w:r>
        <w:rPr>
          <w:rFonts w:hint="eastAsia" w:ascii="黑体" w:hAnsi="黑体" w:eastAsia="黑体"/>
          <w:sz w:val="32"/>
          <w:szCs w:val="32"/>
        </w:rPr>
        <w:t>五、</w:t>
      </w:r>
      <w:r>
        <w:rPr>
          <w:rFonts w:hint="eastAsia" w:ascii="黑体" w:hAnsi="黑体" w:eastAsia="黑体"/>
          <w:b/>
          <w:sz w:val="32"/>
          <w:szCs w:val="32"/>
        </w:rPr>
        <w:t>一</w:t>
      </w:r>
      <w:r>
        <w:rPr>
          <w:rStyle w:val="29"/>
          <w:rFonts w:hint="eastAsia" w:ascii="黑体" w:hAnsi="黑体" w:eastAsia="黑体"/>
          <w:b w:val="0"/>
        </w:rPr>
        <w:t>般公共预算财政拨款支出决算情况说明</w:t>
      </w:r>
      <w:bookmarkEnd w:id="40"/>
      <w:bookmarkEnd w:id="41"/>
      <w:bookmarkEnd w:id="42"/>
      <w:bookmarkEnd w:id="43"/>
    </w:p>
    <w:p>
      <w:pPr>
        <w:spacing w:line="600" w:lineRule="exact"/>
        <w:ind w:firstLine="643" w:firstLineChars="200"/>
        <w:outlineLvl w:val="2"/>
        <w:rPr>
          <w:rFonts w:ascii="仿宋" w:hAnsi="仿宋" w:eastAsia="仿宋"/>
          <w:b/>
          <w:sz w:val="32"/>
          <w:szCs w:val="32"/>
        </w:rPr>
      </w:pPr>
      <w:bookmarkStart w:id="44" w:name="_Toc15377210"/>
      <w:r>
        <w:rPr>
          <w:rFonts w:hint="eastAsia" w:ascii="仿宋" w:hAnsi="仿宋" w:eastAsia="仿宋"/>
          <w:b/>
          <w:sz w:val="32"/>
          <w:szCs w:val="32"/>
        </w:rPr>
        <w:t>（一）一般公共预算财政拨款支出决算总体情况</w:t>
      </w:r>
      <w:bookmarkEnd w:id="44"/>
    </w:p>
    <w:p>
      <w:pPr>
        <w:spacing w:line="240" w:lineRule="auto"/>
        <w:ind w:firstLine="640" w:firstLineChars="200"/>
        <w:rPr>
          <w:rFonts w:hint="eastAsia" w:ascii="仿宋" w:hAnsi="仿宋" w:eastAsia="仿宋"/>
          <w:color w:val="auto"/>
          <w:sz w:val="32"/>
          <w:szCs w:val="32"/>
          <w:highlight w:val="none"/>
          <w:lang w:eastAsia="zh-CN"/>
        </w:rPr>
      </w:pPr>
      <w:r>
        <w:rPr>
          <w:rFonts w:hint="eastAsia" w:ascii="仿宋_GB2312" w:hAnsi="仿宋_GB2312" w:eastAsia="仿宋_GB2312" w:cs="仿宋_GB2312"/>
          <w:sz w:val="32"/>
          <w:szCs w:val="32"/>
        </w:rPr>
        <w:t>2023年度一般公共预算财政拨款支出294.84万元，占本年支出合计的92.54%。与2022年度相比，一般公共预算财政拨款支出增加</w:t>
      </w:r>
      <w:r>
        <w:rPr>
          <w:rFonts w:hint="eastAsia" w:ascii="仿宋_GB2312" w:hAnsi="仿宋_GB2312" w:eastAsia="仿宋_GB2312" w:cs="仿宋_GB2312"/>
          <w:sz w:val="32"/>
          <w:szCs w:val="32"/>
          <w:lang w:val="en-US" w:eastAsia="zh-CN"/>
        </w:rPr>
        <w:t>219.95</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293.7</w:t>
      </w:r>
      <w:r>
        <w:rPr>
          <w:rFonts w:hint="eastAsia" w:ascii="仿宋_GB2312" w:hAnsi="仿宋_GB2312" w:eastAsia="仿宋_GB2312" w:cs="仿宋_GB2312"/>
          <w:sz w:val="32"/>
          <w:szCs w:val="32"/>
        </w:rPr>
        <w:t>%。主要变动原因是</w:t>
      </w:r>
      <w:r>
        <w:rPr>
          <w:rFonts w:hint="eastAsia" w:ascii="仿宋_GB2312" w:hAnsi="仿宋_GB2312" w:eastAsia="仿宋_GB2312" w:cs="仿宋_GB2312"/>
          <w:sz w:val="32"/>
          <w:szCs w:val="32"/>
          <w:lang w:val="en-US" w:eastAsia="zh-CN"/>
        </w:rPr>
        <w:t>增加东西部协作项目，政府性基金预算项目也比上年度大幅度增加</w:t>
      </w:r>
      <w:r>
        <w:rPr>
          <w:rFonts w:hint="eastAsia" w:ascii="仿宋_GB2312" w:hAnsi="仿宋_GB2312" w:eastAsia="仿宋_GB2312" w:cs="仿宋_GB2312"/>
          <w:sz w:val="32"/>
          <w:szCs w:val="32"/>
          <w:lang w:eastAsia="zh-CN"/>
        </w:rPr>
        <w:t>。</w:t>
      </w:r>
    </w:p>
    <w:p>
      <w:pPr>
        <w:pStyle w:val="35"/>
        <w:rPr>
          <w:rFonts w:ascii="仿宋" w:hAnsi="仿宋" w:eastAsia="仿宋"/>
          <w:sz w:val="32"/>
          <w:szCs w:val="32"/>
        </w:rPr>
      </w:pPr>
      <w:r>
        <w:drawing>
          <wp:anchor distT="0" distB="0" distL="114300" distR="114300" simplePos="0" relativeHeight="251665408" behindDoc="1" locked="0" layoutInCell="1" allowOverlap="1">
            <wp:simplePos x="0" y="0"/>
            <wp:positionH relativeFrom="column">
              <wp:posOffset>185420</wp:posOffset>
            </wp:positionH>
            <wp:positionV relativeFrom="paragraph">
              <wp:posOffset>51435</wp:posOffset>
            </wp:positionV>
            <wp:extent cx="5228590" cy="2961640"/>
            <wp:effectExtent l="4445" t="4445" r="5715" b="5715"/>
            <wp:wrapTight wrapText="bothSides">
              <wp:wrapPolygon>
                <wp:start x="-18" y="-32"/>
                <wp:lineTo x="-18" y="21503"/>
                <wp:lineTo x="21545" y="21503"/>
                <wp:lineTo x="21545" y="-32"/>
                <wp:lineTo x="-18" y="-32"/>
              </wp:wrapPolygon>
            </wp:wrapTight>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仿宋" w:hAnsi="仿宋" w:eastAsia="仿宋"/>
          <w:sz w:val="32"/>
          <w:szCs w:val="32"/>
        </w:rPr>
        <w:t>（图5：一般公共预算财政拨款支出决算变动情况）（柱状图）</w:t>
      </w:r>
    </w:p>
    <w:p>
      <w:pPr>
        <w:spacing w:line="600" w:lineRule="exact"/>
        <w:ind w:firstLine="640" w:firstLineChars="200"/>
        <w:rPr>
          <w:rFonts w:ascii="仿宋" w:hAnsi="仿宋" w:eastAsia="仿宋"/>
          <w:sz w:val="32"/>
          <w:szCs w:val="32"/>
        </w:rPr>
      </w:pPr>
    </w:p>
    <w:p>
      <w:pPr>
        <w:spacing w:line="600" w:lineRule="exact"/>
        <w:ind w:firstLine="643" w:firstLineChars="200"/>
        <w:outlineLvl w:val="2"/>
        <w:rPr>
          <w:rFonts w:ascii="仿宋" w:hAnsi="仿宋" w:eastAsia="仿宋"/>
          <w:b/>
          <w:sz w:val="32"/>
          <w:szCs w:val="32"/>
        </w:rPr>
      </w:pPr>
      <w:bookmarkStart w:id="45" w:name="_Toc15377211"/>
      <w:r>
        <w:rPr>
          <w:rFonts w:hint="eastAsia" w:ascii="仿宋" w:hAnsi="仿宋" w:eastAsia="仿宋"/>
          <w:b/>
          <w:sz w:val="32"/>
          <w:szCs w:val="32"/>
        </w:rPr>
        <w:t>（二）一般公共预算财政拨款支出决算结构情况</w:t>
      </w:r>
      <w:bookmarkEnd w:id="45"/>
    </w:p>
    <w:p>
      <w:pPr>
        <w:spacing w:line="6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2023年度一般公共预算财政拨款支出294.84万元，主要用于以下方面:</w:t>
      </w:r>
      <w:r>
        <w:rPr>
          <w:rFonts w:hint="eastAsia" w:ascii="仿宋" w:hAnsi="仿宋" w:eastAsia="仿宋"/>
          <w:b/>
          <w:sz w:val="32"/>
          <w:szCs w:val="32"/>
        </w:rPr>
        <w:t>社会保障和就业</w:t>
      </w:r>
      <w:r>
        <w:rPr>
          <w:rFonts w:hint="eastAsia" w:ascii="仿宋" w:hAnsi="仿宋" w:eastAsia="仿宋"/>
          <w:b/>
          <w:bCs/>
          <w:sz w:val="32"/>
          <w:szCs w:val="32"/>
        </w:rPr>
        <w:t>支出</w:t>
      </w:r>
      <w:r>
        <w:rPr>
          <w:rFonts w:hint="eastAsia" w:ascii="仿宋_GB2312" w:hAnsi="仿宋_GB2312" w:eastAsia="仿宋_GB2312" w:cs="仿宋_GB2312"/>
          <w:sz w:val="32"/>
          <w:szCs w:val="32"/>
          <w:lang w:val="en-US" w:eastAsia="zh-CN"/>
        </w:rPr>
        <w:t>79.18</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26.9</w:t>
      </w:r>
      <w:r>
        <w:rPr>
          <w:rFonts w:hint="eastAsia" w:ascii="仿宋_GB2312" w:hAnsi="仿宋_GB2312" w:eastAsia="仿宋_GB2312" w:cs="仿宋_GB2312"/>
          <w:sz w:val="32"/>
          <w:szCs w:val="32"/>
        </w:rPr>
        <w:t>%；</w:t>
      </w:r>
      <w:r>
        <w:rPr>
          <w:rFonts w:hint="eastAsia" w:ascii="仿宋" w:hAnsi="仿宋" w:eastAsia="仿宋"/>
          <w:b/>
          <w:bCs/>
          <w:sz w:val="32"/>
          <w:szCs w:val="32"/>
        </w:rPr>
        <w:t>卫生健康支出</w:t>
      </w:r>
      <w:r>
        <w:rPr>
          <w:rFonts w:hint="eastAsia" w:ascii="仿宋_GB2312" w:hAnsi="仿宋_GB2312" w:eastAsia="仿宋_GB2312" w:cs="仿宋_GB2312"/>
          <w:sz w:val="32"/>
          <w:szCs w:val="32"/>
        </w:rPr>
        <w:t>2.43万元，占</w:t>
      </w:r>
      <w:r>
        <w:rPr>
          <w:rFonts w:hint="eastAsia" w:ascii="仿宋_GB2312" w:hAnsi="仿宋_GB2312" w:eastAsia="仿宋_GB2312" w:cs="仿宋_GB2312"/>
          <w:sz w:val="32"/>
          <w:szCs w:val="32"/>
          <w:lang w:val="en-US" w:eastAsia="zh-CN"/>
        </w:rPr>
        <w:t>0.8</w:t>
      </w:r>
      <w:r>
        <w:rPr>
          <w:rFonts w:hint="eastAsia" w:ascii="仿宋_GB2312" w:hAnsi="仿宋_GB2312" w:eastAsia="仿宋_GB2312" w:cs="仿宋_GB2312"/>
          <w:sz w:val="32"/>
          <w:szCs w:val="32"/>
        </w:rPr>
        <w:t>%；</w:t>
      </w:r>
      <w:r>
        <w:rPr>
          <w:rFonts w:hint="eastAsia" w:ascii="仿宋" w:hAnsi="仿宋" w:eastAsia="仿宋"/>
          <w:b/>
          <w:bCs/>
          <w:sz w:val="32"/>
          <w:szCs w:val="32"/>
          <w:lang w:val="en-US" w:eastAsia="zh-CN"/>
        </w:rPr>
        <w:t>农林水支出</w:t>
      </w:r>
      <w:r>
        <w:rPr>
          <w:rFonts w:hint="eastAsia" w:ascii="仿宋_GB2312" w:hAnsi="仿宋_GB2312" w:eastAsia="仿宋_GB2312" w:cs="仿宋_GB2312"/>
          <w:sz w:val="32"/>
          <w:szCs w:val="32"/>
          <w:lang w:val="en-US" w:eastAsia="zh-CN"/>
        </w:rPr>
        <w:t>205.79万元，占69.8%；</w:t>
      </w:r>
      <w:r>
        <w:rPr>
          <w:rFonts w:hint="eastAsia" w:ascii="仿宋" w:hAnsi="仿宋" w:eastAsia="仿宋"/>
          <w:b/>
          <w:bCs/>
          <w:sz w:val="32"/>
          <w:szCs w:val="32"/>
          <w:lang w:val="en-US" w:eastAsia="zh-CN"/>
        </w:rPr>
        <w:t>住房保障支出</w:t>
      </w:r>
      <w:r>
        <w:rPr>
          <w:rFonts w:hint="eastAsia" w:ascii="仿宋_GB2312" w:hAnsi="仿宋_GB2312" w:eastAsia="仿宋_GB2312" w:cs="仿宋_GB2312"/>
          <w:sz w:val="32"/>
          <w:szCs w:val="32"/>
          <w:lang w:val="en-US" w:eastAsia="zh-CN"/>
        </w:rPr>
        <w:t>7.44万元，占2.5%</w:t>
      </w:r>
      <w:r>
        <w:rPr>
          <w:rFonts w:hint="eastAsia" w:ascii="仿宋_GB2312" w:hAnsi="仿宋_GB2312" w:eastAsia="仿宋_GB2312" w:cs="仿宋_GB2312"/>
          <w:sz w:val="32"/>
          <w:szCs w:val="32"/>
        </w:rPr>
        <w:t>。</w:t>
      </w:r>
    </w:p>
    <w:p>
      <w:pPr>
        <w:pStyle w:val="35"/>
        <w:rPr>
          <w:rFonts w:hint="eastAsia" w:ascii="仿宋" w:hAnsi="仿宋" w:eastAsia="仿宋"/>
          <w:sz w:val="32"/>
          <w:szCs w:val="32"/>
        </w:rPr>
      </w:pPr>
    </w:p>
    <w:p>
      <w:pPr>
        <w:pStyle w:val="35"/>
        <w:rPr>
          <w:rFonts w:hint="eastAsia" w:ascii="仿宋" w:hAnsi="仿宋" w:eastAsia="仿宋"/>
          <w:sz w:val="32"/>
          <w:szCs w:val="32"/>
        </w:rPr>
      </w:pPr>
    </w:p>
    <w:p>
      <w:pPr>
        <w:pStyle w:val="35"/>
        <w:rPr>
          <w:rFonts w:hint="eastAsia" w:ascii="仿宋" w:hAnsi="仿宋" w:eastAsia="仿宋"/>
          <w:sz w:val="32"/>
          <w:szCs w:val="32"/>
        </w:rPr>
      </w:pPr>
    </w:p>
    <w:p>
      <w:pPr>
        <w:pStyle w:val="35"/>
        <w:rPr>
          <w:rFonts w:hint="eastAsia" w:ascii="仿宋" w:hAnsi="仿宋" w:eastAsia="仿宋"/>
          <w:sz w:val="32"/>
          <w:szCs w:val="32"/>
        </w:rPr>
      </w:pPr>
      <w:r>
        <w:drawing>
          <wp:anchor distT="0" distB="0" distL="114300" distR="114300" simplePos="0" relativeHeight="251666432" behindDoc="1" locked="0" layoutInCell="1" allowOverlap="1">
            <wp:simplePos x="0" y="0"/>
            <wp:positionH relativeFrom="column">
              <wp:posOffset>280670</wp:posOffset>
            </wp:positionH>
            <wp:positionV relativeFrom="paragraph">
              <wp:posOffset>113030</wp:posOffset>
            </wp:positionV>
            <wp:extent cx="4572000" cy="2743200"/>
            <wp:effectExtent l="4445" t="4445" r="14605" b="14605"/>
            <wp:wrapTight wrapText="bothSides">
              <wp:wrapPolygon>
                <wp:start x="-21" y="-35"/>
                <wp:lineTo x="-21" y="21565"/>
                <wp:lineTo x="21579" y="21565"/>
                <wp:lineTo x="21579" y="-35"/>
                <wp:lineTo x="-21" y="-35"/>
              </wp:wrapPolygon>
            </wp:wrapTight>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pPr>
        <w:pStyle w:val="35"/>
        <w:rPr>
          <w:rFonts w:hint="eastAsia" w:ascii="仿宋" w:hAnsi="仿宋" w:eastAsia="仿宋"/>
          <w:sz w:val="32"/>
          <w:szCs w:val="32"/>
        </w:rPr>
      </w:pPr>
    </w:p>
    <w:p>
      <w:pPr>
        <w:pStyle w:val="35"/>
        <w:rPr>
          <w:rFonts w:hint="eastAsia" w:ascii="仿宋" w:hAnsi="仿宋" w:eastAsia="仿宋"/>
          <w:sz w:val="32"/>
          <w:szCs w:val="32"/>
        </w:rPr>
      </w:pPr>
    </w:p>
    <w:p>
      <w:pPr>
        <w:pStyle w:val="35"/>
        <w:rPr>
          <w:rFonts w:hint="eastAsia" w:ascii="仿宋" w:hAnsi="仿宋" w:eastAsia="仿宋"/>
          <w:sz w:val="32"/>
          <w:szCs w:val="32"/>
        </w:rPr>
      </w:pPr>
    </w:p>
    <w:p>
      <w:pPr>
        <w:spacing w:line="600" w:lineRule="exact"/>
        <w:ind w:firstLine="640" w:firstLineChars="200"/>
        <w:rPr>
          <w:rFonts w:hint="eastAsia" w:ascii="仿宋" w:hAnsi="仿宋" w:eastAsia="仿宋"/>
          <w:sz w:val="32"/>
          <w:szCs w:val="32"/>
        </w:rPr>
      </w:pPr>
    </w:p>
    <w:p>
      <w:pPr>
        <w:spacing w:line="600" w:lineRule="exact"/>
        <w:ind w:firstLine="640" w:firstLineChars="200"/>
        <w:rPr>
          <w:rFonts w:hint="eastAsia" w:ascii="仿宋" w:hAnsi="仿宋" w:eastAsia="仿宋"/>
          <w:sz w:val="32"/>
          <w:szCs w:val="32"/>
        </w:rPr>
      </w:pPr>
    </w:p>
    <w:p>
      <w:pPr>
        <w:spacing w:line="600" w:lineRule="exact"/>
        <w:rPr>
          <w:rFonts w:ascii="仿宋" w:hAnsi="仿宋" w:eastAsia="仿宋"/>
          <w:sz w:val="32"/>
          <w:szCs w:val="32"/>
        </w:rPr>
      </w:pPr>
      <w:r>
        <w:rPr>
          <w:rFonts w:hint="eastAsia" w:ascii="仿宋" w:hAnsi="仿宋" w:eastAsia="仿宋"/>
          <w:sz w:val="32"/>
          <w:szCs w:val="32"/>
        </w:rPr>
        <w:t>（图6：一般公共预算财政拨款支出决算结构）（饼状图）</w:t>
      </w:r>
    </w:p>
    <w:p>
      <w:pPr>
        <w:spacing w:line="600" w:lineRule="exact"/>
        <w:ind w:firstLine="640" w:firstLineChars="200"/>
        <w:rPr>
          <w:rFonts w:ascii="仿宋" w:hAnsi="仿宋" w:eastAsia="仿宋"/>
          <w:sz w:val="32"/>
          <w:szCs w:val="32"/>
        </w:rPr>
      </w:pPr>
    </w:p>
    <w:p>
      <w:pPr>
        <w:spacing w:line="600" w:lineRule="exact"/>
        <w:ind w:firstLine="643" w:firstLineChars="200"/>
        <w:outlineLvl w:val="2"/>
        <w:rPr>
          <w:rFonts w:ascii="仿宋" w:hAnsi="仿宋" w:eastAsia="仿宋"/>
          <w:b/>
          <w:sz w:val="32"/>
          <w:szCs w:val="32"/>
        </w:rPr>
      </w:pPr>
      <w:bookmarkStart w:id="46" w:name="_Toc15377212"/>
      <w:r>
        <w:rPr>
          <w:rFonts w:hint="eastAsia" w:ascii="仿宋" w:hAnsi="仿宋" w:eastAsia="仿宋"/>
          <w:b/>
          <w:sz w:val="32"/>
          <w:szCs w:val="32"/>
        </w:rPr>
        <w:t>（三）一般公共预算财政拨款支出决算具体情况</w:t>
      </w:r>
      <w:bookmarkEnd w:id="46"/>
    </w:p>
    <w:p>
      <w:pPr>
        <w:spacing w:line="600" w:lineRule="exact"/>
        <w:ind w:firstLine="643" w:firstLineChars="200"/>
        <w:outlineLvl w:val="2"/>
        <w:rPr>
          <w:rFonts w:ascii="仿宋" w:hAnsi="仿宋" w:eastAsia="仿宋"/>
          <w:sz w:val="32"/>
          <w:szCs w:val="32"/>
        </w:rPr>
      </w:pPr>
      <w:bookmarkStart w:id="47" w:name="_Toc15377444"/>
      <w:bookmarkStart w:id="48" w:name="_Toc15377213"/>
      <w:bookmarkStart w:id="49" w:name="_Toc15378460"/>
      <w:bookmarkStart w:id="50" w:name="_Toc4579"/>
      <w:bookmarkStart w:id="51" w:name="_Toc15377214"/>
      <w:bookmarkStart w:id="52" w:name="_Toc15396608"/>
      <w:r>
        <w:rPr>
          <w:rFonts w:hint="eastAsia" w:ascii="仿宋" w:hAnsi="仿宋" w:eastAsia="仿宋"/>
          <w:b/>
          <w:sz w:val="32"/>
          <w:szCs w:val="32"/>
        </w:rPr>
        <w:t>2023年度一般公共预算支出决算数为</w:t>
      </w:r>
      <w:r>
        <w:rPr>
          <w:sz w:val="32"/>
          <w:szCs w:val="32"/>
        </w:rPr>
        <w:t>294.84</w:t>
      </w:r>
      <w:r>
        <w:rPr>
          <w:rFonts w:hint="eastAsia" w:ascii="仿宋" w:hAnsi="仿宋" w:eastAsia="仿宋"/>
          <w:sz w:val="32"/>
          <w:szCs w:val="32"/>
        </w:rPr>
        <w:t>，</w:t>
      </w:r>
      <w:r>
        <w:rPr>
          <w:rStyle w:val="17"/>
          <w:rFonts w:hint="eastAsia" w:ascii="仿宋" w:hAnsi="仿宋" w:eastAsia="仿宋"/>
          <w:bCs/>
          <w:sz w:val="32"/>
          <w:szCs w:val="32"/>
        </w:rPr>
        <w:t>完成预算</w:t>
      </w:r>
      <w:r>
        <w:rPr>
          <w:rStyle w:val="17"/>
          <w:rFonts w:hint="eastAsia" w:ascii="仿宋" w:hAnsi="仿宋" w:eastAsia="仿宋"/>
          <w:bCs/>
          <w:sz w:val="32"/>
          <w:szCs w:val="32"/>
          <w:lang w:val="en-US" w:eastAsia="zh-CN"/>
        </w:rPr>
        <w:t>100</w:t>
      </w:r>
      <w:r>
        <w:rPr>
          <w:rStyle w:val="17"/>
          <w:rFonts w:ascii="仿宋" w:hAnsi="仿宋" w:eastAsia="仿宋"/>
          <w:bCs/>
          <w:sz w:val="32"/>
          <w:szCs w:val="32"/>
        </w:rPr>
        <w:t>%</w:t>
      </w:r>
      <w:r>
        <w:rPr>
          <w:rStyle w:val="17"/>
          <w:rFonts w:hint="eastAsia" w:ascii="仿宋" w:hAnsi="仿宋" w:eastAsia="仿宋"/>
          <w:bCs/>
          <w:sz w:val="32"/>
          <w:szCs w:val="32"/>
        </w:rPr>
        <w:t>。其中：</w:t>
      </w:r>
      <w:bookmarkEnd w:id="47"/>
      <w:bookmarkEnd w:id="48"/>
      <w:bookmarkEnd w:id="49"/>
      <w:bookmarkEnd w:id="50"/>
    </w:p>
    <w:p>
      <w:pPr>
        <w:spacing w:line="600" w:lineRule="exact"/>
        <w:ind w:firstLine="643" w:firstLineChars="200"/>
        <w:rPr>
          <w:rFonts w:hint="eastAsia" w:ascii="仿宋_GB2312" w:hAnsi="仿宋_GB2312" w:eastAsia="仿宋_GB2312" w:cs="仿宋_GB2312"/>
          <w:sz w:val="32"/>
          <w:szCs w:val="32"/>
        </w:rPr>
      </w:pPr>
      <w:r>
        <w:rPr>
          <w:rStyle w:val="17"/>
          <w:rFonts w:ascii="仿宋" w:hAnsi="仿宋" w:eastAsia="仿宋"/>
          <w:bCs/>
          <w:sz w:val="32"/>
          <w:szCs w:val="32"/>
        </w:rPr>
        <w:t>1.</w:t>
      </w:r>
      <w:r>
        <w:rPr>
          <w:rStyle w:val="17"/>
          <w:rFonts w:hint="eastAsia" w:ascii="仿宋" w:hAnsi="仿宋" w:eastAsia="仿宋"/>
          <w:bCs/>
          <w:sz w:val="32"/>
          <w:szCs w:val="32"/>
        </w:rPr>
        <w:t>社会保障和就业支出（类）行政事业单位养老支出（款）机关事业单位基本养老保险缴费支出（项）</w:t>
      </w:r>
      <w:r>
        <w:rPr>
          <w:rStyle w:val="17"/>
          <w:rFonts w:ascii="仿宋" w:hAnsi="仿宋" w:eastAsia="仿宋"/>
          <w:bCs/>
          <w:sz w:val="32"/>
          <w:szCs w:val="32"/>
        </w:rPr>
        <w:t>:</w:t>
      </w:r>
      <w:r>
        <w:rPr>
          <w:rStyle w:val="17"/>
          <w:rFonts w:ascii="仿宋" w:hAnsi="仿宋" w:eastAsia="仿宋"/>
          <w:b w:val="0"/>
          <w:bCs/>
          <w:sz w:val="32"/>
          <w:szCs w:val="32"/>
        </w:rPr>
        <w:t xml:space="preserve"> </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9.47</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3.2</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与</w:t>
      </w:r>
      <w:r>
        <w:rPr>
          <w:rFonts w:hint="eastAsia" w:ascii="仿宋_GB2312" w:hAnsi="仿宋_GB2312" w:eastAsia="仿宋_GB2312" w:cs="仿宋_GB2312"/>
          <w:sz w:val="32"/>
          <w:szCs w:val="32"/>
        </w:rPr>
        <w:t>预算数</w:t>
      </w:r>
      <w:r>
        <w:rPr>
          <w:rFonts w:hint="eastAsia" w:ascii="仿宋_GB2312" w:hAnsi="仿宋_GB2312" w:eastAsia="仿宋_GB2312" w:cs="仿宋_GB2312"/>
          <w:sz w:val="32"/>
          <w:szCs w:val="32"/>
          <w:lang w:val="en-US" w:eastAsia="zh-CN"/>
        </w:rPr>
        <w:t>持平</w:t>
      </w:r>
      <w:r>
        <w:rPr>
          <w:rFonts w:hint="eastAsia" w:ascii="仿宋_GB2312" w:hAnsi="仿宋_GB2312" w:eastAsia="仿宋_GB2312" w:cs="仿宋_GB2312"/>
          <w:sz w:val="32"/>
          <w:szCs w:val="32"/>
        </w:rPr>
        <w:t>。</w:t>
      </w:r>
    </w:p>
    <w:p>
      <w:pPr>
        <w:spacing w:line="600" w:lineRule="exact"/>
        <w:ind w:firstLine="643" w:firstLineChars="200"/>
        <w:rPr>
          <w:rFonts w:hint="eastAsia" w:ascii="仿宋_GB2312" w:hAnsi="仿宋_GB2312" w:eastAsia="仿宋_GB2312" w:cs="仿宋_GB2312"/>
          <w:sz w:val="32"/>
          <w:szCs w:val="32"/>
        </w:rPr>
      </w:pPr>
      <w:r>
        <w:rPr>
          <w:rStyle w:val="17"/>
          <w:rFonts w:ascii="仿宋" w:hAnsi="仿宋" w:eastAsia="仿宋"/>
          <w:bCs/>
          <w:sz w:val="32"/>
          <w:szCs w:val="32"/>
        </w:rPr>
        <w:t>2.</w:t>
      </w:r>
      <w:r>
        <w:rPr>
          <w:rStyle w:val="17"/>
          <w:rFonts w:hint="eastAsia" w:ascii="仿宋" w:hAnsi="仿宋" w:eastAsia="仿宋"/>
          <w:bCs/>
          <w:sz w:val="32"/>
          <w:szCs w:val="32"/>
        </w:rPr>
        <w:t>社会保障和就业支出（类）红十字事业（款）事业运行（项）</w:t>
      </w:r>
      <w:r>
        <w:rPr>
          <w:rStyle w:val="17"/>
          <w:rFonts w:ascii="仿宋" w:hAnsi="仿宋" w:eastAsia="仿宋"/>
          <w:bCs/>
          <w:sz w:val="32"/>
          <w:szCs w:val="32"/>
        </w:rPr>
        <w:t>:</w:t>
      </w:r>
      <w:r>
        <w:rPr>
          <w:rStyle w:val="17"/>
          <w:rFonts w:ascii="仿宋" w:hAnsi="仿宋" w:eastAsia="仿宋"/>
          <w:b w:val="0"/>
          <w:bCs/>
          <w:sz w:val="32"/>
          <w:szCs w:val="32"/>
        </w:rPr>
        <w:t xml:space="preserve"> </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68.46</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23.3</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与</w:t>
      </w:r>
      <w:r>
        <w:rPr>
          <w:rFonts w:hint="eastAsia" w:ascii="仿宋_GB2312" w:hAnsi="仿宋_GB2312" w:eastAsia="仿宋_GB2312" w:cs="仿宋_GB2312"/>
          <w:sz w:val="32"/>
          <w:szCs w:val="32"/>
        </w:rPr>
        <w:t>预算数</w:t>
      </w:r>
      <w:r>
        <w:rPr>
          <w:rFonts w:hint="eastAsia" w:ascii="仿宋_GB2312" w:hAnsi="仿宋_GB2312" w:eastAsia="仿宋_GB2312" w:cs="仿宋_GB2312"/>
          <w:sz w:val="32"/>
          <w:szCs w:val="32"/>
          <w:lang w:val="en-US" w:eastAsia="zh-CN"/>
        </w:rPr>
        <w:t>持平</w:t>
      </w:r>
      <w:r>
        <w:rPr>
          <w:rFonts w:hint="eastAsia" w:ascii="仿宋_GB2312" w:hAnsi="仿宋_GB2312" w:eastAsia="仿宋_GB2312" w:cs="仿宋_GB2312"/>
          <w:sz w:val="32"/>
          <w:szCs w:val="32"/>
        </w:rPr>
        <w:t>。</w:t>
      </w:r>
    </w:p>
    <w:p>
      <w:pPr>
        <w:spacing w:line="600" w:lineRule="exact"/>
        <w:ind w:firstLine="643" w:firstLineChars="200"/>
        <w:rPr>
          <w:rFonts w:hint="eastAsia" w:ascii="仿宋_GB2312" w:hAnsi="仿宋_GB2312" w:eastAsia="仿宋_GB2312" w:cs="仿宋_GB2312"/>
          <w:sz w:val="32"/>
          <w:szCs w:val="32"/>
        </w:rPr>
      </w:pPr>
      <w:r>
        <w:rPr>
          <w:rStyle w:val="17"/>
          <w:rFonts w:ascii="仿宋" w:hAnsi="仿宋" w:eastAsia="仿宋"/>
          <w:bCs/>
          <w:sz w:val="32"/>
          <w:szCs w:val="32"/>
        </w:rPr>
        <w:t>3.</w:t>
      </w:r>
      <w:r>
        <w:rPr>
          <w:rStyle w:val="17"/>
          <w:rFonts w:hint="eastAsia" w:ascii="仿宋" w:hAnsi="仿宋" w:eastAsia="仿宋"/>
          <w:bCs/>
          <w:sz w:val="32"/>
          <w:szCs w:val="32"/>
        </w:rPr>
        <w:t>社会保障和就业支出（类）其他社会保障和就业支出（款）其他社会保障和就业支出（项）</w:t>
      </w:r>
      <w:r>
        <w:rPr>
          <w:rStyle w:val="17"/>
          <w:rFonts w:ascii="仿宋" w:hAnsi="仿宋" w:eastAsia="仿宋"/>
          <w:bCs/>
          <w:sz w:val="32"/>
          <w:szCs w:val="32"/>
        </w:rPr>
        <w:t>:</w:t>
      </w:r>
      <w:r>
        <w:rPr>
          <w:rStyle w:val="17"/>
          <w:rFonts w:ascii="仿宋" w:hAnsi="仿宋" w:eastAsia="仿宋"/>
          <w:b w:val="0"/>
          <w:bCs/>
          <w:sz w:val="32"/>
          <w:szCs w:val="32"/>
        </w:rPr>
        <w:t xml:space="preserve"> </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1.25</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0.4</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与</w:t>
      </w:r>
      <w:r>
        <w:rPr>
          <w:rFonts w:hint="eastAsia" w:ascii="仿宋_GB2312" w:hAnsi="仿宋_GB2312" w:eastAsia="仿宋_GB2312" w:cs="仿宋_GB2312"/>
          <w:sz w:val="32"/>
          <w:szCs w:val="32"/>
        </w:rPr>
        <w:t>预算数</w:t>
      </w:r>
      <w:r>
        <w:rPr>
          <w:rFonts w:hint="eastAsia" w:ascii="仿宋_GB2312" w:hAnsi="仿宋_GB2312" w:eastAsia="仿宋_GB2312" w:cs="仿宋_GB2312"/>
          <w:sz w:val="32"/>
          <w:szCs w:val="32"/>
          <w:lang w:val="en-US" w:eastAsia="zh-CN"/>
        </w:rPr>
        <w:t>持平</w:t>
      </w:r>
      <w:r>
        <w:rPr>
          <w:rFonts w:hint="eastAsia" w:ascii="仿宋_GB2312" w:hAnsi="仿宋_GB2312" w:eastAsia="仿宋_GB2312" w:cs="仿宋_GB2312"/>
          <w:sz w:val="32"/>
          <w:szCs w:val="32"/>
        </w:rPr>
        <w:t>。</w:t>
      </w:r>
    </w:p>
    <w:p>
      <w:pPr>
        <w:spacing w:line="600" w:lineRule="exact"/>
        <w:ind w:firstLine="643" w:firstLineChars="200"/>
        <w:rPr>
          <w:rFonts w:hint="eastAsia" w:ascii="仿宋_GB2312" w:hAnsi="仿宋_GB2312" w:eastAsia="仿宋_GB2312" w:cs="仿宋_GB2312"/>
          <w:sz w:val="32"/>
          <w:szCs w:val="32"/>
        </w:rPr>
      </w:pPr>
      <w:r>
        <w:rPr>
          <w:rStyle w:val="17"/>
          <w:rFonts w:ascii="仿宋" w:hAnsi="仿宋" w:eastAsia="仿宋"/>
          <w:bCs/>
          <w:sz w:val="32"/>
          <w:szCs w:val="32"/>
        </w:rPr>
        <w:t>4.</w:t>
      </w:r>
      <w:r>
        <w:rPr>
          <w:rStyle w:val="17"/>
          <w:rFonts w:hint="eastAsia" w:ascii="仿宋" w:hAnsi="仿宋" w:eastAsia="仿宋"/>
          <w:bCs/>
          <w:sz w:val="32"/>
          <w:szCs w:val="32"/>
        </w:rPr>
        <w:t>卫生健康支出（类）行政事业单位医疗（款）事业单位医疗（项）</w:t>
      </w:r>
      <w:r>
        <w:rPr>
          <w:rStyle w:val="17"/>
          <w:rFonts w:ascii="仿宋" w:hAnsi="仿宋" w:eastAsia="仿宋"/>
          <w:bCs/>
          <w:sz w:val="32"/>
          <w:szCs w:val="32"/>
        </w:rPr>
        <w:t>:</w:t>
      </w:r>
      <w:r>
        <w:rPr>
          <w:rStyle w:val="17"/>
          <w:rFonts w:ascii="仿宋" w:hAnsi="仿宋" w:eastAsia="仿宋"/>
          <w:b w:val="0"/>
          <w:bCs/>
          <w:sz w:val="32"/>
          <w:szCs w:val="32"/>
        </w:rPr>
        <w:t xml:space="preserve"> </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2.43</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0.8</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与</w:t>
      </w:r>
      <w:r>
        <w:rPr>
          <w:rFonts w:hint="eastAsia" w:ascii="仿宋_GB2312" w:hAnsi="仿宋_GB2312" w:eastAsia="仿宋_GB2312" w:cs="仿宋_GB2312"/>
          <w:sz w:val="32"/>
          <w:szCs w:val="32"/>
        </w:rPr>
        <w:t>预算数</w:t>
      </w:r>
      <w:r>
        <w:rPr>
          <w:rFonts w:hint="eastAsia" w:ascii="仿宋_GB2312" w:hAnsi="仿宋_GB2312" w:eastAsia="仿宋_GB2312" w:cs="仿宋_GB2312"/>
          <w:sz w:val="32"/>
          <w:szCs w:val="32"/>
          <w:lang w:val="en-US" w:eastAsia="zh-CN"/>
        </w:rPr>
        <w:t>持平</w:t>
      </w:r>
      <w:r>
        <w:rPr>
          <w:rFonts w:hint="eastAsia" w:ascii="仿宋_GB2312" w:hAnsi="仿宋_GB2312" w:eastAsia="仿宋_GB2312" w:cs="仿宋_GB2312"/>
          <w:sz w:val="32"/>
          <w:szCs w:val="32"/>
        </w:rPr>
        <w:t>。</w:t>
      </w:r>
    </w:p>
    <w:p>
      <w:pPr>
        <w:spacing w:line="600" w:lineRule="exact"/>
        <w:ind w:firstLine="643" w:firstLineChars="200"/>
        <w:rPr>
          <w:rFonts w:hint="eastAsia" w:ascii="仿宋_GB2312" w:hAnsi="仿宋_GB2312" w:eastAsia="仿宋_GB2312" w:cs="仿宋_GB2312"/>
          <w:sz w:val="32"/>
          <w:szCs w:val="32"/>
        </w:rPr>
      </w:pPr>
      <w:r>
        <w:rPr>
          <w:rStyle w:val="17"/>
          <w:rFonts w:ascii="仿宋" w:hAnsi="仿宋" w:eastAsia="仿宋"/>
          <w:bCs/>
          <w:sz w:val="32"/>
          <w:szCs w:val="32"/>
        </w:rPr>
        <w:t>5.</w:t>
      </w:r>
      <w:r>
        <w:rPr>
          <w:rStyle w:val="17"/>
          <w:rFonts w:hint="eastAsia" w:ascii="仿宋" w:hAnsi="仿宋" w:eastAsia="仿宋"/>
          <w:bCs/>
          <w:sz w:val="32"/>
          <w:szCs w:val="32"/>
        </w:rPr>
        <w:t>农林水支出（类）巩固脱贫攻坚成果衔接乡村振兴（款）其他巩固脱贫攻坚成果衔接乡村振兴支出（项）</w:t>
      </w:r>
      <w:r>
        <w:rPr>
          <w:rStyle w:val="17"/>
          <w:rFonts w:ascii="仿宋" w:hAnsi="仿宋" w:eastAsia="仿宋"/>
          <w:bCs/>
          <w:sz w:val="32"/>
          <w:szCs w:val="32"/>
        </w:rPr>
        <w:t>:</w:t>
      </w:r>
      <w:r>
        <w:rPr>
          <w:rStyle w:val="17"/>
          <w:rFonts w:ascii="仿宋" w:hAnsi="仿宋" w:eastAsia="仿宋"/>
          <w:b w:val="0"/>
          <w:bCs/>
          <w:sz w:val="32"/>
          <w:szCs w:val="32"/>
        </w:rPr>
        <w:t xml:space="preserve"> </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205.79</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69.8</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与</w:t>
      </w:r>
      <w:r>
        <w:rPr>
          <w:rFonts w:hint="eastAsia" w:ascii="仿宋_GB2312" w:hAnsi="仿宋_GB2312" w:eastAsia="仿宋_GB2312" w:cs="仿宋_GB2312"/>
          <w:sz w:val="32"/>
          <w:szCs w:val="32"/>
        </w:rPr>
        <w:t>预算数</w:t>
      </w:r>
      <w:r>
        <w:rPr>
          <w:rFonts w:hint="eastAsia" w:ascii="仿宋_GB2312" w:hAnsi="仿宋_GB2312" w:eastAsia="仿宋_GB2312" w:cs="仿宋_GB2312"/>
          <w:sz w:val="32"/>
          <w:szCs w:val="32"/>
          <w:lang w:val="en-US" w:eastAsia="zh-CN"/>
        </w:rPr>
        <w:t>持平</w:t>
      </w:r>
      <w:r>
        <w:rPr>
          <w:rFonts w:hint="eastAsia" w:ascii="仿宋_GB2312" w:hAnsi="仿宋_GB2312" w:eastAsia="仿宋_GB2312" w:cs="仿宋_GB2312"/>
          <w:sz w:val="32"/>
          <w:szCs w:val="32"/>
        </w:rPr>
        <w:t>。</w:t>
      </w:r>
    </w:p>
    <w:p>
      <w:pPr>
        <w:spacing w:line="600" w:lineRule="exact"/>
        <w:ind w:firstLine="643" w:firstLineChars="200"/>
        <w:rPr>
          <w:rFonts w:hint="eastAsia" w:ascii="仿宋_GB2312" w:hAnsi="仿宋_GB2312" w:eastAsia="仿宋_GB2312" w:cs="仿宋_GB2312"/>
          <w:sz w:val="32"/>
          <w:szCs w:val="32"/>
        </w:rPr>
      </w:pPr>
      <w:r>
        <w:rPr>
          <w:rStyle w:val="17"/>
          <w:rFonts w:ascii="仿宋" w:hAnsi="仿宋" w:eastAsia="仿宋"/>
          <w:bCs/>
          <w:sz w:val="32"/>
          <w:szCs w:val="32"/>
        </w:rPr>
        <w:t>6.</w:t>
      </w:r>
      <w:r>
        <w:rPr>
          <w:rFonts w:hint="eastAsia" w:ascii="仿宋" w:hAnsi="仿宋" w:eastAsia="仿宋"/>
          <w:b/>
          <w:bCs/>
          <w:sz w:val="32"/>
          <w:szCs w:val="32"/>
        </w:rPr>
        <w:t>住房保障支出</w:t>
      </w:r>
      <w:r>
        <w:rPr>
          <w:rStyle w:val="17"/>
          <w:rFonts w:hint="eastAsia" w:ascii="仿宋" w:hAnsi="仿宋" w:eastAsia="仿宋"/>
          <w:bCs/>
          <w:sz w:val="32"/>
          <w:szCs w:val="32"/>
        </w:rPr>
        <w:t>（类）住房改革支出（款）住房公积金</w:t>
      </w:r>
      <w:r>
        <w:rPr>
          <w:rStyle w:val="17"/>
          <w:rFonts w:hint="eastAsia" w:ascii="仿宋" w:hAnsi="仿宋" w:eastAsia="仿宋"/>
          <w:bCs/>
          <w:sz w:val="32"/>
          <w:szCs w:val="32"/>
          <w:lang w:eastAsia="zh-CN"/>
        </w:rPr>
        <w:t>（</w:t>
      </w:r>
      <w:r>
        <w:rPr>
          <w:rStyle w:val="17"/>
          <w:rFonts w:hint="eastAsia" w:ascii="仿宋" w:hAnsi="仿宋" w:eastAsia="仿宋"/>
          <w:bCs/>
          <w:sz w:val="32"/>
          <w:szCs w:val="32"/>
        </w:rPr>
        <w:t>项）</w:t>
      </w:r>
      <w:r>
        <w:rPr>
          <w:rStyle w:val="17"/>
          <w:rFonts w:ascii="仿宋" w:hAnsi="仿宋" w:eastAsia="仿宋"/>
          <w:bCs/>
          <w:sz w:val="32"/>
          <w:szCs w:val="32"/>
        </w:rPr>
        <w:t>:</w:t>
      </w:r>
      <w:r>
        <w:rPr>
          <w:rFonts w:hint="eastAsia" w:ascii="仿宋_GB2312" w:hAnsi="仿宋_GB2312" w:eastAsia="仿宋_GB2312" w:cs="仿宋_GB2312"/>
          <w:sz w:val="32"/>
          <w:szCs w:val="32"/>
        </w:rPr>
        <w:t>支出决算为</w:t>
      </w:r>
      <w:r>
        <w:rPr>
          <w:rFonts w:hint="eastAsia" w:ascii="仿宋_GB2312" w:hAnsi="仿宋_GB2312" w:eastAsia="仿宋_GB2312" w:cs="仿宋_GB2312"/>
          <w:sz w:val="32"/>
          <w:szCs w:val="32"/>
          <w:lang w:val="en-US" w:eastAsia="zh-CN"/>
        </w:rPr>
        <w:t>7.44</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与</w:t>
      </w:r>
      <w:r>
        <w:rPr>
          <w:rFonts w:hint="eastAsia" w:ascii="仿宋_GB2312" w:hAnsi="仿宋_GB2312" w:eastAsia="仿宋_GB2312" w:cs="仿宋_GB2312"/>
          <w:sz w:val="32"/>
          <w:szCs w:val="32"/>
        </w:rPr>
        <w:t>预算数</w:t>
      </w:r>
      <w:r>
        <w:rPr>
          <w:rFonts w:hint="eastAsia" w:ascii="仿宋_GB2312" w:hAnsi="仿宋_GB2312" w:eastAsia="仿宋_GB2312" w:cs="仿宋_GB2312"/>
          <w:sz w:val="32"/>
          <w:szCs w:val="32"/>
          <w:lang w:val="en-US" w:eastAsia="zh-CN"/>
        </w:rPr>
        <w:t>持平</w:t>
      </w:r>
      <w:r>
        <w:rPr>
          <w:rFonts w:hint="eastAsia" w:ascii="仿宋_GB2312" w:hAnsi="仿宋_GB2312" w:eastAsia="仿宋_GB2312" w:cs="仿宋_GB2312"/>
          <w:sz w:val="32"/>
          <w:szCs w:val="32"/>
        </w:rPr>
        <w:t>。</w:t>
      </w:r>
    </w:p>
    <w:p>
      <w:pPr>
        <w:tabs>
          <w:tab w:val="right" w:pos="8306"/>
        </w:tabs>
        <w:spacing w:line="600" w:lineRule="exact"/>
        <w:ind w:firstLine="640"/>
        <w:outlineLvl w:val="1"/>
        <w:rPr>
          <w:rStyle w:val="29"/>
        </w:rPr>
      </w:pPr>
      <w:bookmarkStart w:id="53" w:name="_Toc28696"/>
      <w:bookmarkStart w:id="54" w:name="_Toc14657"/>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29"/>
          <w:rFonts w:hint="eastAsia" w:ascii="黑体" w:hAnsi="黑体" w:eastAsia="黑体"/>
          <w:b w:val="0"/>
        </w:rPr>
        <w:t>般公共预算财政拨款基本支出决算情况说明</w:t>
      </w:r>
      <w:bookmarkEnd w:id="51"/>
      <w:bookmarkEnd w:id="52"/>
      <w:bookmarkEnd w:id="53"/>
      <w:bookmarkEnd w:id="54"/>
      <w:r>
        <w:rPr>
          <w:rStyle w:val="29"/>
          <w:rFonts w:ascii="黑体" w:hAnsi="黑体" w:eastAsia="黑体"/>
          <w:b w:val="0"/>
        </w:rPr>
        <w:tab/>
      </w:r>
    </w:p>
    <w:p>
      <w:pPr>
        <w:numPr>
          <w:ilvl w:val="0"/>
          <w:numId w:val="0"/>
        </w:numPr>
        <w:spacing w:line="600" w:lineRule="exact"/>
        <w:ind w:firstLine="640" w:firstLineChars="200"/>
        <w:rPr>
          <w:rFonts w:hint="eastAsia" w:ascii="仿宋_GB2312" w:hAnsi="仿宋_GB2312" w:eastAsia="仿宋_GB2312" w:cs="仿宋_GB2312"/>
          <w:sz w:val="32"/>
          <w:szCs w:val="32"/>
        </w:rPr>
      </w:pPr>
      <w:bookmarkStart w:id="55" w:name="_Toc15396609"/>
      <w:bookmarkStart w:id="56" w:name="_Toc15377215"/>
      <w:r>
        <w:rPr>
          <w:rFonts w:hint="eastAsia" w:ascii="仿宋_GB2312" w:hAnsi="仿宋_GB2312" w:eastAsia="仿宋_GB2312" w:cs="仿宋_GB2312"/>
          <w:sz w:val="32"/>
          <w:szCs w:val="32"/>
        </w:rPr>
        <w:t>2023年度一般公共预算财政拨款基本支出89.05万元，其中：</w:t>
      </w:r>
    </w:p>
    <w:p>
      <w:pPr>
        <w:numPr>
          <w:ilvl w:val="0"/>
          <w:numId w:val="0"/>
        </w:num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人员经费80.22万元，主要包括：基本工资、津贴补贴、奖金、伙食补助费、绩效工资、机关事业单位基本养老保险缴费、职工基本医疗保险缴费、其他社会保障缴费、住房公积金等。</w:t>
      </w:r>
      <w:r>
        <w:rPr>
          <w:rFonts w:hint="eastAsia" w:ascii="仿宋_GB2312" w:hAnsi="仿宋_GB2312" w:eastAsia="仿宋_GB2312" w:cs="仿宋_GB2312"/>
          <w:sz w:val="32"/>
          <w:szCs w:val="32"/>
        </w:rPr>
        <w:br w:type="textWrapping"/>
      </w:r>
      <w:r>
        <w:rPr>
          <w:rFonts w:hint="eastAsia" w:ascii="仿宋_GB2312" w:hAnsi="仿宋_GB2312" w:eastAsia="仿宋_GB2312" w:cs="仿宋_GB2312"/>
          <w:sz w:val="32"/>
          <w:szCs w:val="32"/>
        </w:rPr>
        <w:t>　　公用经费8.83万元，主要包括：办公费、邮电费、差旅费、公务接待费、工会经费、福利费、其他商品和服务支出等。</w:t>
      </w:r>
    </w:p>
    <w:p>
      <w:pPr>
        <w:spacing w:line="600" w:lineRule="exact"/>
        <w:ind w:firstLine="640"/>
        <w:outlineLvl w:val="1"/>
        <w:rPr>
          <w:rStyle w:val="29"/>
          <w:rFonts w:ascii="黑体" w:hAnsi="黑体" w:eastAsia="黑体"/>
          <w:b w:val="0"/>
        </w:rPr>
      </w:pPr>
      <w:bookmarkStart w:id="57" w:name="_Toc28887"/>
      <w:bookmarkStart w:id="58" w:name="_Toc3043"/>
      <w:r>
        <w:rPr>
          <w:rFonts w:hint="eastAsia" w:ascii="黑体" w:eastAsia="黑体"/>
          <w:sz w:val="32"/>
          <w:szCs w:val="32"/>
        </w:rPr>
        <w:t>七、</w:t>
      </w:r>
      <w:r>
        <w:rPr>
          <w:rStyle w:val="29"/>
          <w:rFonts w:hint="eastAsia" w:ascii="黑体" w:hAnsi="黑体" w:eastAsia="黑体"/>
          <w:b w:val="0"/>
        </w:rPr>
        <w:t>财政拨款</w:t>
      </w:r>
      <w:r>
        <w:rPr>
          <w:rStyle w:val="29"/>
          <w:rFonts w:hint="eastAsia" w:ascii="黑体" w:hAnsi="黑体" w:eastAsia="黑体"/>
        </w:rPr>
        <w:t>“</w:t>
      </w:r>
      <w:r>
        <w:rPr>
          <w:rStyle w:val="29"/>
          <w:rFonts w:hint="eastAsia" w:ascii="黑体" w:hAnsi="黑体" w:eastAsia="黑体"/>
          <w:b w:val="0"/>
        </w:rPr>
        <w:t>三公”经费支出决算情况说明</w:t>
      </w:r>
      <w:bookmarkEnd w:id="55"/>
      <w:bookmarkEnd w:id="56"/>
      <w:bookmarkEnd w:id="57"/>
      <w:bookmarkEnd w:id="58"/>
    </w:p>
    <w:p>
      <w:pPr>
        <w:spacing w:line="600" w:lineRule="exact"/>
        <w:ind w:firstLine="640"/>
        <w:outlineLvl w:val="2"/>
        <w:rPr>
          <w:rFonts w:ascii="仿宋" w:hAnsi="仿宋" w:eastAsia="仿宋"/>
          <w:b/>
          <w:sz w:val="32"/>
          <w:szCs w:val="32"/>
        </w:rPr>
      </w:pPr>
      <w:bookmarkStart w:id="59" w:name="_Toc15377216"/>
      <w:r>
        <w:rPr>
          <w:rFonts w:hint="eastAsia" w:ascii="仿宋" w:hAnsi="仿宋" w:eastAsia="仿宋"/>
          <w:b/>
          <w:sz w:val="32"/>
          <w:szCs w:val="32"/>
        </w:rPr>
        <w:t>（一）“三公”经费财政拨款支出决算总体情况说明</w:t>
      </w:r>
      <w:bookmarkEnd w:id="59"/>
    </w:p>
    <w:p>
      <w:pPr>
        <w:numPr>
          <w:ilvl w:val="0"/>
          <w:numId w:val="0"/>
        </w:numPr>
        <w:spacing w:line="60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2023年度“三公”经费财政拨款支出决算为0.2万元，完成预算100%，</w:t>
      </w:r>
      <w:r>
        <w:rPr>
          <w:rFonts w:hint="eastAsia" w:ascii="仿宋_GB2312" w:hAnsi="仿宋_GB2312" w:eastAsia="仿宋_GB2312" w:cs="仿宋_GB2312"/>
          <w:sz w:val="32"/>
          <w:szCs w:val="32"/>
          <w:lang w:val="en-US" w:eastAsia="zh-CN"/>
        </w:rPr>
        <w:t>与</w:t>
      </w:r>
      <w:r>
        <w:rPr>
          <w:rFonts w:hint="eastAsia" w:ascii="仿宋_GB2312" w:hAnsi="仿宋_GB2312" w:eastAsia="仿宋_GB2312" w:cs="仿宋_GB2312"/>
          <w:sz w:val="32"/>
          <w:szCs w:val="32"/>
        </w:rPr>
        <w:t>上年度</w:t>
      </w:r>
      <w:r>
        <w:rPr>
          <w:rFonts w:hint="eastAsia" w:ascii="仿宋_GB2312" w:hAnsi="仿宋_GB2312" w:eastAsia="仿宋_GB2312" w:cs="仿宋_GB2312"/>
          <w:sz w:val="32"/>
          <w:szCs w:val="32"/>
          <w:lang w:val="en-US" w:eastAsia="zh-CN"/>
        </w:rPr>
        <w:t>持平</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与</w:t>
      </w:r>
      <w:r>
        <w:rPr>
          <w:rFonts w:hint="eastAsia" w:ascii="仿宋_GB2312" w:hAnsi="仿宋_GB2312" w:eastAsia="仿宋_GB2312" w:cs="仿宋_GB2312"/>
          <w:sz w:val="32"/>
          <w:szCs w:val="32"/>
        </w:rPr>
        <w:t>预算数</w:t>
      </w:r>
      <w:r>
        <w:rPr>
          <w:rFonts w:hint="eastAsia" w:ascii="仿宋_GB2312" w:hAnsi="仿宋_GB2312" w:eastAsia="仿宋_GB2312" w:cs="仿宋_GB2312"/>
          <w:sz w:val="32"/>
          <w:szCs w:val="32"/>
          <w:lang w:val="en-US" w:eastAsia="zh-CN"/>
        </w:rPr>
        <w:t>持平</w:t>
      </w:r>
      <w:r>
        <w:rPr>
          <w:rFonts w:hint="eastAsia" w:ascii="仿宋_GB2312" w:hAnsi="仿宋_GB2312" w:eastAsia="仿宋_GB2312" w:cs="仿宋_GB2312"/>
          <w:sz w:val="32"/>
          <w:szCs w:val="32"/>
        </w:rPr>
        <w:t>。</w:t>
      </w:r>
    </w:p>
    <w:p>
      <w:pPr>
        <w:spacing w:line="600" w:lineRule="exact"/>
        <w:ind w:firstLine="640"/>
        <w:outlineLvl w:val="2"/>
        <w:rPr>
          <w:rFonts w:ascii="仿宋" w:hAnsi="仿宋" w:eastAsia="仿宋"/>
          <w:b/>
          <w:sz w:val="32"/>
          <w:szCs w:val="32"/>
        </w:rPr>
      </w:pPr>
      <w:bookmarkStart w:id="60" w:name="_Toc15377217"/>
      <w:r>
        <w:rPr>
          <w:rFonts w:hint="eastAsia" w:ascii="仿宋" w:hAnsi="仿宋" w:eastAsia="仿宋"/>
          <w:b/>
          <w:sz w:val="32"/>
          <w:szCs w:val="32"/>
        </w:rPr>
        <w:t>（二）“三公”经费财政拨款支出决算具体情况说明</w:t>
      </w:r>
      <w:bookmarkEnd w:id="60"/>
    </w:p>
    <w:p>
      <w:pPr>
        <w:numPr>
          <w:ilvl w:val="0"/>
          <w:numId w:val="0"/>
        </w:numPr>
        <w:spacing w:line="600" w:lineRule="exact"/>
        <w:ind w:firstLine="640" w:firstLineChars="200"/>
        <w:rPr>
          <w:rFonts w:hint="eastAsia" w:ascii="仿宋_GB2312" w:hAnsi="仿宋_GB2312" w:eastAsia="仿宋_GB2312" w:cs="仿宋_GB2312"/>
          <w:sz w:val="32"/>
          <w:szCs w:val="32"/>
        </w:rPr>
      </w:pPr>
      <w:bookmarkStart w:id="61" w:name="_Toc15377218"/>
      <w:bookmarkStart w:id="62" w:name="_Toc15396610"/>
      <w:r>
        <w:rPr>
          <w:rFonts w:hint="eastAsia" w:ascii="仿宋_GB2312" w:hAnsi="仿宋_GB2312" w:eastAsia="仿宋_GB2312" w:cs="仿宋_GB2312"/>
          <w:sz w:val="32"/>
          <w:szCs w:val="32"/>
        </w:rPr>
        <w:t>2023年度“三公”经费财政拨款支出决算中，因公出国（境）费支出决算0万元，占0%；公务用车购置及运行维护费支出决算0万元，占0%；公务接待费支出决算0.2万元，占100%。具体情况如下：</w:t>
      </w:r>
    </w:p>
    <w:p>
      <w:pPr>
        <w:pStyle w:val="35"/>
        <w:rPr>
          <w:rFonts w:hint="eastAsia" w:ascii="仿宋" w:hAnsi="仿宋" w:eastAsia="仿宋"/>
          <w:sz w:val="32"/>
          <w:szCs w:val="32"/>
        </w:rPr>
      </w:pPr>
      <w:r>
        <w:drawing>
          <wp:anchor distT="0" distB="0" distL="114300" distR="114300" simplePos="0" relativeHeight="251667456" behindDoc="1" locked="0" layoutInCell="1" allowOverlap="1">
            <wp:simplePos x="0" y="0"/>
            <wp:positionH relativeFrom="column">
              <wp:posOffset>499745</wp:posOffset>
            </wp:positionH>
            <wp:positionV relativeFrom="paragraph">
              <wp:posOffset>178435</wp:posOffset>
            </wp:positionV>
            <wp:extent cx="4572000" cy="2743200"/>
            <wp:effectExtent l="4445" t="4445" r="14605" b="14605"/>
            <wp:wrapTight wrapText="bothSides">
              <wp:wrapPolygon>
                <wp:start x="-21" y="-35"/>
                <wp:lineTo x="-21" y="21565"/>
                <wp:lineTo x="21579" y="21565"/>
                <wp:lineTo x="21579" y="-35"/>
                <wp:lineTo x="-21" y="-35"/>
              </wp:wrapPolygon>
            </wp:wrapTight>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pStyle w:val="35"/>
        <w:rPr>
          <w:rFonts w:hint="eastAsia" w:ascii="仿宋" w:hAnsi="仿宋" w:eastAsia="仿宋"/>
          <w:sz w:val="32"/>
          <w:szCs w:val="32"/>
        </w:rPr>
      </w:pPr>
    </w:p>
    <w:p>
      <w:pPr>
        <w:pStyle w:val="35"/>
        <w:rPr>
          <w:rFonts w:hint="eastAsia" w:ascii="仿宋" w:hAnsi="仿宋" w:eastAsia="仿宋"/>
          <w:sz w:val="32"/>
          <w:szCs w:val="32"/>
        </w:rPr>
      </w:pPr>
    </w:p>
    <w:p>
      <w:pPr>
        <w:spacing w:line="600" w:lineRule="exact"/>
        <w:ind w:firstLine="640"/>
        <w:rPr>
          <w:rFonts w:ascii="仿宋" w:hAnsi="仿宋" w:eastAsia="仿宋"/>
          <w:sz w:val="32"/>
          <w:szCs w:val="32"/>
        </w:rPr>
      </w:pPr>
      <w:r>
        <w:rPr>
          <w:rFonts w:hint="eastAsia" w:ascii="仿宋" w:hAnsi="仿宋" w:eastAsia="仿宋"/>
          <w:sz w:val="32"/>
          <w:szCs w:val="32"/>
        </w:rPr>
        <w:t>（图7：“三公”经费财政拨款支出结构）（饼状图）</w:t>
      </w:r>
    </w:p>
    <w:p>
      <w:pPr>
        <w:numPr>
          <w:ilvl w:val="0"/>
          <w:numId w:val="0"/>
        </w:numPr>
        <w:spacing w:line="600" w:lineRule="exact"/>
        <w:ind w:firstLine="643" w:firstLineChars="200"/>
        <w:rPr>
          <w:rFonts w:hint="eastAsia" w:ascii="仿宋_GB2312" w:hAnsi="仿宋_GB2312" w:eastAsia="仿宋_GB2312" w:cs="仿宋_GB2312"/>
          <w:color w:val="auto"/>
          <w:sz w:val="32"/>
          <w:szCs w:val="32"/>
          <w:highlight w:val="none"/>
          <w:lang w:val="en-US" w:eastAsia="zh-CN"/>
        </w:rPr>
      </w:pPr>
      <w:r>
        <w:rPr>
          <w:rFonts w:hint="eastAsia" w:ascii="仿宋_GB2312" w:eastAsia="仿宋_GB2312"/>
          <w:b/>
          <w:sz w:val="32"/>
          <w:szCs w:val="32"/>
          <w:lang w:val="en-US" w:eastAsia="zh-CN"/>
        </w:rPr>
        <w:t>1.</w:t>
      </w:r>
      <w:r>
        <w:rPr>
          <w:rFonts w:hint="eastAsia" w:ascii="仿宋_GB2312" w:eastAsia="仿宋_GB2312"/>
          <w:b/>
          <w:sz w:val="32"/>
          <w:szCs w:val="32"/>
        </w:rPr>
        <w:t>因公出国（境）经费支出</w:t>
      </w:r>
      <w:r>
        <w:rPr>
          <w:sz w:val="32"/>
          <w:szCs w:val="32"/>
        </w:rPr>
        <w:t>0</w:t>
      </w:r>
      <w:r>
        <w:rPr>
          <w:rFonts w:hint="eastAsia" w:ascii="仿宋_GB2312" w:hAnsi="仿宋_GB2312" w:eastAsia="仿宋_GB2312" w:cs="仿宋_GB2312"/>
          <w:sz w:val="32"/>
          <w:szCs w:val="32"/>
        </w:rPr>
        <w:t>万元，</w:t>
      </w:r>
      <w:r>
        <w:rPr>
          <w:rStyle w:val="17"/>
          <w:rFonts w:hint="eastAsia" w:ascii="仿宋_GB2312" w:hAnsi="仿宋_GB2312" w:eastAsia="仿宋_GB2312" w:cs="仿宋_GB2312"/>
          <w:b w:val="0"/>
          <w:bCs/>
          <w:sz w:val="32"/>
          <w:szCs w:val="32"/>
        </w:rPr>
        <w:t>完成预算</w:t>
      </w:r>
      <w:r>
        <w:rPr>
          <w:rFonts w:hint="eastAsia" w:ascii="仿宋_GB2312" w:hAnsi="仿宋_GB2312" w:eastAsia="仿宋_GB2312" w:cs="仿宋_GB2312"/>
          <w:sz w:val="32"/>
          <w:szCs w:val="32"/>
        </w:rPr>
        <w:t>0</w:t>
      </w:r>
      <w:r>
        <w:rPr>
          <w:rStyle w:val="17"/>
          <w:rFonts w:hint="eastAsia" w:ascii="仿宋_GB2312" w:hAnsi="仿宋_GB2312" w:eastAsia="仿宋_GB2312" w:cs="仿宋_GB2312"/>
          <w:b w:val="0"/>
          <w:bCs/>
          <w:sz w:val="32"/>
          <w:szCs w:val="32"/>
        </w:rPr>
        <w:t>%。</w:t>
      </w:r>
      <w:r>
        <w:rPr>
          <w:rFonts w:hint="eastAsia" w:ascii="仿宋_GB2312" w:hAnsi="仿宋_GB2312" w:eastAsia="仿宋_GB2312" w:cs="仿宋_GB2312"/>
          <w:sz w:val="32"/>
          <w:szCs w:val="32"/>
        </w:rPr>
        <w:t>全年安排因公出国（境）团组0次，出国（境）0人。</w:t>
      </w:r>
      <w:r>
        <w:rPr>
          <w:rFonts w:hint="eastAsia" w:ascii="仿宋_GB2312" w:hAnsi="仿宋_GB2312" w:eastAsia="仿宋_GB2312" w:cs="仿宋_GB2312"/>
          <w:color w:val="auto"/>
          <w:sz w:val="32"/>
          <w:szCs w:val="32"/>
          <w:highlight w:val="none"/>
        </w:rPr>
        <w:t>因公出国（境）支出决算比</w:t>
      </w:r>
      <w:r>
        <w:rPr>
          <w:rFonts w:hint="eastAsia" w:ascii="仿宋_GB2312" w:hAnsi="仿宋_GB2312" w:eastAsia="仿宋_GB2312" w:cs="仿宋_GB2312"/>
          <w:color w:val="auto"/>
          <w:sz w:val="32"/>
          <w:szCs w:val="32"/>
          <w:highlight w:val="none"/>
          <w:lang w:eastAsia="zh-CN"/>
        </w:rPr>
        <w:t>2022</w:t>
      </w:r>
      <w:r>
        <w:rPr>
          <w:rFonts w:hint="eastAsia" w:ascii="仿宋_GB2312" w:hAnsi="仿宋_GB2312" w:eastAsia="仿宋_GB2312" w:cs="仿宋_GB2312"/>
          <w:color w:val="auto"/>
          <w:sz w:val="32"/>
          <w:szCs w:val="32"/>
          <w:highlight w:val="none"/>
        </w:rPr>
        <w:t>年增加/减少</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万元，增长/下降</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 xml:space="preserve"> </w:t>
      </w:r>
    </w:p>
    <w:p>
      <w:pPr>
        <w:numPr>
          <w:ilvl w:val="0"/>
          <w:numId w:val="0"/>
        </w:numPr>
        <w:spacing w:line="600" w:lineRule="exact"/>
        <w:ind w:firstLine="320" w:firstLineChars="100"/>
        <w:rPr>
          <w:rFonts w:hint="eastAsia" w:ascii="仿宋_GB2312" w:hAnsi="仿宋_GB2312" w:eastAsia="仿宋_GB2312" w:cs="仿宋_GB2312"/>
          <w:sz w:val="32"/>
          <w:szCs w:val="32"/>
        </w:rPr>
      </w:pPr>
      <w:r>
        <w:rPr>
          <w:rFonts w:hint="eastAsia" w:ascii="仿宋_GB2312" w:eastAsia="仿宋_GB2312"/>
          <w:color w:val="auto"/>
          <w:sz w:val="32"/>
          <w:szCs w:val="32"/>
          <w:highlight w:val="none"/>
          <w:lang w:val="en-US" w:eastAsia="zh-CN"/>
        </w:rPr>
        <w:t xml:space="preserve">  </w:t>
      </w:r>
      <w:r>
        <w:rPr>
          <w:rFonts w:ascii="仿宋_GB2312" w:eastAsia="仿宋_GB2312"/>
          <w:b/>
          <w:sz w:val="32"/>
          <w:szCs w:val="32"/>
        </w:rPr>
        <w:t>2.</w:t>
      </w:r>
      <w:r>
        <w:rPr>
          <w:rFonts w:hint="eastAsia" w:ascii="仿宋_GB2312" w:eastAsia="仿宋_GB2312"/>
          <w:b/>
          <w:sz w:val="32"/>
          <w:szCs w:val="32"/>
        </w:rPr>
        <w:t>公务用车购置及运行维护费支出</w:t>
      </w:r>
      <w:r>
        <w:rPr>
          <w:sz w:val="32"/>
          <w:szCs w:val="32"/>
        </w:rPr>
        <w:t>0</w:t>
      </w:r>
      <w:r>
        <w:rPr>
          <w:rFonts w:hint="eastAsia" w:ascii="仿宋_GB2312" w:hAnsi="仿宋_GB2312" w:eastAsia="仿宋_GB2312" w:cs="仿宋_GB2312"/>
          <w:sz w:val="32"/>
          <w:szCs w:val="32"/>
        </w:rPr>
        <w:t>万元,完成预算0%。公务用车购置及运行维护费支出决算比</w:t>
      </w:r>
      <w:r>
        <w:rPr>
          <w:rFonts w:hint="eastAsia" w:ascii="仿宋_GB2312" w:hAnsi="仿宋_GB2312" w:eastAsia="仿宋_GB2312" w:cs="仿宋_GB2312"/>
          <w:sz w:val="32"/>
          <w:szCs w:val="32"/>
          <w:lang w:eastAsia="zh-CN"/>
        </w:rPr>
        <w:t>2022</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度</w:t>
      </w:r>
      <w:r>
        <w:rPr>
          <w:rFonts w:hint="eastAsia" w:ascii="仿宋_GB2312" w:hAnsi="仿宋_GB2312" w:eastAsia="仿宋_GB2312" w:cs="仿宋_GB2312"/>
          <w:sz w:val="32"/>
          <w:szCs w:val="32"/>
        </w:rPr>
        <w:t>增加/减少</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万元，增长/下降</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pPr>
        <w:spacing w:line="600" w:lineRule="exact"/>
        <w:ind w:firstLine="640" w:firstLineChars="200"/>
        <w:rPr>
          <w:rFonts w:ascii="仿宋_GB2312" w:eastAsia="仿宋_GB2312"/>
          <w:b/>
          <w:sz w:val="32"/>
          <w:szCs w:val="32"/>
        </w:rPr>
      </w:pPr>
      <w:r>
        <w:rPr>
          <w:rFonts w:hint="eastAsia" w:ascii="仿宋_GB2312" w:eastAsia="仿宋_GB2312"/>
          <w:sz w:val="32"/>
          <w:szCs w:val="32"/>
        </w:rPr>
        <w:t>其中：</w:t>
      </w:r>
      <w:r>
        <w:rPr>
          <w:rFonts w:hint="eastAsia" w:ascii="仿宋_GB2312" w:eastAsia="仿宋_GB2312"/>
          <w:b/>
          <w:sz w:val="32"/>
          <w:szCs w:val="32"/>
        </w:rPr>
        <w:t>公务用车购置支出</w:t>
      </w:r>
      <w:r>
        <w:rPr>
          <w:sz w:val="32"/>
          <w:szCs w:val="32"/>
        </w:rPr>
        <w:t>0</w:t>
      </w:r>
      <w:r>
        <w:rPr>
          <w:rFonts w:hint="eastAsia" w:ascii="仿宋_GB2312" w:eastAsia="仿宋_GB2312"/>
          <w:sz w:val="32"/>
          <w:szCs w:val="32"/>
        </w:rPr>
        <w:t>万元。</w:t>
      </w:r>
      <w:r>
        <w:rPr>
          <w:rFonts w:hint="eastAsia" w:ascii="仿宋_GB2312" w:hAnsi="仿宋_GB2312" w:eastAsia="仿宋_GB2312" w:cs="仿宋_GB2312"/>
          <w:sz w:val="32"/>
          <w:szCs w:val="32"/>
        </w:rPr>
        <w:t>全年按规定更新购置公务用车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辆，其中：轿车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辆、金额</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万元，越野车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辆、金额</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万元，载客汽车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辆、金额</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万元。截至2023年12月31日，单位共有公务用车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辆，其中：轿车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辆、越野</w:t>
      </w:r>
      <w:r>
        <w:rPr>
          <w:rFonts w:hint="eastAsia" w:ascii="仿宋_GB2312" w:eastAsia="仿宋_GB2312"/>
          <w:sz w:val="32"/>
          <w:szCs w:val="32"/>
        </w:rPr>
        <w:t>车</w:t>
      </w:r>
      <w:r>
        <w:rPr>
          <w:rFonts w:hint="eastAsia" w:ascii="仿宋_GB2312" w:eastAsia="仿宋_GB2312"/>
          <w:sz w:val="32"/>
          <w:szCs w:val="32"/>
          <w:lang w:val="en-US" w:eastAsia="zh-CN"/>
        </w:rPr>
        <w:t>0</w:t>
      </w:r>
      <w:r>
        <w:rPr>
          <w:rFonts w:hint="eastAsia" w:ascii="仿宋_GB2312" w:eastAsia="仿宋_GB2312"/>
          <w:sz w:val="32"/>
          <w:szCs w:val="32"/>
        </w:rPr>
        <w:t>辆、载客汽车</w:t>
      </w:r>
      <w:r>
        <w:rPr>
          <w:rFonts w:hint="eastAsia" w:ascii="仿宋_GB2312" w:eastAsia="仿宋_GB2312"/>
          <w:sz w:val="32"/>
          <w:szCs w:val="32"/>
          <w:lang w:val="en-US" w:eastAsia="zh-CN"/>
        </w:rPr>
        <w:t>0</w:t>
      </w:r>
      <w:r>
        <w:rPr>
          <w:rFonts w:hint="eastAsia" w:ascii="仿宋_GB2312" w:eastAsia="仿宋_GB2312"/>
          <w:sz w:val="32"/>
          <w:szCs w:val="32"/>
        </w:rPr>
        <w:t>辆。</w:t>
      </w:r>
    </w:p>
    <w:p>
      <w:pPr>
        <w:spacing w:line="600" w:lineRule="exact"/>
        <w:ind w:firstLine="640"/>
        <w:rPr>
          <w:rFonts w:hint="eastAsia" w:ascii="仿宋_GB2312" w:eastAsia="仿宋_GB2312"/>
          <w:sz w:val="32"/>
          <w:szCs w:val="32"/>
        </w:rPr>
      </w:pPr>
      <w:r>
        <w:rPr>
          <w:rFonts w:hint="eastAsia" w:ascii="仿宋_GB2312" w:eastAsia="仿宋_GB2312"/>
          <w:b/>
          <w:sz w:val="32"/>
          <w:szCs w:val="32"/>
        </w:rPr>
        <w:t>公务用车运行维护费支出</w:t>
      </w:r>
      <w:r>
        <w:rPr>
          <w:sz w:val="32"/>
          <w:szCs w:val="32"/>
        </w:rPr>
        <w:t>0</w:t>
      </w:r>
      <w:r>
        <w:rPr>
          <w:rFonts w:hint="eastAsia" w:ascii="仿宋_GB2312" w:eastAsia="仿宋_GB2312"/>
          <w:sz w:val="32"/>
          <w:szCs w:val="32"/>
        </w:rPr>
        <w:t>万元。</w:t>
      </w:r>
    </w:p>
    <w:p>
      <w:pPr>
        <w:spacing w:line="600" w:lineRule="exact"/>
        <w:ind w:firstLine="640"/>
        <w:rPr>
          <w:rFonts w:ascii="仿宋_GB2312" w:eastAsia="仿宋_GB2312"/>
          <w:sz w:val="32"/>
          <w:szCs w:val="32"/>
        </w:rPr>
      </w:pPr>
      <w:r>
        <w:rPr>
          <w:rFonts w:ascii="仿宋_GB2312" w:eastAsia="仿宋_GB2312"/>
          <w:b/>
          <w:sz w:val="32"/>
          <w:szCs w:val="32"/>
        </w:rPr>
        <w:t>3.</w:t>
      </w:r>
      <w:r>
        <w:rPr>
          <w:rFonts w:hint="eastAsia" w:ascii="仿宋_GB2312" w:eastAsia="仿宋_GB2312"/>
          <w:b/>
          <w:sz w:val="32"/>
          <w:szCs w:val="32"/>
        </w:rPr>
        <w:t>公务接待费支出</w:t>
      </w:r>
      <w:r>
        <w:rPr>
          <w:sz w:val="32"/>
          <w:szCs w:val="32"/>
        </w:rPr>
        <w:t>0.2</w:t>
      </w:r>
      <w:r>
        <w:rPr>
          <w:rFonts w:hint="eastAsia" w:ascii="仿宋_GB2312" w:eastAsia="仿宋_GB2312"/>
          <w:sz w:val="32"/>
          <w:szCs w:val="32"/>
        </w:rPr>
        <w:t>万元，</w:t>
      </w:r>
      <w:r>
        <w:rPr>
          <w:rStyle w:val="17"/>
          <w:rFonts w:hint="eastAsia" w:ascii="仿宋" w:hAnsi="仿宋" w:eastAsia="仿宋"/>
          <w:b w:val="0"/>
          <w:bCs/>
          <w:sz w:val="32"/>
          <w:szCs w:val="32"/>
        </w:rPr>
        <w:t>完成预算</w:t>
      </w:r>
      <w:r>
        <w:rPr>
          <w:sz w:val="32"/>
          <w:szCs w:val="32"/>
        </w:rPr>
        <w:t>100%</w:t>
      </w:r>
      <w:r>
        <w:rPr>
          <w:rStyle w:val="17"/>
          <w:rFonts w:hint="eastAsia" w:ascii="仿宋" w:hAnsi="仿宋" w:eastAsia="仿宋"/>
          <w:b w:val="0"/>
          <w:bCs/>
          <w:sz w:val="32"/>
          <w:szCs w:val="32"/>
        </w:rPr>
        <w:t>。</w:t>
      </w:r>
      <w:r>
        <w:rPr>
          <w:rFonts w:hint="eastAsia" w:ascii="仿宋_GB2312" w:eastAsia="仿宋_GB2312"/>
          <w:sz w:val="32"/>
          <w:szCs w:val="32"/>
        </w:rPr>
        <w:t>公务接待费支出决算</w:t>
      </w:r>
      <w:r>
        <w:rPr>
          <w:rFonts w:hint="eastAsia" w:ascii="仿宋_GB2312" w:eastAsia="仿宋_GB2312"/>
          <w:sz w:val="32"/>
          <w:szCs w:val="32"/>
          <w:lang w:val="en-US" w:eastAsia="zh-CN"/>
        </w:rPr>
        <w:t>比</w:t>
      </w:r>
      <w:r>
        <w:rPr>
          <w:rFonts w:hint="eastAsia" w:ascii="仿宋_GB2312" w:eastAsia="仿宋_GB2312"/>
          <w:sz w:val="32"/>
          <w:szCs w:val="32"/>
        </w:rPr>
        <w:t>2022年度增加</w:t>
      </w:r>
      <w:r>
        <w:rPr>
          <w:rFonts w:hint="eastAsia" w:ascii="仿宋_GB2312" w:eastAsia="仿宋_GB2312"/>
          <w:sz w:val="32"/>
          <w:szCs w:val="32"/>
          <w:lang w:val="en-US" w:eastAsia="zh-CN"/>
        </w:rPr>
        <w:t>0.06</w:t>
      </w:r>
      <w:r>
        <w:rPr>
          <w:rFonts w:hint="eastAsia" w:ascii="仿宋_GB2312" w:eastAsia="仿宋_GB2312"/>
          <w:sz w:val="32"/>
          <w:szCs w:val="32"/>
        </w:rPr>
        <w:t>万元，增长</w:t>
      </w:r>
      <w:r>
        <w:rPr>
          <w:rFonts w:hint="eastAsia" w:ascii="仿宋_GB2312" w:eastAsia="仿宋_GB2312"/>
          <w:sz w:val="32"/>
          <w:szCs w:val="32"/>
          <w:lang w:val="en-US" w:eastAsia="zh-CN"/>
        </w:rPr>
        <w:t>42.9</w:t>
      </w:r>
      <w:r>
        <w:rPr>
          <w:rFonts w:ascii="仿宋_GB2312" w:eastAsia="仿宋_GB2312"/>
          <w:sz w:val="32"/>
          <w:szCs w:val="32"/>
        </w:rPr>
        <w:t>%</w:t>
      </w:r>
      <w:r>
        <w:rPr>
          <w:rFonts w:hint="eastAsia" w:ascii="仿宋_GB2312" w:eastAsia="仿宋_GB2312"/>
          <w:sz w:val="32"/>
          <w:szCs w:val="32"/>
        </w:rPr>
        <w:t>。主要原因是</w:t>
      </w:r>
      <w:r>
        <w:rPr>
          <w:rFonts w:hint="eastAsia" w:ascii="仿宋_GB2312" w:eastAsia="仿宋_GB2312"/>
          <w:sz w:val="32"/>
          <w:szCs w:val="32"/>
          <w:lang w:val="en-US" w:eastAsia="zh-CN"/>
        </w:rPr>
        <w:t>公务接待次数增加</w:t>
      </w:r>
      <w:r>
        <w:rPr>
          <w:rFonts w:hint="eastAsia" w:ascii="仿宋_GB2312" w:eastAsia="仿宋_GB2312"/>
          <w:sz w:val="32"/>
          <w:szCs w:val="32"/>
        </w:rPr>
        <w:t>。其中：</w:t>
      </w:r>
    </w:p>
    <w:p>
      <w:pPr>
        <w:spacing w:line="600" w:lineRule="exact"/>
        <w:ind w:firstLine="640"/>
        <w:rPr>
          <w:rFonts w:ascii="仿宋_GB2312" w:eastAsia="仿宋_GB2312"/>
          <w:sz w:val="32"/>
          <w:szCs w:val="32"/>
        </w:rPr>
      </w:pPr>
      <w:r>
        <w:rPr>
          <w:rFonts w:hint="eastAsia" w:ascii="仿宋" w:hAnsi="仿宋" w:eastAsia="仿宋"/>
          <w:b/>
          <w:sz w:val="32"/>
          <w:szCs w:val="32"/>
        </w:rPr>
        <w:t>国内公务接待支出</w:t>
      </w:r>
      <w:r>
        <w:rPr>
          <w:rFonts w:hint="eastAsia" w:ascii="仿宋" w:hAnsi="仿宋" w:eastAsia="仿宋"/>
          <w:b/>
          <w:sz w:val="32"/>
          <w:szCs w:val="32"/>
          <w:lang w:val="en-US" w:eastAsia="zh-CN"/>
        </w:rPr>
        <w:t>0.2</w:t>
      </w:r>
      <w:r>
        <w:rPr>
          <w:rFonts w:hint="eastAsia" w:ascii="仿宋_GB2312" w:eastAsia="仿宋_GB2312"/>
          <w:sz w:val="32"/>
          <w:szCs w:val="32"/>
        </w:rPr>
        <w:t>万元，主要用于开展业务活动开支的交通费、住宿费、用餐费等。国内公务接待</w:t>
      </w:r>
      <w:r>
        <w:rPr>
          <w:rFonts w:hint="eastAsia" w:ascii="仿宋_GB2312" w:eastAsia="仿宋_GB2312"/>
          <w:sz w:val="32"/>
          <w:szCs w:val="32"/>
          <w:lang w:val="en-US" w:eastAsia="zh-CN"/>
        </w:rPr>
        <w:t>3</w:t>
      </w:r>
      <w:r>
        <w:rPr>
          <w:rFonts w:hint="eastAsia" w:ascii="仿宋_GB2312" w:eastAsia="仿宋_GB2312"/>
          <w:sz w:val="32"/>
          <w:szCs w:val="32"/>
        </w:rPr>
        <w:t>批次，</w:t>
      </w:r>
      <w:r>
        <w:rPr>
          <w:rFonts w:hint="eastAsia" w:ascii="仿宋_GB2312" w:eastAsia="仿宋_GB2312"/>
          <w:sz w:val="32"/>
          <w:szCs w:val="32"/>
          <w:lang w:val="en-US" w:eastAsia="zh-CN"/>
        </w:rPr>
        <w:t>11</w:t>
      </w:r>
      <w:r>
        <w:rPr>
          <w:rFonts w:hint="eastAsia" w:ascii="仿宋_GB2312" w:eastAsia="仿宋_GB2312"/>
          <w:sz w:val="32"/>
          <w:szCs w:val="32"/>
        </w:rPr>
        <w:t>人次（不包括陪同人员），共计支出</w:t>
      </w:r>
      <w:r>
        <w:rPr>
          <w:rFonts w:hint="eastAsia" w:ascii="仿宋_GB2312" w:eastAsia="仿宋_GB2312"/>
          <w:sz w:val="32"/>
          <w:szCs w:val="32"/>
          <w:lang w:val="en-US" w:eastAsia="zh-CN"/>
        </w:rPr>
        <w:t>0.2</w:t>
      </w:r>
      <w:r>
        <w:rPr>
          <w:rFonts w:hint="eastAsia" w:ascii="仿宋_GB2312" w:eastAsia="仿宋_GB2312"/>
          <w:sz w:val="32"/>
          <w:szCs w:val="32"/>
        </w:rPr>
        <w:t>万元，具体内容包括：乐山市红十字会来马检查财务工作</w:t>
      </w:r>
      <w:r>
        <w:rPr>
          <w:rFonts w:hint="eastAsia" w:ascii="仿宋_GB2312" w:eastAsia="仿宋_GB2312"/>
          <w:sz w:val="32"/>
          <w:szCs w:val="32"/>
          <w:lang w:val="en-US" w:eastAsia="zh-CN"/>
        </w:rPr>
        <w:t>0.12万元、井研县红十字会来马考察学习0.05万元、乐山市红十字会来马调研0.03万元。</w:t>
      </w:r>
    </w:p>
    <w:p>
      <w:pPr>
        <w:spacing w:line="600" w:lineRule="exact"/>
        <w:ind w:firstLine="643" w:firstLineChars="200"/>
        <w:rPr>
          <w:rFonts w:ascii="黑体" w:eastAsia="黑体"/>
          <w:sz w:val="32"/>
          <w:szCs w:val="32"/>
        </w:rPr>
      </w:pPr>
      <w:r>
        <w:rPr>
          <w:rFonts w:hint="eastAsia" w:ascii="仿宋" w:hAnsi="仿宋" w:eastAsia="仿宋"/>
          <w:b/>
          <w:sz w:val="32"/>
          <w:szCs w:val="32"/>
        </w:rPr>
        <w:t>外事接待支出</w:t>
      </w:r>
      <w:r>
        <w:rPr>
          <w:rFonts w:hint="eastAsia" w:ascii="仿宋" w:hAnsi="仿宋" w:eastAsia="仿宋"/>
          <w:b/>
          <w:sz w:val="32"/>
          <w:szCs w:val="32"/>
          <w:lang w:val="en-US" w:eastAsia="zh-CN"/>
        </w:rPr>
        <w:t>0</w:t>
      </w:r>
      <w:r>
        <w:rPr>
          <w:rFonts w:hint="eastAsia" w:ascii="仿宋_GB2312" w:eastAsia="仿宋_GB2312"/>
          <w:sz w:val="32"/>
          <w:szCs w:val="32"/>
        </w:rPr>
        <w:t>万元。外事接待</w:t>
      </w:r>
      <w:r>
        <w:rPr>
          <w:rFonts w:hint="eastAsia" w:ascii="仿宋_GB2312" w:eastAsia="仿宋_GB2312"/>
          <w:sz w:val="32"/>
          <w:szCs w:val="32"/>
          <w:lang w:val="en-US" w:eastAsia="zh-CN"/>
        </w:rPr>
        <w:t>0</w:t>
      </w:r>
      <w:r>
        <w:rPr>
          <w:rFonts w:hint="eastAsia" w:ascii="仿宋_GB2312" w:eastAsia="仿宋_GB2312"/>
          <w:sz w:val="32"/>
          <w:szCs w:val="32"/>
        </w:rPr>
        <w:t>批次，</w:t>
      </w:r>
      <w:r>
        <w:rPr>
          <w:rFonts w:hint="eastAsia" w:ascii="仿宋_GB2312" w:eastAsia="仿宋_GB2312"/>
          <w:sz w:val="32"/>
          <w:szCs w:val="32"/>
          <w:lang w:val="en-US" w:eastAsia="zh-CN"/>
        </w:rPr>
        <w:t>0</w:t>
      </w:r>
      <w:r>
        <w:rPr>
          <w:rFonts w:hint="eastAsia" w:ascii="仿宋_GB2312" w:eastAsia="仿宋_GB2312"/>
          <w:sz w:val="32"/>
          <w:szCs w:val="32"/>
        </w:rPr>
        <w:t>人次（不包括陪同人员），共计支出</w:t>
      </w:r>
      <w:r>
        <w:rPr>
          <w:rFonts w:hint="eastAsia" w:ascii="仿宋_GB2312" w:eastAsia="仿宋_GB2312"/>
          <w:sz w:val="32"/>
          <w:szCs w:val="32"/>
          <w:lang w:val="en-US" w:eastAsia="zh-CN"/>
        </w:rPr>
        <w:t>0</w:t>
      </w:r>
      <w:r>
        <w:rPr>
          <w:rFonts w:hint="eastAsia" w:ascii="仿宋_GB2312" w:eastAsia="仿宋_GB2312"/>
          <w:sz w:val="32"/>
          <w:szCs w:val="32"/>
        </w:rPr>
        <w:t>万元。</w:t>
      </w:r>
    </w:p>
    <w:p>
      <w:pPr>
        <w:spacing w:line="600" w:lineRule="exact"/>
        <w:ind w:firstLine="640"/>
        <w:outlineLvl w:val="1"/>
        <w:rPr>
          <w:rStyle w:val="29"/>
          <w:rFonts w:ascii="黑体" w:hAnsi="黑体" w:eastAsia="黑体"/>
        </w:rPr>
      </w:pPr>
      <w:bookmarkStart w:id="63" w:name="_Toc14262"/>
      <w:bookmarkStart w:id="64" w:name="_Toc28319"/>
      <w:r>
        <w:rPr>
          <w:rFonts w:hint="eastAsia" w:ascii="黑体" w:eastAsia="黑体"/>
          <w:sz w:val="32"/>
          <w:szCs w:val="32"/>
        </w:rPr>
        <w:t>八、</w:t>
      </w:r>
      <w:r>
        <w:rPr>
          <w:rStyle w:val="29"/>
          <w:rFonts w:hint="eastAsia" w:ascii="黑体" w:hAnsi="黑体" w:eastAsia="黑体"/>
          <w:b w:val="0"/>
        </w:rPr>
        <w:t>政府性基金预算支出决算情况说明</w:t>
      </w:r>
      <w:bookmarkEnd w:id="61"/>
      <w:bookmarkEnd w:id="62"/>
      <w:bookmarkEnd w:id="63"/>
      <w:bookmarkEnd w:id="64"/>
    </w:p>
    <w:p>
      <w:pPr>
        <w:spacing w:line="600" w:lineRule="exact"/>
        <w:ind w:firstLine="640"/>
        <w:rPr>
          <w:rFonts w:ascii="仿宋_GB2312" w:eastAsia="仿宋_GB2312"/>
          <w:sz w:val="32"/>
          <w:szCs w:val="32"/>
        </w:rPr>
      </w:pPr>
      <w:r>
        <w:rPr>
          <w:rFonts w:hint="eastAsia" w:ascii="仿宋_GB2312" w:hAnsi="仿宋_GB2312" w:eastAsia="仿宋_GB2312" w:cs="仿宋_GB2312"/>
          <w:sz w:val="32"/>
          <w:szCs w:val="32"/>
        </w:rPr>
        <w:t>2023年度政府性基金预算财政拨款支出23.76万元。</w:t>
      </w:r>
    </w:p>
    <w:p>
      <w:pPr>
        <w:numPr>
          <w:ilvl w:val="0"/>
          <w:numId w:val="3"/>
        </w:numPr>
        <w:spacing w:line="600" w:lineRule="exact"/>
        <w:ind w:firstLine="640"/>
        <w:outlineLvl w:val="1"/>
        <w:rPr>
          <w:rStyle w:val="29"/>
          <w:rFonts w:ascii="黑体" w:hAnsi="黑体" w:eastAsia="黑体"/>
          <w:b w:val="0"/>
        </w:rPr>
      </w:pPr>
      <w:bookmarkStart w:id="65" w:name="_Toc15396611"/>
      <w:bookmarkStart w:id="66" w:name="_Toc15377219"/>
      <w:bookmarkStart w:id="67" w:name="_Toc30647"/>
      <w:bookmarkStart w:id="68" w:name="_Toc30708"/>
      <w:r>
        <w:rPr>
          <w:rStyle w:val="29"/>
          <w:rFonts w:hint="eastAsia" w:ascii="黑体" w:hAnsi="黑体" w:eastAsia="黑体"/>
          <w:b w:val="0"/>
        </w:rPr>
        <w:t>国有资本经营预算支出决算情况说明</w:t>
      </w:r>
      <w:bookmarkEnd w:id="65"/>
      <w:bookmarkEnd w:id="66"/>
      <w:bookmarkEnd w:id="67"/>
      <w:bookmarkEnd w:id="68"/>
    </w:p>
    <w:p>
      <w:pPr>
        <w:spacing w:line="600" w:lineRule="exact"/>
        <w:ind w:firstLine="640"/>
        <w:rPr>
          <w:rFonts w:hint="eastAsia" w:ascii="仿宋_GB2312" w:hAnsi="仿宋_GB2312" w:eastAsia="仿宋_GB2312" w:cs="仿宋_GB2312"/>
          <w:sz w:val="32"/>
          <w:szCs w:val="32"/>
        </w:rPr>
      </w:pPr>
      <w:bookmarkStart w:id="69" w:name="_Toc15396612"/>
      <w:bookmarkStart w:id="70" w:name="_Toc15377221"/>
      <w:r>
        <w:rPr>
          <w:rFonts w:hint="eastAsia" w:ascii="仿宋_GB2312" w:hAnsi="仿宋_GB2312" w:eastAsia="仿宋_GB2312" w:cs="仿宋_GB2312"/>
          <w:sz w:val="32"/>
          <w:szCs w:val="32"/>
        </w:rPr>
        <w:t>2023年度国有资本经营预算财政拨款支出0万元。</w:t>
      </w:r>
    </w:p>
    <w:p>
      <w:pPr>
        <w:numPr>
          <w:ilvl w:val="0"/>
          <w:numId w:val="3"/>
        </w:numPr>
        <w:spacing w:line="600" w:lineRule="exact"/>
        <w:ind w:firstLine="640"/>
        <w:outlineLvl w:val="1"/>
        <w:rPr>
          <w:rStyle w:val="29"/>
          <w:rFonts w:ascii="黑体" w:hAnsi="黑体" w:eastAsia="黑体"/>
          <w:b w:val="0"/>
        </w:rPr>
      </w:pPr>
      <w:bookmarkStart w:id="71" w:name="_Toc27145"/>
      <w:bookmarkStart w:id="72" w:name="_Toc17156"/>
      <w:r>
        <w:rPr>
          <w:rStyle w:val="29"/>
          <w:rFonts w:hint="eastAsia" w:ascii="黑体" w:hAnsi="黑体" w:eastAsia="黑体"/>
          <w:b w:val="0"/>
        </w:rPr>
        <w:t>其他重要事项的情况说明</w:t>
      </w:r>
      <w:bookmarkEnd w:id="69"/>
      <w:bookmarkEnd w:id="70"/>
      <w:bookmarkEnd w:id="71"/>
      <w:bookmarkEnd w:id="72"/>
    </w:p>
    <w:p>
      <w:pPr>
        <w:spacing w:line="600" w:lineRule="exact"/>
        <w:ind w:firstLine="643" w:firstLineChars="200"/>
        <w:outlineLvl w:val="2"/>
        <w:rPr>
          <w:rFonts w:ascii="仿宋" w:hAnsi="仿宋" w:eastAsia="仿宋"/>
          <w:sz w:val="32"/>
          <w:szCs w:val="32"/>
        </w:rPr>
      </w:pPr>
      <w:bookmarkStart w:id="73" w:name="_Toc15377222"/>
      <w:r>
        <w:rPr>
          <w:rFonts w:hint="eastAsia" w:ascii="仿宋" w:hAnsi="仿宋" w:eastAsia="仿宋"/>
          <w:b/>
          <w:sz w:val="32"/>
          <w:szCs w:val="32"/>
        </w:rPr>
        <w:t>（一）机关运行经费支出情况</w:t>
      </w:r>
      <w:bookmarkEnd w:id="73"/>
    </w:p>
    <w:p>
      <w:pPr>
        <w:spacing w:line="600" w:lineRule="exact"/>
        <w:ind w:firstLine="640" w:firstLineChars="200"/>
        <w:rPr>
          <w:rFonts w:ascii="仿宋_GB2312" w:eastAsia="仿宋_GB2312"/>
          <w:sz w:val="32"/>
          <w:szCs w:val="32"/>
        </w:rPr>
      </w:pPr>
      <w:r>
        <w:rPr>
          <w:rFonts w:hint="eastAsia" w:ascii="仿宋_GB2312" w:eastAsia="仿宋_GB2312"/>
          <w:sz w:val="32"/>
          <w:szCs w:val="32"/>
        </w:rPr>
        <w:t>2023年度，马边彝族自治县红十字会机关运行经费支出0万元，</w:t>
      </w:r>
      <w:r>
        <w:rPr>
          <w:rFonts w:hint="eastAsia" w:ascii="仿宋_GB2312" w:eastAsia="仿宋_GB2312"/>
          <w:color w:val="auto"/>
          <w:sz w:val="32"/>
          <w:szCs w:val="32"/>
          <w:highlight w:val="none"/>
        </w:rPr>
        <w:t>比</w:t>
      </w:r>
      <w:r>
        <w:rPr>
          <w:rFonts w:hint="eastAsia" w:ascii="仿宋_GB2312" w:eastAsia="仿宋_GB2312"/>
          <w:color w:val="auto"/>
          <w:sz w:val="32"/>
          <w:szCs w:val="32"/>
          <w:highlight w:val="none"/>
          <w:lang w:eastAsia="zh-CN"/>
        </w:rPr>
        <w:t>2022</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增加</w:t>
      </w:r>
      <w:r>
        <w:rPr>
          <w:rFonts w:ascii="仿宋_GB2312" w:eastAsia="仿宋_GB2312"/>
          <w:color w:val="auto"/>
          <w:sz w:val="32"/>
          <w:szCs w:val="32"/>
          <w:highlight w:val="none"/>
        </w:rPr>
        <w:t>/</w:t>
      </w:r>
      <w:r>
        <w:rPr>
          <w:rFonts w:hint="eastAsia" w:ascii="仿宋_GB2312" w:eastAsia="仿宋_GB2312"/>
          <w:color w:val="auto"/>
          <w:sz w:val="32"/>
          <w:szCs w:val="32"/>
          <w:highlight w:val="none"/>
        </w:rPr>
        <w:t>减少</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万元，与</w:t>
      </w:r>
      <w:r>
        <w:rPr>
          <w:rFonts w:hint="eastAsia" w:ascii="仿宋_GB2312" w:eastAsia="仿宋_GB2312"/>
          <w:color w:val="auto"/>
          <w:sz w:val="32"/>
          <w:szCs w:val="32"/>
          <w:highlight w:val="none"/>
          <w:lang w:eastAsia="zh-CN"/>
        </w:rPr>
        <w:t>2022</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eastAsia="zh-CN"/>
        </w:rPr>
        <w:t>度</w:t>
      </w:r>
      <w:r>
        <w:rPr>
          <w:rFonts w:hint="eastAsia" w:ascii="仿宋_GB2312" w:eastAsia="仿宋_GB2312"/>
          <w:color w:val="auto"/>
          <w:sz w:val="32"/>
          <w:szCs w:val="32"/>
          <w:highlight w:val="none"/>
        </w:rPr>
        <w:t>决算数持平</w:t>
      </w:r>
      <w:r>
        <w:rPr>
          <w:rFonts w:hint="eastAsia" w:ascii="仿宋_GB2312" w:eastAsia="仿宋_GB2312"/>
          <w:sz w:val="32"/>
          <w:szCs w:val="32"/>
        </w:rPr>
        <w:t>。</w:t>
      </w:r>
    </w:p>
    <w:p>
      <w:pPr>
        <w:autoSpaceDE w:val="0"/>
        <w:autoSpaceDN w:val="0"/>
        <w:adjustRightInd w:val="0"/>
        <w:spacing w:line="600" w:lineRule="exact"/>
        <w:ind w:firstLine="643" w:firstLineChars="200"/>
        <w:jc w:val="left"/>
        <w:outlineLvl w:val="2"/>
        <w:rPr>
          <w:rFonts w:ascii="仿宋" w:hAnsi="仿宋" w:eastAsia="仿宋"/>
          <w:b/>
          <w:sz w:val="32"/>
          <w:szCs w:val="32"/>
        </w:rPr>
      </w:pPr>
      <w:bookmarkStart w:id="74" w:name="_Toc15377223"/>
      <w:r>
        <w:rPr>
          <w:rFonts w:hint="eastAsia" w:ascii="仿宋" w:hAnsi="仿宋" w:eastAsia="仿宋"/>
          <w:b/>
          <w:sz w:val="32"/>
          <w:szCs w:val="32"/>
        </w:rPr>
        <w:t>（二）政府采购支出情况</w:t>
      </w:r>
      <w:bookmarkEnd w:id="74"/>
    </w:p>
    <w:p>
      <w:pPr>
        <w:spacing w:line="600" w:lineRule="exact"/>
        <w:ind w:firstLine="640" w:firstLineChars="200"/>
        <w:rPr>
          <w:rFonts w:hint="eastAsia" w:ascii="仿宋_GB2312" w:hAnsi="仿宋_GB2312" w:eastAsia="仿宋_GB2312" w:cs="仿宋_GB2312"/>
          <w:sz w:val="32"/>
          <w:szCs w:val="32"/>
        </w:rPr>
      </w:pPr>
      <w:bookmarkStart w:id="75" w:name="_Toc15377224"/>
      <w:r>
        <w:rPr>
          <w:rFonts w:hint="eastAsia" w:ascii="仿宋_GB2312" w:hAnsi="仿宋_GB2312" w:eastAsia="仿宋_GB2312" w:cs="仿宋_GB2312"/>
          <w:sz w:val="32"/>
          <w:szCs w:val="32"/>
        </w:rPr>
        <w:t>2023年度，马边彝族自治县红十字会政府采购支出总额0万元，其中：政府采购货物支出0万元、政府采购工程支出0万元、政府采购服务支出0万元。授予中小企业合同金额0万元，占政府采购支出总额的0%，其中：授予小微企业合同金额0万元，占政府采购支出总额的0%。</w:t>
      </w:r>
    </w:p>
    <w:p>
      <w:pPr>
        <w:autoSpaceDE w:val="0"/>
        <w:autoSpaceDN w:val="0"/>
        <w:adjustRightInd w:val="0"/>
        <w:spacing w:line="600" w:lineRule="exact"/>
        <w:ind w:firstLine="643" w:firstLineChars="200"/>
        <w:jc w:val="left"/>
        <w:outlineLvl w:val="2"/>
        <w:rPr>
          <w:rFonts w:ascii="仿宋" w:hAnsi="仿宋" w:eastAsia="仿宋"/>
          <w:b/>
          <w:sz w:val="32"/>
          <w:szCs w:val="32"/>
        </w:rPr>
      </w:pPr>
      <w:r>
        <w:rPr>
          <w:rFonts w:hint="eastAsia" w:ascii="仿宋" w:hAnsi="仿宋" w:eastAsia="仿宋"/>
          <w:b/>
          <w:sz w:val="32"/>
          <w:szCs w:val="32"/>
        </w:rPr>
        <w:t>（三）国有资产占有使用情况</w:t>
      </w:r>
      <w:bookmarkEnd w:id="75"/>
    </w:p>
    <w:p>
      <w:pPr>
        <w:autoSpaceDE w:val="0"/>
        <w:autoSpaceDN w:val="0"/>
        <w:adjustRightInd w:val="0"/>
        <w:spacing w:line="600" w:lineRule="exact"/>
        <w:ind w:firstLine="640" w:firstLineChars="200"/>
        <w:jc w:val="left"/>
      </w:pPr>
      <w:r>
        <w:rPr>
          <w:rFonts w:hint="eastAsia" w:ascii="仿宋_GB2312" w:hAnsi="仿宋_GB2312" w:eastAsia="仿宋_GB2312" w:cs="仿宋_GB2312"/>
          <w:sz w:val="32"/>
          <w:szCs w:val="32"/>
        </w:rPr>
        <w:t>截至2023年12月31日，马边彝族自治县红十字会共有车辆0辆，其中：主要领导干部用车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辆、机要通信用车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辆、应急保障用车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辆、其他用车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辆。单价100万元以上设备（不含车辆）0台（套）。</w:t>
      </w:r>
    </w:p>
    <w:p>
      <w:pPr>
        <w:autoSpaceDE w:val="0"/>
        <w:autoSpaceDN w:val="0"/>
        <w:adjustRightInd w:val="0"/>
        <w:spacing w:line="600" w:lineRule="exact"/>
        <w:ind w:firstLine="643" w:firstLineChars="200"/>
        <w:jc w:val="left"/>
        <w:outlineLvl w:val="2"/>
        <w:rPr>
          <w:rFonts w:ascii="仿宋" w:hAnsi="仿宋" w:eastAsia="仿宋"/>
          <w:b/>
          <w:sz w:val="32"/>
          <w:szCs w:val="32"/>
        </w:rPr>
      </w:pPr>
      <w:r>
        <w:rPr>
          <w:rFonts w:hint="eastAsia" w:ascii="仿宋" w:hAnsi="仿宋" w:eastAsia="仿宋"/>
          <w:b/>
          <w:sz w:val="32"/>
          <w:szCs w:val="32"/>
        </w:rPr>
        <w:t>（四）预算绩效管理情况</w:t>
      </w:r>
    </w:p>
    <w:p>
      <w:pPr>
        <w:spacing w:line="580" w:lineRule="exact"/>
        <w:ind w:firstLine="640" w:firstLineChars="200"/>
        <w:rPr>
          <w:rFonts w:hint="eastAsia" w:ascii="仿宋_GB2312" w:hAnsi="Times New Roman" w:eastAsia="仿宋_GB2312" w:cs="Times New Roman"/>
          <w:color w:val="auto"/>
          <w:sz w:val="32"/>
          <w:szCs w:val="32"/>
          <w:highlight w:val="none"/>
          <w:lang w:val="en-US" w:eastAsia="zh-CN"/>
        </w:rPr>
      </w:pPr>
      <w:r>
        <w:rPr>
          <w:rFonts w:hint="eastAsia" w:ascii="仿宋_GB2312" w:hAnsi="仿宋_GB2312" w:eastAsia="仿宋_GB2312" w:cs="仿宋_GB2312"/>
          <w:sz w:val="32"/>
          <w:szCs w:val="32"/>
        </w:rPr>
        <w:t>根据预算绩效管理要求，本</w:t>
      </w:r>
      <w:r>
        <w:rPr>
          <w:rFonts w:hint="eastAsia" w:ascii="仿宋_GB2312" w:hAnsi="仿宋_GB2312" w:eastAsia="仿宋_GB2312" w:cs="仿宋_GB2312"/>
          <w:sz w:val="32"/>
          <w:szCs w:val="32"/>
          <w:lang w:val="en-US" w:eastAsia="zh-CN"/>
        </w:rPr>
        <w:t>单位</w:t>
      </w:r>
      <w:r>
        <w:rPr>
          <w:rFonts w:hint="eastAsia" w:ascii="仿宋_GB2312" w:hAnsi="仿宋_GB2312" w:eastAsia="仿宋_GB2312" w:cs="仿宋_GB2312"/>
          <w:sz w:val="32"/>
          <w:szCs w:val="32"/>
        </w:rPr>
        <w:t>在2023年度预算编制阶段，组织对</w:t>
      </w:r>
      <w:r>
        <w:rPr>
          <w:rFonts w:hint="eastAsia" w:ascii="仿宋_GB2312" w:hAnsi="仿宋_GB2312" w:eastAsia="仿宋_GB2312" w:cs="仿宋_GB2312"/>
          <w:sz w:val="32"/>
          <w:szCs w:val="32"/>
          <w:lang w:eastAsia="zh-CN"/>
        </w:rPr>
        <w:t>《</w:t>
      </w:r>
      <w:r>
        <w:rPr>
          <w:rFonts w:hint="eastAsia" w:ascii="仿宋_GB2312" w:hAnsi="Times New Roman" w:eastAsia="仿宋_GB2312"/>
          <w:sz w:val="32"/>
          <w:szCs w:val="32"/>
        </w:rPr>
        <w:t>马边彝族自治县红十字会应急救援和救护能力提升工程项目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等</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个项目开展了预算事前绩效评估，对</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个项目编制了绩效目标，预算执行过程中，选取</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个项目开展绩效监控。</w:t>
      </w:r>
      <w:r>
        <w:rPr>
          <w:rFonts w:hint="eastAsia" w:ascii="仿宋_GB2312" w:hAnsi="Times New Roman" w:eastAsia="仿宋_GB2312" w:cs="Times New Roman"/>
          <w:color w:val="auto"/>
          <w:sz w:val="32"/>
          <w:szCs w:val="32"/>
          <w:highlight w:val="none"/>
          <w:lang w:eastAsia="zh-CN"/>
        </w:rPr>
        <w:t>组织对</w:t>
      </w:r>
      <w:r>
        <w:rPr>
          <w:rFonts w:hint="eastAsia" w:ascii="仿宋_GB2312" w:hAnsi="Times New Roman" w:eastAsia="仿宋_GB2312" w:cs="Times New Roman"/>
          <w:color w:val="auto"/>
          <w:sz w:val="32"/>
          <w:szCs w:val="32"/>
          <w:highlight w:val="none"/>
          <w:lang w:val="en-US" w:eastAsia="zh-CN"/>
        </w:rPr>
        <w:t>2个项目开展绩效自评，绩效自评表详见第四部分附件。</w:t>
      </w:r>
    </w:p>
    <w:p>
      <w:pPr>
        <w:pStyle w:val="2"/>
      </w:pPr>
    </w:p>
    <w:p>
      <w:pPr>
        <w:numPr>
          <w:ilvl w:val="0"/>
          <w:numId w:val="4"/>
        </w:numPr>
        <w:spacing w:line="600" w:lineRule="exact"/>
        <w:ind w:firstLine="660" w:firstLineChars="150"/>
        <w:jc w:val="center"/>
        <w:outlineLvl w:val="0"/>
        <w:rPr>
          <w:rStyle w:val="28"/>
          <w:rFonts w:ascii="黑体" w:hAnsi="黑体" w:eastAsia="黑体"/>
          <w:b w:val="0"/>
        </w:rPr>
      </w:pPr>
      <w:bookmarkStart w:id="76" w:name="_Toc15377225"/>
      <w:bookmarkStart w:id="77" w:name="_Toc15396613"/>
      <w:bookmarkStart w:id="78" w:name="_Toc27523"/>
      <w:bookmarkStart w:id="79" w:name="_Toc31131"/>
      <w:r>
        <w:rPr>
          <w:rFonts w:hint="eastAsia" w:ascii="黑体" w:hAnsi="黑体" w:eastAsia="黑体"/>
          <w:sz w:val="44"/>
          <w:szCs w:val="44"/>
        </w:rPr>
        <w:t>名</w:t>
      </w:r>
      <w:r>
        <w:rPr>
          <w:rStyle w:val="28"/>
          <w:rFonts w:hint="eastAsia" w:ascii="黑体" w:hAnsi="黑体" w:eastAsia="黑体"/>
          <w:b w:val="0"/>
        </w:rPr>
        <w:t>词解释</w:t>
      </w:r>
      <w:bookmarkEnd w:id="76"/>
      <w:bookmarkEnd w:id="77"/>
      <w:bookmarkEnd w:id="78"/>
      <w:bookmarkEnd w:id="79"/>
    </w:p>
    <w:p>
      <w:pPr>
        <w:spacing w:line="600" w:lineRule="exact"/>
        <w:jc w:val="left"/>
        <w:rPr>
          <w:rFonts w:ascii="宋体"/>
          <w:b/>
          <w:sz w:val="44"/>
          <w:szCs w:val="44"/>
        </w:rPr>
      </w:pPr>
    </w:p>
    <w:p>
      <w:pPr>
        <w:ind w:firstLine="640" w:firstLineChars="200"/>
        <w:rPr>
          <w:rFonts w:hint="eastAsia" w:ascii="仿宋_GB2312" w:eastAsia="仿宋_GB2312"/>
          <w:sz w:val="32"/>
          <w:szCs w:val="32"/>
        </w:rPr>
      </w:pPr>
      <w:bookmarkStart w:id="80" w:name="_Toc15396614"/>
      <w:bookmarkStart w:id="81" w:name="_Toc15377226"/>
      <w:r>
        <w:rPr>
          <w:rFonts w:hint="eastAsia" w:ascii="仿宋_GB2312" w:eastAsia="仿宋_GB2312"/>
          <w:sz w:val="32"/>
          <w:szCs w:val="32"/>
        </w:rPr>
        <w:t>1.财政拨款收入：指单位从同级财政部门取得的财政预算资金。</w:t>
      </w:r>
    </w:p>
    <w:p>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2</w:t>
      </w:r>
      <w:r>
        <w:rPr>
          <w:rFonts w:hint="eastAsia" w:ascii="仿宋_GB2312" w:eastAsia="仿宋_GB2312"/>
          <w:sz w:val="32"/>
          <w:szCs w:val="32"/>
        </w:rPr>
        <w:t>.社会保障和就业支出（类）行政事业单位养老支出（款）机关事业单位基本养老保险缴费支出（项）：指机关事业单位实施养老保险制度由单位缴纳的基本养老保险费支出。</w:t>
      </w:r>
    </w:p>
    <w:p>
      <w:pPr>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3.社会保障和就业支出（类）红十字事业（款）事业运行（项）：指事业单位的基本支出，不包括行政单位(包括实行公务员管理的事业单位)后勤服务中心、医务室等附属事业单位。</w:t>
      </w:r>
    </w:p>
    <w:p>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4</w:t>
      </w:r>
      <w:r>
        <w:rPr>
          <w:rFonts w:hint="eastAsia" w:ascii="仿宋_GB2312" w:eastAsia="仿宋_GB2312"/>
          <w:sz w:val="32"/>
          <w:szCs w:val="32"/>
        </w:rPr>
        <w:t>.社会保障和就业支出（类）其他社会保障和就业支出（款）其他社会保障和就业支出（项）：指除上述项目以外其他用于社会保障和就业方面的支出。</w:t>
      </w:r>
    </w:p>
    <w:p>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5</w:t>
      </w:r>
      <w:r>
        <w:rPr>
          <w:rFonts w:hint="eastAsia" w:ascii="仿宋_GB2312" w:eastAsia="仿宋_GB2312"/>
          <w:sz w:val="32"/>
          <w:szCs w:val="32"/>
        </w:rPr>
        <w:t>.卫生健康支出（类）行政事业单位医疗（款）事业单位医疗（项）：指财政部门安排的事业单位基本医疗保险缴费经费，未参加医疗保险的事业单位的公费医疗经费，按国家规定享受离休人员待遇的医疗经费。</w:t>
      </w:r>
    </w:p>
    <w:p>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6</w:t>
      </w:r>
      <w:r>
        <w:rPr>
          <w:rFonts w:hint="eastAsia" w:ascii="仿宋_GB2312" w:eastAsia="仿宋_GB2312"/>
          <w:sz w:val="32"/>
          <w:szCs w:val="32"/>
        </w:rPr>
        <w:t>.农林水支出（类）巩固脱贫攻坚成果衔接乡村振兴（款）其他巩固脱贫攻坚成果衔接乡村振兴支出（项）：指除上述项目以外其他用于巩固拓展脱贫攻坚成果同乡村振兴有效衔接方面的支出。</w:t>
      </w:r>
    </w:p>
    <w:p>
      <w:pPr>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7.住房保障支出（类）住房改革支出（款）住房公积金（项）：指行政事业单位按人力资源和社会保障部、财政部规定的基本工资和津贴补贴以及规定比例为职工缴纳的住房公积金。</w:t>
      </w:r>
    </w:p>
    <w:p>
      <w:pPr>
        <w:ind w:firstLine="640" w:firstLineChars="200"/>
        <w:rPr>
          <w:rFonts w:ascii="仿宋_GB2312" w:eastAsia="仿宋_GB2312"/>
          <w:sz w:val="32"/>
          <w:szCs w:val="32"/>
        </w:rPr>
      </w:pPr>
      <w:r>
        <w:rPr>
          <w:rFonts w:hint="eastAsia" w:ascii="仿宋_GB2312" w:eastAsia="仿宋_GB2312"/>
          <w:sz w:val="32"/>
          <w:szCs w:val="32"/>
          <w:lang w:val="en-US" w:eastAsia="zh-CN"/>
        </w:rPr>
        <w:t>8</w:t>
      </w:r>
      <w:r>
        <w:rPr>
          <w:rFonts w:hint="eastAsia" w:ascii="仿宋_GB2312" w:eastAsia="仿宋_GB2312"/>
          <w:sz w:val="32"/>
          <w:szCs w:val="32"/>
        </w:rPr>
        <w:t>.基本支出：指为保障机构正常运转、完成日常工作任务而发生的人员支出和公用支出。</w:t>
      </w:r>
    </w:p>
    <w:p>
      <w:pPr>
        <w:ind w:firstLine="640" w:firstLineChars="200"/>
        <w:rPr>
          <w:rFonts w:ascii="仿宋_GB2312" w:eastAsia="仿宋_GB2312"/>
          <w:sz w:val="32"/>
          <w:szCs w:val="32"/>
        </w:rPr>
      </w:pPr>
      <w:r>
        <w:rPr>
          <w:rFonts w:hint="eastAsia" w:ascii="仿宋_GB2312" w:eastAsia="仿宋_GB2312"/>
          <w:sz w:val="32"/>
          <w:szCs w:val="32"/>
          <w:lang w:val="en-US" w:eastAsia="zh-CN"/>
        </w:rPr>
        <w:t>9</w:t>
      </w:r>
      <w:r>
        <w:rPr>
          <w:rFonts w:hint="eastAsia" w:ascii="仿宋_GB2312" w:eastAsia="仿宋_GB2312"/>
          <w:sz w:val="32"/>
          <w:szCs w:val="32"/>
        </w:rPr>
        <w:t xml:space="preserve">.项目支出：指在基本支出之外为完成特定行政任务和事业发展目标所发生的支出。 </w:t>
      </w:r>
    </w:p>
    <w:p>
      <w:pPr>
        <w:ind w:firstLine="640" w:firstLineChars="200"/>
        <w:rPr>
          <w:rFonts w:hint="eastAsia" w:ascii="仿宋_GB2312" w:eastAsia="仿宋_GB2312"/>
          <w:sz w:val="32"/>
          <w:szCs w:val="32"/>
        </w:rPr>
      </w:pPr>
      <w:r>
        <w:rPr>
          <w:rFonts w:hint="eastAsia" w:ascii="仿宋_GB2312" w:eastAsia="仿宋_GB2312"/>
          <w:sz w:val="32"/>
          <w:szCs w:val="32"/>
          <w:lang w:val="en-US" w:eastAsia="zh-CN"/>
        </w:rPr>
        <w:t>10</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
      </w:pPr>
    </w:p>
    <w:p>
      <w:pPr>
        <w:jc w:val="center"/>
        <w:rPr>
          <w:rStyle w:val="28"/>
          <w:rFonts w:ascii="黑体" w:hAnsi="黑体" w:eastAsia="黑体"/>
          <w:b w:val="0"/>
        </w:rPr>
      </w:pPr>
      <w:r>
        <w:rPr>
          <w:rFonts w:hint="eastAsia" w:ascii="黑体" w:hAnsi="黑体" w:eastAsia="黑体"/>
          <w:sz w:val="44"/>
          <w:szCs w:val="44"/>
        </w:rPr>
        <w:t>第</w:t>
      </w:r>
      <w:r>
        <w:rPr>
          <w:rStyle w:val="28"/>
          <w:rFonts w:hint="eastAsia" w:ascii="黑体" w:hAnsi="黑体" w:eastAsia="黑体"/>
          <w:b w:val="0"/>
        </w:rPr>
        <w:t>四部分 附件</w:t>
      </w:r>
      <w:bookmarkEnd w:id="80"/>
    </w:p>
    <w:p>
      <w:pPr>
        <w:spacing w:line="572" w:lineRule="exact"/>
        <w:jc w:val="left"/>
        <w:outlineLvl w:val="0"/>
        <w:rPr>
          <w:rFonts w:ascii="仿宋_GB2312" w:hAnsi="仿宋_GB2312" w:eastAsia="仿宋_GB2312" w:cs="仿宋_GB2312"/>
          <w:sz w:val="32"/>
          <w:szCs w:val="32"/>
        </w:rPr>
      </w:pPr>
    </w:p>
    <w:p>
      <w:pPr>
        <w:spacing w:line="600" w:lineRule="exact"/>
        <w:jc w:val="center"/>
        <w:outlineLvl w:val="0"/>
        <w:rPr>
          <w:rFonts w:hAnsi="Calibri" w:cs="仿宋"/>
          <w:sz w:val="32"/>
          <w:szCs w:val="32"/>
        </w:rPr>
      </w:pPr>
      <w:bookmarkStart w:id="82" w:name="_Toc20339"/>
      <w:bookmarkStart w:id="83" w:name="_Toc26552"/>
      <w:bookmarkStart w:id="84" w:name="_Toc15396618"/>
      <w:r>
        <w:rPr>
          <w:rFonts w:hint="eastAsia"/>
          <w:sz w:val="32"/>
          <w:szCs w:val="32"/>
        </w:rPr>
        <w:t>部门预算项目支出绩效自评表（2023年度）</w:t>
      </w:r>
      <w:bookmarkEnd w:id="82"/>
      <w:bookmarkEnd w:id="83"/>
    </w:p>
    <w:p>
      <w:pPr>
        <w:spacing w:line="600" w:lineRule="exact"/>
        <w:jc w:val="center"/>
        <w:outlineLvl w:val="0"/>
        <w:rPr>
          <w:rFonts w:ascii="仿宋" w:hAnsi="仿宋" w:eastAsia="仿宋"/>
        </w:rPr>
      </w:pPr>
      <w:bookmarkStart w:id="85" w:name="_Toc21882"/>
      <w:bookmarkStart w:id="86" w:name="_Toc7209"/>
      <w:r>
        <w:rPr>
          <w:rFonts w:hint="eastAsia" w:ascii="黑体" w:hAnsi="黑体" w:eastAsia="黑体"/>
          <w:sz w:val="44"/>
          <w:szCs w:val="44"/>
        </w:rPr>
        <w:t>第</w:t>
      </w:r>
      <w:r>
        <w:rPr>
          <w:rStyle w:val="28"/>
          <w:rFonts w:hint="eastAsia" w:ascii="黑体" w:hAnsi="黑体" w:eastAsia="黑体"/>
          <w:b w:val="0"/>
        </w:rPr>
        <w:t>五部分 附表</w:t>
      </w:r>
      <w:bookmarkEnd w:id="81"/>
      <w:bookmarkEnd w:id="84"/>
      <w:bookmarkEnd w:id="85"/>
      <w:bookmarkEnd w:id="86"/>
      <w:bookmarkStart w:id="87" w:name="_Toc15396619"/>
    </w:p>
    <w:p>
      <w:pPr>
        <w:pStyle w:val="5"/>
        <w:rPr>
          <w:rFonts w:ascii="仿宋" w:hAnsi="仿宋" w:eastAsia="仿宋"/>
        </w:rPr>
      </w:pPr>
      <w:bookmarkStart w:id="88" w:name="_Toc11538"/>
      <w:bookmarkStart w:id="89" w:name="_Toc9516"/>
      <w:r>
        <w:rPr>
          <w:rFonts w:hint="eastAsia" w:ascii="仿宋" w:hAnsi="仿宋" w:eastAsia="仿宋"/>
          <w:b w:val="0"/>
        </w:rPr>
        <w:t>一、收</w:t>
      </w:r>
      <w:r>
        <w:rPr>
          <w:rStyle w:val="29"/>
          <w:rFonts w:hint="eastAsia" w:ascii="仿宋" w:hAnsi="仿宋" w:eastAsia="仿宋"/>
          <w:b w:val="0"/>
          <w:bCs w:val="0"/>
        </w:rPr>
        <w:t>入支出决算总表</w:t>
      </w:r>
      <w:bookmarkEnd w:id="87"/>
      <w:bookmarkEnd w:id="88"/>
      <w:bookmarkEnd w:id="89"/>
    </w:p>
    <w:p>
      <w:pPr>
        <w:pStyle w:val="5"/>
        <w:rPr>
          <w:rFonts w:ascii="仿宋" w:hAnsi="仿宋" w:eastAsia="仿宋"/>
        </w:rPr>
      </w:pPr>
      <w:bookmarkStart w:id="90" w:name="_Toc15396620"/>
      <w:bookmarkStart w:id="91" w:name="_Toc11186"/>
      <w:bookmarkStart w:id="92" w:name="_Toc28435"/>
      <w:r>
        <w:rPr>
          <w:rFonts w:hint="eastAsia" w:ascii="仿宋" w:hAnsi="仿宋" w:eastAsia="仿宋"/>
          <w:b w:val="0"/>
        </w:rPr>
        <w:t>二、收</w:t>
      </w:r>
      <w:r>
        <w:rPr>
          <w:rStyle w:val="29"/>
          <w:rFonts w:hint="eastAsia" w:ascii="仿宋" w:hAnsi="仿宋" w:eastAsia="仿宋"/>
          <w:b w:val="0"/>
          <w:bCs w:val="0"/>
        </w:rPr>
        <w:t>入决算表</w:t>
      </w:r>
      <w:bookmarkEnd w:id="90"/>
      <w:bookmarkEnd w:id="91"/>
      <w:bookmarkEnd w:id="92"/>
    </w:p>
    <w:p>
      <w:pPr>
        <w:pStyle w:val="5"/>
        <w:rPr>
          <w:rFonts w:ascii="仿宋" w:hAnsi="仿宋" w:eastAsia="仿宋"/>
        </w:rPr>
      </w:pPr>
      <w:bookmarkStart w:id="93" w:name="_Toc15396621"/>
      <w:bookmarkStart w:id="94" w:name="_Toc6222"/>
      <w:bookmarkStart w:id="95" w:name="_Toc6844"/>
      <w:r>
        <w:rPr>
          <w:rStyle w:val="29"/>
          <w:rFonts w:hint="eastAsia" w:ascii="仿宋" w:hAnsi="仿宋" w:eastAsia="仿宋"/>
          <w:b w:val="0"/>
          <w:bCs w:val="0"/>
        </w:rPr>
        <w:t>三、</w:t>
      </w:r>
      <w:r>
        <w:rPr>
          <w:rFonts w:hint="eastAsia" w:ascii="仿宋" w:hAnsi="仿宋" w:eastAsia="仿宋"/>
          <w:b w:val="0"/>
        </w:rPr>
        <w:t>支</w:t>
      </w:r>
      <w:r>
        <w:rPr>
          <w:rStyle w:val="29"/>
          <w:rFonts w:hint="eastAsia" w:ascii="仿宋" w:hAnsi="仿宋" w:eastAsia="仿宋"/>
          <w:b w:val="0"/>
          <w:bCs w:val="0"/>
        </w:rPr>
        <w:t>出决算表</w:t>
      </w:r>
      <w:bookmarkEnd w:id="93"/>
      <w:bookmarkEnd w:id="94"/>
      <w:bookmarkEnd w:id="95"/>
    </w:p>
    <w:p>
      <w:pPr>
        <w:pStyle w:val="5"/>
        <w:rPr>
          <w:rFonts w:ascii="仿宋" w:hAnsi="仿宋" w:eastAsia="仿宋"/>
          <w:b w:val="0"/>
        </w:rPr>
      </w:pPr>
      <w:bookmarkStart w:id="96" w:name="_Toc15396622"/>
      <w:bookmarkStart w:id="97" w:name="_Toc28403"/>
      <w:bookmarkStart w:id="98" w:name="_Toc4883"/>
      <w:r>
        <w:rPr>
          <w:rStyle w:val="29"/>
          <w:rFonts w:hint="eastAsia" w:ascii="仿宋" w:hAnsi="仿宋" w:eastAsia="仿宋"/>
          <w:b w:val="0"/>
          <w:bCs w:val="0"/>
        </w:rPr>
        <w:t>四、</w:t>
      </w:r>
      <w:r>
        <w:rPr>
          <w:rFonts w:hint="eastAsia" w:ascii="仿宋" w:hAnsi="仿宋" w:eastAsia="仿宋"/>
          <w:b w:val="0"/>
        </w:rPr>
        <w:t>财</w:t>
      </w:r>
      <w:r>
        <w:rPr>
          <w:rStyle w:val="29"/>
          <w:rFonts w:hint="eastAsia" w:ascii="仿宋" w:hAnsi="仿宋" w:eastAsia="仿宋"/>
          <w:b w:val="0"/>
          <w:bCs w:val="0"/>
        </w:rPr>
        <w:t>政拨款收入支出决算总表</w:t>
      </w:r>
      <w:bookmarkEnd w:id="96"/>
      <w:bookmarkEnd w:id="97"/>
      <w:bookmarkEnd w:id="98"/>
    </w:p>
    <w:p>
      <w:pPr>
        <w:pStyle w:val="5"/>
        <w:rPr>
          <w:rStyle w:val="29"/>
          <w:rFonts w:ascii="仿宋" w:hAnsi="仿宋" w:eastAsia="仿宋"/>
          <w:b w:val="0"/>
          <w:bCs w:val="0"/>
        </w:rPr>
      </w:pPr>
      <w:bookmarkStart w:id="99" w:name="_Toc15396623"/>
      <w:bookmarkStart w:id="100" w:name="_Toc21447"/>
      <w:bookmarkStart w:id="101" w:name="_Toc12744"/>
      <w:r>
        <w:rPr>
          <w:rStyle w:val="29"/>
          <w:rFonts w:hint="eastAsia" w:ascii="仿宋" w:hAnsi="仿宋" w:eastAsia="仿宋"/>
          <w:b w:val="0"/>
          <w:bCs w:val="0"/>
        </w:rPr>
        <w:t>五、</w:t>
      </w:r>
      <w:r>
        <w:rPr>
          <w:rFonts w:hint="eastAsia" w:ascii="仿宋" w:hAnsi="仿宋" w:eastAsia="仿宋"/>
          <w:b w:val="0"/>
        </w:rPr>
        <w:t>财</w:t>
      </w:r>
      <w:r>
        <w:rPr>
          <w:rStyle w:val="29"/>
          <w:rFonts w:hint="eastAsia" w:ascii="仿宋" w:hAnsi="仿宋" w:eastAsia="仿宋"/>
          <w:b w:val="0"/>
          <w:bCs w:val="0"/>
        </w:rPr>
        <w:t>政拨款支出决算明细表</w:t>
      </w:r>
      <w:bookmarkEnd w:id="99"/>
      <w:bookmarkEnd w:id="100"/>
      <w:bookmarkEnd w:id="101"/>
      <w:bookmarkStart w:id="102" w:name="_Toc15396624"/>
    </w:p>
    <w:p>
      <w:pPr>
        <w:pStyle w:val="5"/>
        <w:rPr>
          <w:rFonts w:ascii="仿宋" w:hAnsi="仿宋" w:eastAsia="仿宋"/>
        </w:rPr>
      </w:pPr>
      <w:bookmarkStart w:id="103" w:name="_Toc28786"/>
      <w:bookmarkStart w:id="104" w:name="_Toc4464"/>
      <w:r>
        <w:rPr>
          <w:rStyle w:val="29"/>
          <w:rFonts w:hint="eastAsia" w:ascii="仿宋" w:hAnsi="仿宋" w:eastAsia="仿宋"/>
          <w:b w:val="0"/>
          <w:bCs w:val="0"/>
        </w:rPr>
        <w:t>六、</w:t>
      </w:r>
      <w:r>
        <w:rPr>
          <w:rFonts w:hint="eastAsia" w:ascii="仿宋" w:hAnsi="仿宋" w:eastAsia="仿宋"/>
          <w:b w:val="0"/>
        </w:rPr>
        <w:t>一</w:t>
      </w:r>
      <w:r>
        <w:rPr>
          <w:rStyle w:val="29"/>
          <w:rFonts w:hint="eastAsia" w:ascii="仿宋" w:hAnsi="仿宋" w:eastAsia="仿宋"/>
          <w:b w:val="0"/>
          <w:bCs w:val="0"/>
        </w:rPr>
        <w:t>般公共预算财政拨款支出决算表</w:t>
      </w:r>
      <w:bookmarkEnd w:id="102"/>
      <w:bookmarkEnd w:id="103"/>
      <w:bookmarkEnd w:id="104"/>
    </w:p>
    <w:p>
      <w:pPr>
        <w:pStyle w:val="5"/>
        <w:rPr>
          <w:rFonts w:ascii="仿宋" w:hAnsi="仿宋" w:eastAsia="仿宋"/>
        </w:rPr>
      </w:pPr>
      <w:bookmarkStart w:id="105" w:name="_Toc15396625"/>
      <w:bookmarkStart w:id="106" w:name="_Toc26793"/>
      <w:bookmarkStart w:id="107" w:name="_Toc1616"/>
      <w:r>
        <w:rPr>
          <w:rStyle w:val="29"/>
          <w:rFonts w:hint="eastAsia" w:ascii="仿宋" w:hAnsi="仿宋" w:eastAsia="仿宋"/>
          <w:b w:val="0"/>
          <w:bCs w:val="0"/>
        </w:rPr>
        <w:t>七、</w:t>
      </w:r>
      <w:r>
        <w:rPr>
          <w:rFonts w:hint="eastAsia" w:ascii="仿宋" w:hAnsi="仿宋" w:eastAsia="仿宋"/>
          <w:b w:val="0"/>
        </w:rPr>
        <w:t>一</w:t>
      </w:r>
      <w:r>
        <w:rPr>
          <w:rStyle w:val="29"/>
          <w:rFonts w:hint="eastAsia" w:ascii="仿宋" w:hAnsi="仿宋" w:eastAsia="仿宋"/>
          <w:b w:val="0"/>
          <w:bCs w:val="0"/>
        </w:rPr>
        <w:t>般公共预算财政拨款支出决算明细表</w:t>
      </w:r>
      <w:bookmarkEnd w:id="105"/>
      <w:bookmarkEnd w:id="106"/>
      <w:bookmarkEnd w:id="107"/>
    </w:p>
    <w:p>
      <w:pPr>
        <w:pStyle w:val="5"/>
        <w:rPr>
          <w:rFonts w:ascii="仿宋" w:hAnsi="仿宋" w:eastAsia="仿宋"/>
        </w:rPr>
      </w:pPr>
      <w:bookmarkStart w:id="108" w:name="_Toc15396626"/>
      <w:bookmarkStart w:id="109" w:name="_Toc17998"/>
      <w:bookmarkStart w:id="110" w:name="_Toc22169"/>
      <w:r>
        <w:rPr>
          <w:rStyle w:val="29"/>
          <w:rFonts w:hint="eastAsia" w:ascii="仿宋" w:hAnsi="仿宋" w:eastAsia="仿宋"/>
          <w:b w:val="0"/>
          <w:bCs w:val="0"/>
        </w:rPr>
        <w:t>八、</w:t>
      </w:r>
      <w:r>
        <w:rPr>
          <w:rFonts w:hint="eastAsia" w:ascii="仿宋" w:hAnsi="仿宋" w:eastAsia="仿宋"/>
          <w:b w:val="0"/>
        </w:rPr>
        <w:t>一</w:t>
      </w:r>
      <w:r>
        <w:rPr>
          <w:rStyle w:val="29"/>
          <w:rFonts w:hint="eastAsia" w:ascii="仿宋" w:hAnsi="仿宋" w:eastAsia="仿宋"/>
          <w:b w:val="0"/>
          <w:bCs w:val="0"/>
        </w:rPr>
        <w:t>般公共预算财政拨款基本支出决算表</w:t>
      </w:r>
      <w:bookmarkEnd w:id="108"/>
      <w:bookmarkEnd w:id="109"/>
      <w:bookmarkEnd w:id="110"/>
    </w:p>
    <w:p>
      <w:pPr>
        <w:pStyle w:val="5"/>
        <w:rPr>
          <w:rFonts w:ascii="仿宋" w:hAnsi="仿宋" w:eastAsia="仿宋"/>
        </w:rPr>
      </w:pPr>
      <w:bookmarkStart w:id="111" w:name="_Toc15396627"/>
      <w:bookmarkStart w:id="112" w:name="_Toc1972"/>
      <w:bookmarkStart w:id="113" w:name="_Toc22965"/>
      <w:r>
        <w:rPr>
          <w:rStyle w:val="29"/>
          <w:rFonts w:hint="eastAsia" w:ascii="仿宋" w:hAnsi="仿宋" w:eastAsia="仿宋"/>
          <w:b w:val="0"/>
          <w:bCs w:val="0"/>
        </w:rPr>
        <w:t>九、</w:t>
      </w:r>
      <w:r>
        <w:rPr>
          <w:rFonts w:hint="eastAsia" w:ascii="仿宋" w:hAnsi="仿宋" w:eastAsia="仿宋"/>
          <w:b w:val="0"/>
        </w:rPr>
        <w:t>一</w:t>
      </w:r>
      <w:r>
        <w:rPr>
          <w:rStyle w:val="29"/>
          <w:rFonts w:hint="eastAsia" w:ascii="仿宋" w:hAnsi="仿宋" w:eastAsia="仿宋"/>
          <w:b w:val="0"/>
          <w:bCs w:val="0"/>
        </w:rPr>
        <w:t>般公共预算财政拨款项目支出决算表</w:t>
      </w:r>
      <w:bookmarkEnd w:id="111"/>
      <w:bookmarkEnd w:id="112"/>
      <w:bookmarkEnd w:id="113"/>
    </w:p>
    <w:p>
      <w:pPr>
        <w:pStyle w:val="5"/>
        <w:rPr>
          <w:rFonts w:ascii="仿宋" w:hAnsi="仿宋" w:eastAsia="仿宋"/>
        </w:rPr>
      </w:pPr>
      <w:bookmarkStart w:id="114" w:name="_Toc15396628"/>
      <w:bookmarkStart w:id="115" w:name="_Toc27895"/>
      <w:bookmarkStart w:id="116" w:name="_Toc12907"/>
      <w:r>
        <w:rPr>
          <w:rStyle w:val="29"/>
          <w:rFonts w:hint="eastAsia" w:ascii="仿宋" w:hAnsi="仿宋" w:eastAsia="仿宋"/>
          <w:b w:val="0"/>
          <w:bCs w:val="0"/>
        </w:rPr>
        <w:t>十、</w:t>
      </w:r>
      <w:bookmarkEnd w:id="114"/>
      <w:r>
        <w:rPr>
          <w:rFonts w:hint="eastAsia" w:ascii="仿宋" w:hAnsi="仿宋" w:eastAsia="仿宋"/>
          <w:b w:val="0"/>
        </w:rPr>
        <w:t>政</w:t>
      </w:r>
      <w:r>
        <w:rPr>
          <w:rStyle w:val="29"/>
          <w:rFonts w:hint="eastAsia" w:ascii="仿宋" w:hAnsi="仿宋" w:eastAsia="仿宋"/>
          <w:b w:val="0"/>
          <w:bCs w:val="0"/>
        </w:rPr>
        <w:t>府性基金预算财政拨款收入支出决算表</w:t>
      </w:r>
      <w:bookmarkEnd w:id="115"/>
      <w:bookmarkEnd w:id="116"/>
    </w:p>
    <w:p>
      <w:pPr>
        <w:pStyle w:val="5"/>
        <w:rPr>
          <w:rFonts w:ascii="仿宋" w:hAnsi="仿宋" w:eastAsia="仿宋"/>
        </w:rPr>
      </w:pPr>
      <w:bookmarkStart w:id="117" w:name="_Toc15396629"/>
      <w:bookmarkStart w:id="118" w:name="_Toc22395"/>
      <w:bookmarkStart w:id="119" w:name="_Toc2134"/>
      <w:r>
        <w:rPr>
          <w:rStyle w:val="29"/>
          <w:rFonts w:hint="eastAsia" w:ascii="仿宋" w:hAnsi="仿宋" w:eastAsia="仿宋"/>
          <w:b w:val="0"/>
          <w:bCs w:val="0"/>
        </w:rPr>
        <w:t>十一、</w:t>
      </w:r>
      <w:bookmarkEnd w:id="117"/>
      <w:r>
        <w:rPr>
          <w:rFonts w:hint="eastAsia" w:ascii="仿宋" w:hAnsi="仿宋" w:eastAsia="仿宋"/>
          <w:b w:val="0"/>
        </w:rPr>
        <w:t>国</w:t>
      </w:r>
      <w:r>
        <w:rPr>
          <w:rStyle w:val="29"/>
          <w:rFonts w:hint="eastAsia" w:ascii="仿宋" w:hAnsi="仿宋" w:eastAsia="仿宋"/>
          <w:b w:val="0"/>
          <w:bCs w:val="0"/>
        </w:rPr>
        <w:t>有资本经营预算财政拨款收入支出决算表</w:t>
      </w:r>
      <w:bookmarkEnd w:id="118"/>
      <w:bookmarkEnd w:id="119"/>
    </w:p>
    <w:p>
      <w:pPr>
        <w:pStyle w:val="5"/>
        <w:rPr>
          <w:rFonts w:ascii="仿宋" w:hAnsi="仿宋" w:eastAsia="仿宋"/>
        </w:rPr>
      </w:pPr>
      <w:bookmarkStart w:id="120" w:name="_Toc15396630"/>
      <w:bookmarkStart w:id="121" w:name="_Toc17652"/>
      <w:bookmarkStart w:id="122" w:name="_Toc5088"/>
      <w:r>
        <w:rPr>
          <w:rStyle w:val="29"/>
          <w:rFonts w:hint="eastAsia" w:ascii="仿宋" w:hAnsi="仿宋" w:eastAsia="仿宋"/>
          <w:b w:val="0"/>
          <w:bCs w:val="0"/>
        </w:rPr>
        <w:t>十二、</w:t>
      </w:r>
      <w:bookmarkEnd w:id="120"/>
      <w:r>
        <w:rPr>
          <w:rStyle w:val="29"/>
          <w:rFonts w:hint="eastAsia" w:ascii="仿宋" w:hAnsi="仿宋" w:eastAsia="仿宋"/>
          <w:b w:val="0"/>
          <w:bCs w:val="0"/>
        </w:rPr>
        <w:t>国有资本经营预算财政拨款支出决算表</w:t>
      </w:r>
      <w:bookmarkEnd w:id="121"/>
      <w:bookmarkEnd w:id="122"/>
    </w:p>
    <w:p>
      <w:pPr>
        <w:pStyle w:val="5"/>
        <w:rPr>
          <w:rFonts w:eastAsia="仿宋"/>
        </w:rPr>
      </w:pPr>
      <w:bookmarkStart w:id="123" w:name="_Toc15396631"/>
      <w:bookmarkStart w:id="124" w:name="_Toc16809"/>
      <w:bookmarkStart w:id="125" w:name="_Toc274"/>
      <w:r>
        <w:rPr>
          <w:rStyle w:val="29"/>
          <w:rFonts w:hint="eastAsia" w:ascii="仿宋" w:hAnsi="仿宋" w:eastAsia="仿宋"/>
          <w:b w:val="0"/>
          <w:bCs w:val="0"/>
        </w:rPr>
        <w:t>十三、</w:t>
      </w:r>
      <w:bookmarkEnd w:id="123"/>
      <w:r>
        <w:rPr>
          <w:rStyle w:val="29"/>
          <w:rFonts w:hint="eastAsia" w:ascii="仿宋" w:hAnsi="仿宋" w:eastAsia="仿宋"/>
          <w:b w:val="0"/>
          <w:bCs w:val="0"/>
        </w:rPr>
        <w:t>财政拨款“三公”经费支出决算表</w:t>
      </w:r>
      <w:bookmarkEnd w:id="124"/>
      <w:bookmarkEnd w:id="125"/>
    </w:p>
    <w:sectPr>
      <w:footerReference r:id="rId7" w:type="first"/>
      <w:footerReference r:id="rId6" w:type="default"/>
      <w:pgSz w:w="11906" w:h="16838"/>
      <w:pgMar w:top="1440" w:right="1800" w:bottom="1440" w:left="1800" w:header="851" w:footer="992" w:gutter="0"/>
      <w:pgNumType w:fmt="decimal"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-114300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0"/>
                            <w:rPr>
                              <w:rFonts w:hint="eastAsia" w:asciiTheme="minorEastAsia" w:hAnsiTheme="minorEastAsia" w:eastAsiaTheme="minorEastAsia" w:cstheme="minorEastAsia"/>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9pt;height:144pt;width:144pt;mso-position-horizontal:outside;mso-position-horizontal-relative:margin;mso-wrap-style:none;z-index:251659264;mso-width-relative:page;mso-height-relative:page;" filled="f" stroked="f" coordsize="21600,21600" o:gfxdata="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">
              <v:fill on="f" focussize="0,0"/>
              <v:stroke on="f" weight="0.5pt"/>
              <v:imagedata o:title=""/>
              <o:lock v:ext="edit" aspectratio="f"/>
              <v:textbox inset="0mm,0mm,0mm,0mm" style="mso-fit-shape-to-text:t;">
                <w:txbxContent>
                  <w:p>
                    <w:pPr>
                      <w:pStyle w:val="10"/>
                      <w:rPr>
                        <w:rFonts w:hint="eastAsia" w:asciiTheme="minorEastAsia" w:hAnsiTheme="minorEastAsia" w:eastAsiaTheme="minorEastAsia" w:cstheme="minorEastAsia"/>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-114300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10"/>
                            <w:rPr>
                              <w:rFonts w:hint="eastAsia" w:asciiTheme="minorEastAsia" w:hAnsiTheme="minorEastAsia" w:eastAsiaTheme="minorEastAsia" w:cstheme="minorEastAsia"/>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9pt;height:144pt;width:144pt;mso-position-horizontal:outside;mso-position-horizontal-relative:margin;mso-wrap-style:none;z-index:251660288;mso-width-relative:page;mso-height-relative:page;" filled="f" stroked="f" coordsize="21600,21600" o:gfxdata="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">
              <v:fill on="f" focussize="0,0"/>
              <v:stroke on="f" weight="0.5pt"/>
              <v:imagedata o:title=""/>
              <o:lock v:ext="edit" aspectratio="f"/>
              <v:textbox inset="0mm,0mm,0mm,0mm" style="mso-fit-shape-to-text:t;">
                <w:txbxContent>
                  <w:p>
                    <w:pPr>
                      <w:pStyle w:val="10"/>
                      <w:rPr>
                        <w:rFonts w:hint="eastAsia" w:asciiTheme="minorEastAsia" w:hAnsiTheme="minorEastAsia" w:eastAsiaTheme="minorEastAsia" w:cstheme="minorEastAsia"/>
                        <w:sz w:val="28"/>
                        <w:szCs w:val="28"/>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-114300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9pt;height:144pt;width:144pt;mso-position-horizontal:outside;mso-position-horizontal-relative:margin;mso-wrap-style:none;z-index:251661312;mso-width-relative:page;mso-height-relative:page;" filled="f" stroked="f" coordsize="21600,21600" o:gfxdata="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don/n1AAAAAgBAAAPAAAAAAAAAAEAIAAAACIAAABkcnMvZG93bnJldi54bWxQSwEC&#10;FAAUAAAACACHTuJAMIkSXjECAABhBAAADgAAAAAAAAABACAAAAAjAQAAZHJzL2Uyb0RvYy54bWxQ&#10;SwUGAAAAAAYABgBZAQAAxgUAAAAA&#10;">
              <v:fill on="f" focussize="0,0"/>
              <v:stroke on="f" weight="0.5pt"/>
              <v:imagedata o:title=""/>
              <o:lock v:ext="edit" aspectratio="f"/>
              <v:textbox inset="0mm,0mm,0mm,0mm" style="mso-fit-shape-to-text:t;">
                <w:txbxContent>
                  <w:p>
                    <w:pPr>
                      <w:pStyle w:val="1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-114300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9pt;height:144pt;width:144pt;mso-position-horizontal:outside;mso-position-horizontal-relative:margin;mso-wrap-style:none;z-index:251662336;mso-width-relative:page;mso-height-relative:page;" filled="f" stroked="f" coordsize="21600,21600" o:gfxdata="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XaJ/59QAAAAIAQAADwAAAAAAAAABACAAAAAiAAAAZHJzL2Rvd25yZXYueG1sUEsB&#10;AhQAFAAAAAgAh07iQPWLh2QyAgAAYQQAAA4AAAAAAAAAAQAgAAAAIwEAAGRycy9lMm9Eb2MueG1s&#10;UEsFBgAAAAAGAAYAWQEAAMcFAAAAAA==&#10;">
              <v:fill on="f" focussize="0,0"/>
              <v:stroke on="f" weight="0.5pt"/>
              <v:imagedata o:title=""/>
              <o:lock v:ext="edit" aspectratio="f"/>
              <v:textbox inset="0mm,0mm,0mm,0mm" style="mso-fit-shape-to-text:t;">
                <w:txbxContent>
                  <w:p>
                    <w:pPr>
                      <w:pStyle w:val="1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E2FA047D"/>
    <w:multiLevelType w:val="singleLevel"/>
    <w:tmpl w:val="E2FA047D"/>
    <w:lvl w:ilvl="0" w:tentative="0">
      <w:start w:val="3"/>
      <w:numFmt w:val="chineseCounting"/>
      <w:suff w:val="space"/>
      <w:lvlText w:val="第%1部分"/>
      <w:lvlJc w:val="left"/>
      <w:rPr>
        <w:rFonts w:hint="eastAsia" w:ascii="黑体" w:hAnsi="黑体" w:eastAsia="黑体" w:cs="黑体"/>
        <w:sz w:val="44"/>
        <w:szCs w:val="44"/>
      </w:rPr>
    </w:lvl>
  </w:abstractNum>
  <w:abstractNum w:abstractNumId="2">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3">
    <w:nsid w:val="3818A09A"/>
    <w:multiLevelType w:val="singleLevel"/>
    <w:tmpl w:val="3818A09A"/>
    <w:lvl w:ilvl="0" w:tentative="0">
      <w:start w:val="1"/>
      <w:numFmt w:val="chineseCounting"/>
      <w:suff w:val="nothing"/>
      <w:lvlText w:val="%1、"/>
      <w:lvlJc w:val="left"/>
      <w:rPr>
        <w:rFonts w:hint="eastAsi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A1DAD"/>
    <w:rsid w:val="001C0962"/>
    <w:rsid w:val="001D7531"/>
    <w:rsid w:val="001E737D"/>
    <w:rsid w:val="001F0592"/>
    <w:rsid w:val="001F7506"/>
    <w:rsid w:val="002006CD"/>
    <w:rsid w:val="00202B36"/>
    <w:rsid w:val="00204B7A"/>
    <w:rsid w:val="00204CDE"/>
    <w:rsid w:val="00206907"/>
    <w:rsid w:val="0021101A"/>
    <w:rsid w:val="00212B4A"/>
    <w:rsid w:val="00220536"/>
    <w:rsid w:val="00235629"/>
    <w:rsid w:val="00260C38"/>
    <w:rsid w:val="002616C0"/>
    <w:rsid w:val="00265372"/>
    <w:rsid w:val="002662AA"/>
    <w:rsid w:val="00280496"/>
    <w:rsid w:val="00294DC9"/>
    <w:rsid w:val="00295495"/>
    <w:rsid w:val="002A31DE"/>
    <w:rsid w:val="002B2613"/>
    <w:rsid w:val="002C5004"/>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25C50"/>
    <w:rsid w:val="0043177C"/>
    <w:rsid w:val="00434489"/>
    <w:rsid w:val="00437085"/>
    <w:rsid w:val="00443880"/>
    <w:rsid w:val="004464F4"/>
    <w:rsid w:val="0046049C"/>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533CF"/>
    <w:rsid w:val="005664BB"/>
    <w:rsid w:val="00566FFA"/>
    <w:rsid w:val="0057481D"/>
    <w:rsid w:val="0058486E"/>
    <w:rsid w:val="00585B33"/>
    <w:rsid w:val="0059014D"/>
    <w:rsid w:val="005B5C64"/>
    <w:rsid w:val="005B6E8A"/>
    <w:rsid w:val="005C5337"/>
    <w:rsid w:val="005C6BD0"/>
    <w:rsid w:val="005D1C8B"/>
    <w:rsid w:val="005D468D"/>
    <w:rsid w:val="005D5CED"/>
    <w:rsid w:val="005F10BC"/>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55FC5"/>
    <w:rsid w:val="0066343B"/>
    <w:rsid w:val="00664777"/>
    <w:rsid w:val="006748A4"/>
    <w:rsid w:val="00681A31"/>
    <w:rsid w:val="00683E73"/>
    <w:rsid w:val="006A3141"/>
    <w:rsid w:val="006A5E34"/>
    <w:rsid w:val="006B2422"/>
    <w:rsid w:val="006B2B9A"/>
    <w:rsid w:val="006C1937"/>
    <w:rsid w:val="006F020C"/>
    <w:rsid w:val="0071021A"/>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10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C7FD8"/>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1E6F"/>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674ADD"/>
    <w:rsid w:val="019B17E7"/>
    <w:rsid w:val="03DC2831"/>
    <w:rsid w:val="07234084"/>
    <w:rsid w:val="077A643C"/>
    <w:rsid w:val="081B5E94"/>
    <w:rsid w:val="0A2032A3"/>
    <w:rsid w:val="0AF35097"/>
    <w:rsid w:val="0B8A37D8"/>
    <w:rsid w:val="0F5FFB2F"/>
    <w:rsid w:val="0FFFCF60"/>
    <w:rsid w:val="10C055FF"/>
    <w:rsid w:val="118107EC"/>
    <w:rsid w:val="11DD6519"/>
    <w:rsid w:val="16BB723D"/>
    <w:rsid w:val="18015F3F"/>
    <w:rsid w:val="1BE8440E"/>
    <w:rsid w:val="1D155CEE"/>
    <w:rsid w:val="1FDBBF84"/>
    <w:rsid w:val="20F57F95"/>
    <w:rsid w:val="240371BF"/>
    <w:rsid w:val="25660868"/>
    <w:rsid w:val="25711CC6"/>
    <w:rsid w:val="25C741E6"/>
    <w:rsid w:val="276F80C0"/>
    <w:rsid w:val="27842671"/>
    <w:rsid w:val="29FD04D3"/>
    <w:rsid w:val="2ABE7A3E"/>
    <w:rsid w:val="2AFF09B6"/>
    <w:rsid w:val="2CA234A8"/>
    <w:rsid w:val="2D962855"/>
    <w:rsid w:val="2EFA178C"/>
    <w:rsid w:val="2EFDF86C"/>
    <w:rsid w:val="2F9D17E1"/>
    <w:rsid w:val="30B46D73"/>
    <w:rsid w:val="319F7F4E"/>
    <w:rsid w:val="34264447"/>
    <w:rsid w:val="356A28F1"/>
    <w:rsid w:val="357C035A"/>
    <w:rsid w:val="36002E49"/>
    <w:rsid w:val="368E000D"/>
    <w:rsid w:val="383D272C"/>
    <w:rsid w:val="38D1004C"/>
    <w:rsid w:val="38E22724"/>
    <w:rsid w:val="39AE70AB"/>
    <w:rsid w:val="3A4DCE41"/>
    <w:rsid w:val="3B0118E6"/>
    <w:rsid w:val="3BCB56FA"/>
    <w:rsid w:val="3C0C0783"/>
    <w:rsid w:val="3EE7C2F4"/>
    <w:rsid w:val="3F371B56"/>
    <w:rsid w:val="3F792ED8"/>
    <w:rsid w:val="3F8B70D9"/>
    <w:rsid w:val="3F9F3A96"/>
    <w:rsid w:val="3FECA4B2"/>
    <w:rsid w:val="3FF58C48"/>
    <w:rsid w:val="405D0767"/>
    <w:rsid w:val="42FF6694"/>
    <w:rsid w:val="440A0FD7"/>
    <w:rsid w:val="453A7FB0"/>
    <w:rsid w:val="4564774A"/>
    <w:rsid w:val="469F553C"/>
    <w:rsid w:val="48BF60AB"/>
    <w:rsid w:val="48F523AE"/>
    <w:rsid w:val="493C27E9"/>
    <w:rsid w:val="496F39ED"/>
    <w:rsid w:val="49E940D9"/>
    <w:rsid w:val="49FF41D3"/>
    <w:rsid w:val="4BE068DB"/>
    <w:rsid w:val="4BF6002B"/>
    <w:rsid w:val="4BFFC6BE"/>
    <w:rsid w:val="4D395267"/>
    <w:rsid w:val="4E826494"/>
    <w:rsid w:val="4ECE2238"/>
    <w:rsid w:val="4F287D53"/>
    <w:rsid w:val="51DB4B86"/>
    <w:rsid w:val="51F64DB0"/>
    <w:rsid w:val="55333C3E"/>
    <w:rsid w:val="56F60D1D"/>
    <w:rsid w:val="57D0678F"/>
    <w:rsid w:val="5BF6446D"/>
    <w:rsid w:val="5C112D92"/>
    <w:rsid w:val="5E6C3E72"/>
    <w:rsid w:val="5F67802D"/>
    <w:rsid w:val="5F7DC4F2"/>
    <w:rsid w:val="5FB36814"/>
    <w:rsid w:val="5FBB8E56"/>
    <w:rsid w:val="5FFB5535"/>
    <w:rsid w:val="61A268A7"/>
    <w:rsid w:val="64CA39A1"/>
    <w:rsid w:val="6550537C"/>
    <w:rsid w:val="695D27BD"/>
    <w:rsid w:val="69630ADE"/>
    <w:rsid w:val="69BD5F13"/>
    <w:rsid w:val="69FB0B4B"/>
    <w:rsid w:val="6BFFE1FB"/>
    <w:rsid w:val="6C4A05C8"/>
    <w:rsid w:val="6D3B1A89"/>
    <w:rsid w:val="6DB7D8A3"/>
    <w:rsid w:val="6EC78701"/>
    <w:rsid w:val="6F7A5481"/>
    <w:rsid w:val="6FFE07A9"/>
    <w:rsid w:val="71BF4EC2"/>
    <w:rsid w:val="72734D90"/>
    <w:rsid w:val="73E75B71"/>
    <w:rsid w:val="7412278C"/>
    <w:rsid w:val="748F4264"/>
    <w:rsid w:val="74AE7EAF"/>
    <w:rsid w:val="7571197F"/>
    <w:rsid w:val="75DDCDA9"/>
    <w:rsid w:val="75FF44B1"/>
    <w:rsid w:val="77205F8A"/>
    <w:rsid w:val="77343C92"/>
    <w:rsid w:val="77670518"/>
    <w:rsid w:val="77702F5A"/>
    <w:rsid w:val="777FA627"/>
    <w:rsid w:val="77DF1B5F"/>
    <w:rsid w:val="77EF2D9D"/>
    <w:rsid w:val="79E7B28D"/>
    <w:rsid w:val="7ACFF0C2"/>
    <w:rsid w:val="7AFB9108"/>
    <w:rsid w:val="7BD5340C"/>
    <w:rsid w:val="7BFB19D2"/>
    <w:rsid w:val="7BFD1750"/>
    <w:rsid w:val="7BFDAA1B"/>
    <w:rsid w:val="7CDF9A82"/>
    <w:rsid w:val="7CFFA1BD"/>
    <w:rsid w:val="7D2E3F7A"/>
    <w:rsid w:val="7DED9490"/>
    <w:rsid w:val="7DFF4872"/>
    <w:rsid w:val="7E7487E6"/>
    <w:rsid w:val="7E7C2A54"/>
    <w:rsid w:val="7EEEFD72"/>
    <w:rsid w:val="7F1D517C"/>
    <w:rsid w:val="7F5DA057"/>
    <w:rsid w:val="7F6C2237"/>
    <w:rsid w:val="7F7F319B"/>
    <w:rsid w:val="7F9F20EE"/>
    <w:rsid w:val="7FBBE890"/>
    <w:rsid w:val="7FBC2ABD"/>
    <w:rsid w:val="7FBF5D48"/>
    <w:rsid w:val="7FCCFC01"/>
    <w:rsid w:val="7FDD1748"/>
    <w:rsid w:val="7FE769C6"/>
    <w:rsid w:val="7FFD083E"/>
    <w:rsid w:val="7FFF9372"/>
    <w:rsid w:val="84BF1F3B"/>
    <w:rsid w:val="8F55B106"/>
    <w:rsid w:val="95DF317D"/>
    <w:rsid w:val="97E77C70"/>
    <w:rsid w:val="9E3A10E2"/>
    <w:rsid w:val="9FB91FBD"/>
    <w:rsid w:val="9FD54998"/>
    <w:rsid w:val="A671883B"/>
    <w:rsid w:val="A7EFD17F"/>
    <w:rsid w:val="A7FFE43F"/>
    <w:rsid w:val="BDFEA317"/>
    <w:rsid w:val="CD9BBABB"/>
    <w:rsid w:val="CF99F292"/>
    <w:rsid w:val="D5DA60B3"/>
    <w:rsid w:val="D7C6F579"/>
    <w:rsid w:val="D8FECA92"/>
    <w:rsid w:val="DAFFBE66"/>
    <w:rsid w:val="DD2C0BFE"/>
    <w:rsid w:val="DE3F332B"/>
    <w:rsid w:val="DE6F4A3D"/>
    <w:rsid w:val="DF69F8B0"/>
    <w:rsid w:val="DFC71555"/>
    <w:rsid w:val="DFFC559C"/>
    <w:rsid w:val="DFFEDFAE"/>
    <w:rsid w:val="DFFFB5EB"/>
    <w:rsid w:val="E4B33E57"/>
    <w:rsid w:val="E5BF946A"/>
    <w:rsid w:val="EB39BD45"/>
    <w:rsid w:val="EBCF1FC2"/>
    <w:rsid w:val="EBD18F66"/>
    <w:rsid w:val="ED17392C"/>
    <w:rsid w:val="ED9FFD9A"/>
    <w:rsid w:val="EDB7968B"/>
    <w:rsid w:val="EEF73F60"/>
    <w:rsid w:val="EFED9E42"/>
    <w:rsid w:val="EFFFB194"/>
    <w:rsid w:val="F2E1F9D4"/>
    <w:rsid w:val="F5FF7449"/>
    <w:rsid w:val="F7880819"/>
    <w:rsid w:val="F7AF180D"/>
    <w:rsid w:val="F7BDBFA7"/>
    <w:rsid w:val="F7FAD68F"/>
    <w:rsid w:val="F7FB14CF"/>
    <w:rsid w:val="FB3FC69C"/>
    <w:rsid w:val="FBDFF225"/>
    <w:rsid w:val="FBF7AB63"/>
    <w:rsid w:val="FC2F3373"/>
    <w:rsid w:val="FCF51535"/>
    <w:rsid w:val="FD77F6B8"/>
    <w:rsid w:val="FDD69328"/>
    <w:rsid w:val="FDDFEC0E"/>
    <w:rsid w:val="FDE58BDD"/>
    <w:rsid w:val="FDEC7001"/>
    <w:rsid w:val="FEDFE87F"/>
    <w:rsid w:val="FEF1D25B"/>
    <w:rsid w:val="FF3EF90F"/>
    <w:rsid w:val="FFAF6081"/>
    <w:rsid w:val="FFECCD8C"/>
    <w:rsid w:val="FFED60BD"/>
    <w:rsid w:val="FFEE08F0"/>
    <w:rsid w:val="FFEE7F9F"/>
    <w:rsid w:val="FFFF319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99" w:semiHidden="0"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34"/>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25"/>
    <w:qFormat/>
    <w:uiPriority w:val="99"/>
    <w:pPr>
      <w:spacing w:beforeLines="30"/>
    </w:pPr>
    <w:rPr>
      <w:rFonts w:ascii="仿宋_GB2312" w:eastAsia="仿宋_GB2312"/>
      <w:kern w:val="0"/>
      <w:sz w:val="30"/>
    </w:rPr>
  </w:style>
  <w:style w:type="paragraph" w:styleId="3">
    <w:name w:val="index 8"/>
    <w:basedOn w:val="1"/>
    <w:next w:val="1"/>
    <w:qFormat/>
    <w:uiPriority w:val="99"/>
    <w:pPr>
      <w:ind w:left="2940"/>
    </w:pPr>
  </w:style>
  <w:style w:type="paragraph" w:styleId="7">
    <w:name w:val="Body Text Indent"/>
    <w:basedOn w:val="1"/>
    <w:qFormat/>
    <w:uiPriority w:val="0"/>
    <w:pPr>
      <w:spacing w:after="120"/>
      <w:ind w:left="200" w:leftChars="200"/>
    </w:pPr>
    <w:rPr>
      <w:rFonts w:ascii="仿宋_GB2312"/>
      <w:szCs w:val="32"/>
    </w:r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toc 2"/>
    <w:basedOn w:val="1"/>
    <w:next w:val="1"/>
    <w:unhideWhenUsed/>
    <w:qFormat/>
    <w:uiPriority w:val="39"/>
    <w:pPr>
      <w:tabs>
        <w:tab w:val="right" w:leader="dot" w:pos="8296"/>
      </w:tabs>
      <w:ind w:left="420" w:leftChars="200"/>
    </w:pPr>
  </w:style>
  <w:style w:type="paragraph" w:styleId="14">
    <w:name w:val="Body Text First Indent 2"/>
    <w:basedOn w:val="7"/>
    <w:unhideWhenUsed/>
    <w:qFormat/>
    <w:uiPriority w:val="99"/>
    <w:pPr>
      <w:ind w:firstLine="420" w:firstLine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字符"/>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字符"/>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字符"/>
    <w:link w:val="2"/>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字符"/>
    <w:basedOn w:val="16"/>
    <w:link w:val="4"/>
    <w:qFormat/>
    <w:uiPriority w:val="9"/>
    <w:rPr>
      <w:rFonts w:ascii="Times New Roman" w:hAnsi="Times New Roman"/>
      <w:b/>
      <w:bCs/>
      <w:kern w:val="44"/>
      <w:sz w:val="44"/>
      <w:szCs w:val="44"/>
    </w:rPr>
  </w:style>
  <w:style w:type="character" w:customStyle="1" w:styleId="29">
    <w:name w:val="标题 2 字符"/>
    <w:basedOn w:val="16"/>
    <w:link w:val="5"/>
    <w:qFormat/>
    <w:uiPriority w:val="9"/>
    <w:rPr>
      <w:rFonts w:asciiTheme="majorHAnsi" w:hAnsiTheme="majorHAnsi" w:eastAsiaTheme="majorEastAsia" w:cstheme="majorBidi"/>
      <w:b/>
      <w:bCs/>
      <w:kern w:val="2"/>
      <w:sz w:val="32"/>
      <w:szCs w:val="32"/>
    </w:rPr>
  </w:style>
  <w:style w:type="paragraph" w:customStyle="1" w:styleId="30">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字符"/>
    <w:basedOn w:val="16"/>
    <w:link w:val="9"/>
    <w:semiHidden/>
    <w:qFormat/>
    <w:uiPriority w:val="99"/>
    <w:rPr>
      <w:rFonts w:ascii="Times New Roman" w:hAnsi="Times New Roman"/>
      <w:kern w:val="2"/>
      <w:sz w:val="18"/>
      <w:szCs w:val="18"/>
    </w:rPr>
  </w:style>
  <w:style w:type="character" w:customStyle="1" w:styleId="32">
    <w:name w:val="标题 3 字符"/>
    <w:basedOn w:val="16"/>
    <w:link w:val="6"/>
    <w:qFormat/>
    <w:uiPriority w:val="9"/>
    <w:rPr>
      <w:rFonts w:ascii="Times New Roman" w:hAnsi="Times New Roman"/>
      <w:b/>
      <w:bCs/>
      <w:kern w:val="2"/>
      <w:sz w:val="32"/>
      <w:szCs w:val="32"/>
    </w:rPr>
  </w:style>
  <w:style w:type="paragraph" w:customStyle="1" w:styleId="33">
    <w:name w:val="TOC 标题2"/>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标题 2 Char"/>
    <w:basedOn w:val="16"/>
    <w:link w:val="5"/>
    <w:qFormat/>
    <w:uiPriority w:val="9"/>
    <w:rPr>
      <w:rFonts w:ascii="Cambria" w:hAnsi="Cambria" w:eastAsia="宋体" w:cs="Times New Roman"/>
      <w:b/>
      <w:bCs/>
      <w:sz w:val="32"/>
      <w:szCs w:val="32"/>
    </w:rPr>
  </w:style>
  <w:style w:type="paragraph" w:customStyle="1" w:styleId="35">
    <w:name w:val="BodyText"/>
    <w:basedOn w:val="1"/>
    <w:qFormat/>
    <w:uiPriority w:val="0"/>
    <w:pPr>
      <w:spacing w:before="100" w:beforeAutospacing="1" w:after="120" w:line="240" w:lineRule="auto"/>
      <w:jc w:val="both"/>
    </w:pPr>
    <w:rPr>
      <w:rFonts w:ascii="仿宋_GB2312" w:eastAsia="仿宋_GB2312"/>
      <w:kern w:val="2"/>
      <w:sz w:val="30"/>
      <w:szCs w:val="3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24037;&#20316;&#31807;1"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24037;&#20316;&#31807;1"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24037;&#20316;&#31807;1"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24037;&#20316;&#31807;1"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023&#24180;&#20915;&#31639;&#20844;&#24320;\&#20915;&#31639;&#20844;&#24320;&#22270;&#34920;&#27169;&#29256;.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esktop\2023&#24180;&#20915;&#31639;&#20844;&#24320;\&#20915;&#31639;&#20844;&#24320;&#22270;&#34920;&#27169;&#29256;.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Administrator\Desktop\2023&#24180;&#20915;&#31639;&#20844;&#24320;\&#20915;&#31639;&#20844;&#24320;&#22270;&#34920;&#27169;&#2925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600" b="1" i="0" u="none" strike="noStrike" kern="1200" cap="none" spc="0" normalizeH="0" baseline="0">
                <a:solidFill>
                  <a:schemeClr val="dk1">
                    <a:lumMod val="50000"/>
                    <a:lumOff val="50000"/>
                  </a:schemeClr>
                </a:solidFill>
                <a:latin typeface="+mj-lt"/>
                <a:ea typeface="+mj-ea"/>
                <a:cs typeface="+mj-cs"/>
              </a:defRPr>
            </a:pPr>
            <a:r>
              <a:rPr lang="en-US" altLang="zh-CN">
                <a:latin typeface="黑体" panose="02010609060101010101" charset="-122"/>
                <a:ea typeface="黑体" panose="02010609060101010101" charset="-122"/>
              </a:rPr>
              <a:t>2023</a:t>
            </a:r>
            <a:r>
              <a:rPr altLang="en-US">
                <a:latin typeface="黑体" panose="02010609060101010101" charset="-122"/>
                <a:ea typeface="黑体" panose="02010609060101010101" charset="-122"/>
              </a:rPr>
              <a:t>年度</a:t>
            </a:r>
            <a:r>
              <a:rPr>
                <a:latin typeface="黑体" panose="02010609060101010101" charset="-122"/>
                <a:ea typeface="黑体" panose="02010609060101010101" charset="-122"/>
              </a:rPr>
              <a:t>收、支决算总计变动情况图</a:t>
            </a:r>
            <a:endParaRPr>
              <a:latin typeface="黑体" panose="02010609060101010101" charset="-122"/>
              <a:ea typeface="黑体" panose="02010609060101010101" charset="-122"/>
            </a:endParaRPr>
          </a:p>
        </c:rich>
      </c:tx>
      <c:layout>
        <c:manualLayout>
          <c:xMode val="edge"/>
          <c:yMode val="edge"/>
          <c:x val="0.189341479972845"/>
          <c:y val="0.0286685071140369"/>
        </c:manualLayout>
      </c:layout>
      <c:overlay val="0"/>
      <c:spPr>
        <a:noFill/>
        <a:ln>
          <a:noFill/>
        </a:ln>
        <a:effectLst/>
      </c:spPr>
    </c:title>
    <c:autoTitleDeleted val="0"/>
    <c:plotArea>
      <c:layout>
        <c:manualLayout>
          <c:layoutTarget val="inner"/>
          <c:xMode val="edge"/>
          <c:yMode val="edge"/>
          <c:x val="0.0962118126272913"/>
          <c:y val="0.17923125929072"/>
          <c:w val="0.896999321113374"/>
          <c:h val="0.725291994053939"/>
        </c:manualLayout>
      </c:layout>
      <c:barChart>
        <c:barDir val="col"/>
        <c:grouping val="clustered"/>
        <c:varyColors val="0"/>
        <c:ser>
          <c:idx val="0"/>
          <c:order val="0"/>
          <c:tx>
            <c:strRef>
              <c:f>[工作簿1]Sheet1!$B$2</c:f>
              <c:strCache>
                <c:ptCount val="1"/>
                <c:pt idx="0">
                  <c:v>金额（万元）</c:v>
                </c:pt>
              </c:strCache>
            </c:strRef>
          </c:tx>
          <c:spPr>
            <a:solidFill>
              <a:schemeClr val="accent2"/>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dk1">
                            <a:lumMod val="75000"/>
                            <a:lumOff val="25000"/>
                          </a:schemeClr>
                        </a:solidFill>
                        <a:latin typeface="+mn-lt"/>
                        <a:ea typeface="+mn-ea"/>
                        <a:cs typeface="+mn-cs"/>
                      </a:defRPr>
                    </a:pPr>
                    <a:r>
                      <a:t>74.89万元</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dk1">
                            <a:lumMod val="75000"/>
                            <a:lumOff val="25000"/>
                          </a:schemeClr>
                        </a:solidFill>
                        <a:latin typeface="+mn-lt"/>
                        <a:ea typeface="+mn-ea"/>
                        <a:cs typeface="+mn-cs"/>
                      </a:defRPr>
                    </a:pPr>
                    <a:r>
                      <a:t>318.6万元</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dk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dk1">
                          <a:lumMod val="35000"/>
                          <a:lumOff val="65000"/>
                        </a:schemeClr>
                      </a:solidFill>
                      <a:round/>
                    </a:ln>
                    <a:effectLst/>
                  </c:spPr>
                </c15:leaderLines>
              </c:ext>
            </c:extLst>
          </c:dLbls>
          <c:cat>
            <c:strRef>
              <c:f>[工作簿1]Sheet1!$A$3:$A$4</c:f>
              <c:strCache>
                <c:ptCount val="2"/>
                <c:pt idx="0">
                  <c:v>2022年度</c:v>
                </c:pt>
                <c:pt idx="1">
                  <c:v>2023年度</c:v>
                </c:pt>
              </c:strCache>
            </c:strRef>
          </c:cat>
          <c:val>
            <c:numRef>
              <c:f>[工作簿1]Sheet1!$B$3:$B$4</c:f>
              <c:numCache>
                <c:formatCode>General</c:formatCode>
                <c:ptCount val="2"/>
                <c:pt idx="0">
                  <c:v>74.89</c:v>
                </c:pt>
                <c:pt idx="1">
                  <c:v>318.6</c:v>
                </c:pt>
              </c:numCache>
            </c:numRef>
          </c:val>
        </c:ser>
        <c:dLbls>
          <c:showLegendKey val="0"/>
          <c:showVal val="1"/>
          <c:showCatName val="0"/>
          <c:showSerName val="0"/>
          <c:showPercent val="0"/>
          <c:showBubbleSize val="0"/>
        </c:dLbls>
        <c:gapWidth val="267"/>
        <c:overlap val="-43"/>
        <c:axId val="628210025"/>
        <c:axId val="766371039"/>
      </c:barChart>
      <c:catAx>
        <c:axId val="628210025"/>
        <c:scaling>
          <c:orientation val="minMax"/>
        </c:scaling>
        <c:delete val="0"/>
        <c:axPos val="b"/>
        <c:majorGridlines>
          <c:spPr>
            <a:ln w="9525" cap="flat" cmpd="sng" algn="ctr">
              <a:solidFill>
                <a:schemeClr val="dk1">
                  <a:lumMod val="15000"/>
                  <a:lumOff val="85000"/>
                </a:schemeClr>
              </a:solidFill>
              <a:round/>
            </a:ln>
            <a:effectLst/>
          </c:spPr>
        </c:majorGridlines>
        <c:majorTickMark val="none"/>
        <c:minorTickMark val="none"/>
        <c:tickLblPos val="nextTo"/>
        <c:spPr>
          <a:noFill/>
          <a:ln w="9525" cap="flat" cmpd="sng" algn="ctr">
            <a:solidFill>
              <a:schemeClr val="dk1">
                <a:lumMod val="15000"/>
                <a:lumOff val="85000"/>
              </a:schemeClr>
            </a:solidFill>
            <a:round/>
          </a:ln>
          <a:effectLst/>
        </c:spPr>
        <c:txPr>
          <a:bodyPr rot="-60000000" spcFirstLastPara="0" vertOverflow="ellipsis" vert="horz" wrap="square" anchor="ctr" anchorCtr="1"/>
          <a:lstStyle/>
          <a:p>
            <a:pPr>
              <a:defRPr lang="zh-CN" sz="900" b="0" i="0" u="none" strike="noStrike" kern="1200" cap="none" spc="0" normalizeH="0" baseline="0">
                <a:solidFill>
                  <a:schemeClr val="dk1">
                    <a:lumMod val="65000"/>
                    <a:lumOff val="35000"/>
                  </a:schemeClr>
                </a:solidFill>
                <a:latin typeface="+mn-lt"/>
                <a:ea typeface="+mn-ea"/>
                <a:cs typeface="+mn-cs"/>
              </a:defRPr>
            </a:pPr>
          </a:p>
        </c:txPr>
        <c:crossAx val="766371039"/>
        <c:crosses val="autoZero"/>
        <c:auto val="1"/>
        <c:lblAlgn val="ctr"/>
        <c:lblOffset val="100"/>
        <c:noMultiLvlLbl val="0"/>
      </c:catAx>
      <c:valAx>
        <c:axId val="766371039"/>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crossAx val="628210025"/>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sz="1600" b="1"/>
              <a:t>2023</a:t>
            </a:r>
            <a:r>
              <a:rPr altLang="en-US" sz="1600" b="1"/>
              <a:t>年度收入决算结构图</a:t>
            </a:r>
            <a:endParaRPr sz="1600" b="1"/>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[工作簿1]Sheet1!$B$19</c:f>
              <c:strCache>
                <c:ptCount val="1"/>
                <c:pt idx="0">
                  <c:v>金额（万元）</c:v>
                </c:pt>
              </c:strCache>
            </c:strRef>
          </c:tx>
          <c:spPr>
            <a:scene3d>
              <a:camera prst="orthographicFront"/>
              <a:lightRig rig="threePt" dir="t"/>
            </a:scene3d>
            <a:sp3d contourW="25400"/>
          </c:spPr>
          <c:explosion val="0"/>
          <c:dPt>
            <c:idx val="0"/>
            <c:bubble3D val="0"/>
            <c:spPr>
              <a:solidFill>
                <a:schemeClr val="accent1"/>
              </a:solidFill>
              <a:ln w="25400">
                <a:solidFill>
                  <a:schemeClr val="lt1"/>
                </a:solidFill>
              </a:ln>
              <a:effectLst/>
              <a:scene3d>
                <a:camera prst="orthographicFront"/>
                <a:lightRig rig="threePt" dir="t"/>
              </a:scene3d>
              <a:sp3d contourW="25400"/>
            </c:spPr>
          </c:dPt>
          <c:dPt>
            <c:idx val="1"/>
            <c:bubble3D val="0"/>
            <c:spPr>
              <a:solidFill>
                <a:schemeClr val="accent2"/>
              </a:solidFill>
              <a:ln w="25400">
                <a:solidFill>
                  <a:schemeClr val="lt1"/>
                </a:solidFill>
              </a:ln>
              <a:effectLst/>
              <a:scene3d>
                <a:camera prst="orthographicFront"/>
                <a:lightRig rig="threePt" dir="t"/>
              </a:scene3d>
              <a:sp3d contourW="25400"/>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294.84</a:t>
                    </a:r>
                    <a:r>
                      <a:rPr altLang="en-US"/>
                      <a:t>万元，占比</a:t>
                    </a:r>
                    <a:r>
                      <a:t>93%</a:t>
                    </a:r>
                  </a:p>
                </c:rich>
              </c:tx>
              <c:dLblPos val="inEnd"/>
              <c:showLegendKey val="0"/>
              <c:showVal val="0"/>
              <c:showCatName val="0"/>
              <c:showSerName val="0"/>
              <c:showPercent val="1"/>
              <c:showBubbleSize val="0"/>
              <c:extLst>
                <c:ext xmlns:c15="http://schemas.microsoft.com/office/drawing/2012/chart" uri="{CE6537A1-D6FC-4f65-9D91-7224C49458BB}">
                  <c15:layout>
                    <c:manualLayout>
                      <c:w val="0.154305555555556"/>
                      <c:h val="0.19"/>
                    </c:manualLayout>
                  </c15:layout>
                </c:ext>
              </c:extLst>
            </c:dLbl>
            <c:dLbl>
              <c:idx val="1"/>
              <c:layout>
                <c:manualLayout>
                  <c:x val="0.0480509712064787"/>
                  <c:y val="0.0614026067272731"/>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23.76</a:t>
                    </a:r>
                    <a:r>
                      <a:rPr altLang="en-US"/>
                      <a:t>万元，占比</a:t>
                    </a:r>
                    <a:r>
                      <a:t>7%</a:t>
                    </a:r>
                  </a:p>
                </c:rich>
              </c:tx>
              <c:dLblPos val="bestFit"/>
              <c:showLegendKey val="0"/>
              <c:showVal val="0"/>
              <c:showCatName val="0"/>
              <c:showSerName val="0"/>
              <c:showPercent val="1"/>
              <c:showBubbleSize val="0"/>
              <c:extLst>
                <c:ext xmlns:c15="http://schemas.microsoft.com/office/drawing/2012/chart" uri="{CE6537A1-D6FC-4f65-9D91-7224C49458BB}">
                  <c15:layout>
                    <c:manualLayout>
                      <c:w val="0.171805555555556"/>
                      <c:h val="0.155581395348837"/>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[工作簿1]Sheet1!$A$20:$A$21</c:f>
              <c:strCache>
                <c:ptCount val="2"/>
                <c:pt idx="0">
                  <c:v>一般公共预算财政拨款收入</c:v>
                </c:pt>
                <c:pt idx="1">
                  <c:v>政府性基金预算财政拨款收入</c:v>
                </c:pt>
              </c:strCache>
            </c:strRef>
          </c:cat>
          <c:val>
            <c:numRef>
              <c:f>[工作簿1]Sheet1!$B$20:$B$21</c:f>
              <c:numCache>
                <c:formatCode>General</c:formatCode>
                <c:ptCount val="2"/>
                <c:pt idx="0">
                  <c:v>294.84</c:v>
                </c:pt>
                <c:pt idx="1">
                  <c:v>23.76</c:v>
                </c:pt>
              </c:numCache>
            </c:numRef>
          </c:val>
        </c:ser>
        <c:dLbls>
          <c:showLegendKey val="0"/>
          <c:showVal val="0"/>
          <c:showCatName val="0"/>
          <c:showSerName val="0"/>
          <c:showPercent val="1"/>
          <c:showBubbleSize val="0"/>
        </c:dLbls>
      </c:pie3D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sz="1600" b="1">
                <a:latin typeface="黑体" panose="02010609060101010101" charset="-122"/>
                <a:ea typeface="黑体" panose="02010609060101010101" charset="-122"/>
                <a:cs typeface="黑体" panose="02010609060101010101" charset="-122"/>
              </a:rPr>
              <a:t>2023</a:t>
            </a:r>
            <a:r>
              <a:rPr altLang="en-US" sz="1600" b="1">
                <a:latin typeface="黑体" panose="02010609060101010101" charset="-122"/>
                <a:ea typeface="黑体" panose="02010609060101010101" charset="-122"/>
                <a:cs typeface="黑体" panose="02010609060101010101" charset="-122"/>
              </a:rPr>
              <a:t>年度支出决算结构图</a:t>
            </a:r>
            <a:endParaRPr lang="en-US" altLang="zh-CN" sz="1600" b="1">
              <a:latin typeface="黑体" panose="02010609060101010101" charset="-122"/>
              <a:ea typeface="黑体" panose="02010609060101010101" charset="-122"/>
              <a:cs typeface="黑体" panose="02010609060101010101" charset="-122"/>
            </a:endParaRP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354654844838505"/>
          <c:y val="0.155260469867211"/>
          <c:w val="0.460734642178594"/>
          <c:h val="0.720463057541709"/>
        </c:manualLayout>
      </c:layout>
      <c:pie3DChart>
        <c:varyColors val="1"/>
        <c:ser>
          <c:idx val="0"/>
          <c:order val="0"/>
          <c:tx>
            <c:strRef>
              <c:f>[工作簿1]Sheet1!$B$33</c:f>
              <c:strCache>
                <c:ptCount val="1"/>
                <c:pt idx="0">
                  <c:v>金额（万元）</c:v>
                </c:pt>
              </c:strCache>
            </c:strRef>
          </c:tx>
          <c:spPr>
            <a:scene3d>
              <a:camera prst="orthographicFront"/>
              <a:lightRig rig="threePt" dir="t"/>
            </a:scene3d>
            <a:sp3d contourW="25400"/>
          </c:spPr>
          <c:explosion val="0"/>
          <c:dPt>
            <c:idx val="0"/>
            <c:bubble3D val="0"/>
            <c:spPr>
              <a:solidFill>
                <a:schemeClr val="accent1"/>
              </a:solidFill>
              <a:ln w="25400">
                <a:solidFill>
                  <a:schemeClr val="lt1"/>
                </a:solidFill>
              </a:ln>
              <a:effectLst/>
              <a:scene3d>
                <a:camera prst="orthographicFront"/>
                <a:lightRig rig="threePt" dir="t"/>
              </a:scene3d>
              <a:sp3d contourW="25400"/>
            </c:spPr>
          </c:dPt>
          <c:dPt>
            <c:idx val="1"/>
            <c:bubble3D val="0"/>
            <c:spPr>
              <a:solidFill>
                <a:schemeClr val="accent2"/>
              </a:solidFill>
              <a:ln w="25400">
                <a:solidFill>
                  <a:schemeClr val="lt1"/>
                </a:solidFill>
              </a:ln>
              <a:effectLst/>
              <a:scene3d>
                <a:camera prst="orthographicFront"/>
                <a:lightRig rig="threePt" dir="t"/>
              </a:scene3d>
              <a:sp3d contourW="25400"/>
            </c:spPr>
          </c:dPt>
          <c:dLbls>
            <c:dLbl>
              <c:idx val="0"/>
              <c:layout>
                <c:manualLayout>
                  <c:x val="-0.120334599957779"/>
                  <c:y val="0.0623556581986143"/>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89.05万元，占比27.95%</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114545070719865"/>
                  <c:y val="-0.210782081918911"/>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229.55万元，占比72.0</a:t>
                    </a:r>
                    <a:r>
                      <a:rPr lang="en-US" altLang="zh-CN"/>
                      <a:t>5</a:t>
                    </a:r>
                    <a:r>
                      <a:t>%</a:t>
                    </a:r>
                  </a:p>
                </c:rich>
              </c:tx>
              <c:dLblPos val="bestFit"/>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[工作簿1]Sheet1!$A$34:$A$35</c:f>
              <c:strCache>
                <c:ptCount val="2"/>
                <c:pt idx="0">
                  <c:v>基本支出</c:v>
                </c:pt>
                <c:pt idx="1">
                  <c:v>项目支出</c:v>
                </c:pt>
              </c:strCache>
            </c:strRef>
          </c:cat>
          <c:val>
            <c:numRef>
              <c:f>[工作簿1]Sheet1!$B$34:$B$35</c:f>
              <c:numCache>
                <c:formatCode>General</c:formatCode>
                <c:ptCount val="2"/>
                <c:pt idx="0">
                  <c:v>89.05</c:v>
                </c:pt>
                <c:pt idx="1">
                  <c:v>229.55</c:v>
                </c:pt>
              </c:numCache>
            </c:numRef>
          </c:val>
        </c:ser>
        <c:dLbls>
          <c:showLegendKey val="0"/>
          <c:showVal val="1"/>
          <c:showCatName val="0"/>
          <c:showSerName val="0"/>
          <c:showPercent val="0"/>
          <c:showBubbleSize val="0"/>
        </c:dLbls>
      </c:pie3DChart>
      <c:spPr>
        <a:noFill/>
        <a:ln>
          <a:noFill/>
        </a:ln>
        <a:effectLst/>
      </c:spPr>
    </c:plotArea>
    <c:legend>
      <c:legendPos val="b"/>
      <c:layout>
        <c:manualLayout>
          <c:xMode val="edge"/>
          <c:yMode val="edge"/>
          <c:x val="0.793065231158961"/>
          <c:y val="0.241273729332517"/>
          <c:w val="0.170994300189994"/>
          <c:h val="0.35211267605633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600">
                <a:latin typeface="黑体" panose="02010609060101010101" charset="-122"/>
                <a:ea typeface="黑体" panose="02010609060101010101" charset="-122"/>
              </a:rPr>
              <a:t>财政拨款收、支决算总计变动情况</a:t>
            </a:r>
            <a:r>
              <a:t>  </a:t>
            </a:r>
          </a:p>
        </c:rich>
      </c:tx>
      <c:layout/>
      <c:overlay val="0"/>
      <c:spPr>
        <a:noFill/>
        <a:ln>
          <a:noFill/>
        </a:ln>
        <a:effectLst/>
      </c:spPr>
    </c:title>
    <c:autoTitleDeleted val="0"/>
    <c:plotArea>
      <c:layout/>
      <c:barChart>
        <c:barDir val="col"/>
        <c:grouping val="stacked"/>
        <c:varyColors val="0"/>
        <c:ser>
          <c:idx val="0"/>
          <c:order val="0"/>
          <c:tx>
            <c:strRef>
              <c:f>[工作簿1]Sheet1!$B$49</c:f>
              <c:strCache>
                <c:ptCount val="1"/>
                <c:pt idx="0">
                  <c:v>财政拨款收、支决算总计变动情况 </c:v>
                </c:pt>
              </c:strCache>
            </c:strRef>
          </c:tx>
          <c:spPr>
            <a:solidFill>
              <a:schemeClr val="accent1"/>
            </a:solidFill>
            <a:ln>
              <a:noFill/>
            </a:ln>
            <a:effectLst/>
          </c:spPr>
          <c:invertIfNegative val="0"/>
          <c:dLbls>
            <c:dLbl>
              <c:idx val="0"/>
              <c:layout>
                <c:manualLayout>
                  <c:x val="-0.0145833333333333"/>
                  <c:y val="-0.0881226053639847"/>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318.6万元</a:t>
                    </a:r>
                  </a:p>
                </c:rich>
              </c:tx>
              <c:dLblPos val="inEnd"/>
              <c:showLegendKey val="0"/>
              <c:showVal val="1"/>
              <c:showCatName val="0"/>
              <c:showSerName val="0"/>
              <c:showPercent val="0"/>
              <c:showBubbleSize val="0"/>
              <c:extLst>
                <c:ext xmlns:c15="http://schemas.microsoft.com/office/drawing/2012/chart" uri="{CE6537A1-D6FC-4f65-9D91-7224C49458BB}">
                  <c15:layout>
                    <c:manualLayout>
                      <c:w val="0.129583333333333"/>
                      <c:h val="0.0799489144316731"/>
                    </c:manualLayout>
                  </c15:layout>
                </c:ext>
              </c:extLst>
            </c:dLbl>
            <c:dLbl>
              <c:idx val="1"/>
              <c:layout>
                <c:manualLayout>
                  <c:x val="-0.00416666666666667"/>
                  <c:y val="-0.137931034482759"/>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74.89万元</a:t>
                    </a:r>
                  </a:p>
                </c:rich>
              </c:tx>
              <c:dLblPos val="inEnd"/>
              <c:showLegendKey val="0"/>
              <c:showVal val="1"/>
              <c:showCatName val="0"/>
              <c:showSerName val="0"/>
              <c:showPercent val="0"/>
              <c:showBubbleSize val="0"/>
              <c:extLst>
                <c:ext xmlns:c15="http://schemas.microsoft.com/office/drawing/2012/chart" uri="{CE6537A1-D6FC-4f65-9D91-7224C49458BB}">
                  <c15:layout>
                    <c:manualLayout>
                      <c:w val="0.150277777777778"/>
                      <c:h val="0.136143039591315"/>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[工作簿1]Sheet1!$A$50:$A$51</c:f>
              <c:strCache>
                <c:ptCount val="2"/>
                <c:pt idx="0">
                  <c:v>2023年度财政拨款收、支总计</c:v>
                </c:pt>
                <c:pt idx="1">
                  <c:v>2022年度财政拨款收、支总计</c:v>
                </c:pt>
              </c:strCache>
            </c:strRef>
          </c:cat>
          <c:val>
            <c:numRef>
              <c:f>[工作簿1]Sheet1!$B$50:$B$51</c:f>
              <c:numCache>
                <c:formatCode>General</c:formatCode>
                <c:ptCount val="2"/>
                <c:pt idx="0">
                  <c:v>318.6</c:v>
                </c:pt>
                <c:pt idx="1">
                  <c:v>74.89</c:v>
                </c:pt>
              </c:numCache>
            </c:numRef>
          </c:val>
        </c:ser>
        <c:dLbls>
          <c:showLegendKey val="0"/>
          <c:showVal val="1"/>
          <c:showCatName val="0"/>
          <c:showSerName val="0"/>
          <c:showPercent val="0"/>
          <c:showBubbleSize val="0"/>
        </c:dLbls>
        <c:gapWidth val="150"/>
        <c:overlap val="100"/>
        <c:axId val="344073004"/>
        <c:axId val="803807813"/>
      </c:barChart>
      <c:catAx>
        <c:axId val="34407300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3807813"/>
        <c:crosses val="autoZero"/>
        <c:auto val="1"/>
        <c:lblAlgn val="ctr"/>
        <c:lblOffset val="100"/>
        <c:noMultiLvlLbl val="0"/>
      </c:catAx>
      <c:valAx>
        <c:axId val="80380781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40730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600">
                <a:latin typeface="黑体" panose="02010609060101010101" charset="-122"/>
                <a:ea typeface="黑体" panose="02010609060101010101" charset="-122"/>
              </a:rPr>
              <a:t>一般公共预算财政拨款支出决算变动情况</a:t>
            </a:r>
            <a:endParaRPr sz="1600">
              <a:latin typeface="黑体" panose="02010609060101010101" charset="-122"/>
              <a:ea typeface="黑体" panose="02010609060101010101" charset="-122"/>
            </a:endParaRPr>
          </a:p>
        </c:rich>
      </c:tx>
      <c:layout/>
      <c:overlay val="0"/>
      <c:spPr>
        <a:noFill/>
        <a:ln>
          <a:noFill/>
        </a:ln>
        <a:effectLst/>
      </c:spPr>
    </c:title>
    <c:autoTitleDeleted val="0"/>
    <c:plotArea>
      <c:layout/>
      <c:barChart>
        <c:barDir val="col"/>
        <c:grouping val="clustered"/>
        <c:varyColors val="0"/>
        <c:ser>
          <c:idx val="0"/>
          <c:order val="0"/>
          <c:tx>
            <c:strRef>
              <c:f>[决算公开图表模版.xlsx]Sheet1!$B$62</c:f>
              <c:strCache>
                <c:ptCount val="1"/>
                <c:pt idx="0">
                  <c:v>一般公共预算财政拨款支出决算变动情况</c:v>
                </c:pt>
              </c:strCache>
            </c:strRef>
          </c:tx>
          <c:spPr>
            <a:solidFill>
              <a:schemeClr val="accent1"/>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74.89万元</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294.84万元</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[决算公开图表模版.xlsx]Sheet1!$A$63:$A$64</c:f>
              <c:strCache>
                <c:ptCount val="2"/>
                <c:pt idx="0">
                  <c:v>2022年度一般公共预算财政拨款支出决算</c:v>
                </c:pt>
                <c:pt idx="1">
                  <c:v>2023年度一般公共预算财政拨款支出决算</c:v>
                </c:pt>
              </c:strCache>
            </c:strRef>
          </c:cat>
          <c:val>
            <c:numRef>
              <c:f>[决算公开图表模版.xlsx]Sheet1!$B$63:$B$64</c:f>
              <c:numCache>
                <c:formatCode>General</c:formatCode>
                <c:ptCount val="2"/>
                <c:pt idx="0">
                  <c:v>74.89</c:v>
                </c:pt>
                <c:pt idx="1">
                  <c:v>294.84</c:v>
                </c:pt>
              </c:numCache>
            </c:numRef>
          </c:val>
        </c:ser>
        <c:dLbls>
          <c:showLegendKey val="0"/>
          <c:showVal val="1"/>
          <c:showCatName val="0"/>
          <c:showSerName val="0"/>
          <c:showPercent val="0"/>
          <c:showBubbleSize val="0"/>
        </c:dLbls>
        <c:gapWidth val="219"/>
        <c:overlap val="-27"/>
        <c:axId val="807091177"/>
        <c:axId val="371257905"/>
      </c:barChart>
      <c:catAx>
        <c:axId val="80709117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1257905"/>
        <c:crosses val="autoZero"/>
        <c:auto val="1"/>
        <c:lblAlgn val="ctr"/>
        <c:lblOffset val="100"/>
        <c:noMultiLvlLbl val="0"/>
      </c:catAx>
      <c:valAx>
        <c:axId val="37125790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0709117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600" b="1"/>
              <a:t>一般公共预算财政拨款支出决算</a:t>
            </a:r>
            <a:endParaRPr sz="1600" b="1"/>
          </a:p>
        </c:rich>
      </c:tx>
      <c:layout/>
      <c:overlay val="0"/>
      <c:spPr>
        <a:noFill/>
        <a:ln>
          <a:noFill/>
        </a:ln>
        <a:effectLst/>
      </c:spPr>
    </c:title>
    <c:autoTitleDeleted val="0"/>
    <c:plotArea>
      <c:layout/>
      <c:doughnutChart>
        <c:varyColors val="1"/>
        <c:ser>
          <c:idx val="0"/>
          <c:order val="0"/>
          <c:tx>
            <c:strRef>
              <c:f>[决算公开图表模版.xlsx]Sheet1!$B$80</c:f>
              <c:strCache>
                <c:ptCount val="1"/>
                <c:pt idx="0">
                  <c:v>一般公共预算财政拨款支出决算</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0.114583333333333"/>
                  <c:y val="0.0138888888888889"/>
                </c:manualLayout>
              </c:layout>
              <c:tx>
                <c:rich>
                  <a:bodyPr rot="0" spcFirstLastPara="0" vertOverflow="ellipsis" vert="horz" wrap="square" lIns="38100" tIns="19050" rIns="38100" bIns="19050" anchor="ctr" anchorCtr="1"/>
                  <a:lstStyle/>
                  <a:p>
                    <a:pPr defTabSz="914400">
                      <a:defRPr lang="zh-CN" sz="900" b="0" i="0" u="none" strike="noStrike" kern="1200" baseline="0">
                        <a:ln w="6350" cmpd="sng">
                          <a:noFill/>
                          <a:prstDash val="solid"/>
                        </a:ln>
                        <a:solidFill>
                          <a:schemeClr val="tx1">
                            <a:lumMod val="75000"/>
                            <a:lumOff val="25000"/>
                          </a:schemeClr>
                        </a:solidFill>
                        <a:latin typeface="+mn-lt"/>
                        <a:ea typeface="+mn-ea"/>
                        <a:cs typeface="+mn-cs"/>
                      </a:defRPr>
                    </a:pPr>
                    <a:r>
                      <a:rPr>
                        <a:ln w="6350" cmpd="sng">
                          <a:noFill/>
                          <a:prstDash val="solid"/>
                        </a:ln>
                      </a:rPr>
                      <a:t>79.18万元，占</a:t>
                    </a:r>
                    <a:r>
                      <a:rPr lang="en-US" altLang="zh-CN">
                        <a:ln w="6350" cmpd="sng">
                          <a:noFill/>
                          <a:prstDash val="solid"/>
                        </a:ln>
                      </a:rPr>
                      <a:t>26.9%</a:t>
                    </a:r>
                    <a:endParaRPr lang="en-US" altLang="zh-CN">
                      <a:ln w="6350" cmpd="sng">
                        <a:noFill/>
                        <a:prstDash val="solid"/>
                      </a:ln>
                    </a:endParaRPr>
                  </a:p>
                </c:rich>
              </c:tx>
              <c:showLegendKey val="0"/>
              <c:showVal val="1"/>
              <c:showCatName val="0"/>
              <c:showSerName val="0"/>
              <c:showPercent val="0"/>
              <c:showBubbleSize val="0"/>
              <c:extLst>
                <c:ext xmlns:c15="http://schemas.microsoft.com/office/drawing/2012/chart" uri="{CE6537A1-D6FC-4f65-9D91-7224C49458BB}">
                  <c15:layout>
                    <c:manualLayout>
                      <c:w val="0.309444444444444"/>
                      <c:h val="0.114351851851852"/>
                    </c:manualLayout>
                  </c15:layout>
                </c:ext>
              </c:extLst>
            </c:dLbl>
            <c:dLbl>
              <c:idx val="1"/>
              <c:layout>
                <c:manualLayout>
                  <c:x val="0.127058317563551"/>
                  <c:y val="0.0208333333333333"/>
                </c:manualLayout>
              </c:layout>
              <c:tx>
                <c:rich>
                  <a:bodyPr rot="0" spcFirstLastPara="0" vertOverflow="ellipsis" vert="horz" wrap="square" lIns="38100" tIns="19050" rIns="38100" bIns="19050" anchor="ctr" anchorCtr="1"/>
                  <a:lstStyle/>
                  <a:p>
                    <a:pPr defTabSz="914400">
                      <a:defRPr lang="zh-CN" sz="900" b="0" i="0" u="none" strike="noStrike" kern="1200" baseline="0">
                        <a:ln w="6350" cmpd="sng">
                          <a:noFill/>
                          <a:prstDash val="solid"/>
                        </a:ln>
                        <a:solidFill>
                          <a:schemeClr val="tx1">
                            <a:lumMod val="75000"/>
                            <a:lumOff val="25000"/>
                          </a:schemeClr>
                        </a:solidFill>
                        <a:latin typeface="+mn-lt"/>
                        <a:ea typeface="+mn-ea"/>
                        <a:cs typeface="+mn-cs"/>
                      </a:defRPr>
                    </a:pPr>
                    <a:r>
                      <a:rPr>
                        <a:ln w="6350" cmpd="sng">
                          <a:noFill/>
                          <a:prstDash val="solid"/>
                        </a:ln>
                      </a:rPr>
                      <a:t>2.43万元，占</a:t>
                    </a:r>
                    <a:r>
                      <a:rPr lang="en-US" altLang="zh-CN">
                        <a:ln w="6350" cmpd="sng">
                          <a:noFill/>
                          <a:prstDash val="solid"/>
                        </a:ln>
                      </a:rPr>
                      <a:t>0.8%</a:t>
                    </a:r>
                    <a:endParaRPr lang="en-US" altLang="zh-CN">
                      <a:ln w="6350" cmpd="sng">
                        <a:noFill/>
                        <a:prstDash val="solid"/>
                      </a:ln>
                    </a:endParaRPr>
                  </a:p>
                </c:rich>
              </c:tx>
              <c:showLegendKey val="0"/>
              <c:showVal val="1"/>
              <c:showCatName val="0"/>
              <c:showSerName val="0"/>
              <c:showPercent val="0"/>
              <c:showBubbleSize val="0"/>
              <c:extLst>
                <c:ext xmlns:c15="http://schemas.microsoft.com/office/drawing/2012/chart" uri="{CE6537A1-D6FC-4f65-9D91-7224C49458BB}">
                  <c15:layout>
                    <c:manualLayout>
                      <c:w val="0.312222222222222"/>
                      <c:h val="0.114351851851852"/>
                    </c:manualLayout>
                  </c15:layout>
                </c:ext>
              </c:extLst>
            </c:dLbl>
            <c:dLbl>
              <c:idx val="2"/>
              <c:layout>
                <c:manualLayout>
                  <c:x val="-0.1125"/>
                  <c:y val="0.0173611111111111"/>
                </c:manualLayout>
              </c:layout>
              <c:tx>
                <c:rich>
                  <a:bodyPr rot="0" spcFirstLastPara="0" vertOverflow="ellipsis" vert="horz" wrap="square" lIns="38100" tIns="19050" rIns="38100" bIns="19050" anchor="ctr" anchorCtr="1"/>
                  <a:lstStyle/>
                  <a:p>
                    <a:pPr defTabSz="914400">
                      <a:defRPr lang="zh-CN" sz="900" b="0" i="0" u="none" strike="noStrike" kern="1200" baseline="0">
                        <a:ln w="6350" cmpd="sng">
                          <a:noFill/>
                          <a:prstDash val="solid"/>
                        </a:ln>
                        <a:solidFill>
                          <a:schemeClr val="tx1">
                            <a:lumMod val="75000"/>
                            <a:lumOff val="25000"/>
                          </a:schemeClr>
                        </a:solidFill>
                        <a:latin typeface="+mn-lt"/>
                        <a:ea typeface="+mn-ea"/>
                        <a:cs typeface="+mn-cs"/>
                      </a:defRPr>
                    </a:pPr>
                    <a:r>
                      <a:rPr>
                        <a:ln w="6350" cmpd="sng">
                          <a:noFill/>
                          <a:prstDash val="solid"/>
                        </a:ln>
                      </a:rPr>
                      <a:t>205.79万元，占</a:t>
                    </a:r>
                    <a:r>
                      <a:rPr lang="en-US" altLang="zh-CN">
                        <a:ln w="6350" cmpd="sng">
                          <a:noFill/>
                          <a:prstDash val="solid"/>
                        </a:ln>
                      </a:rPr>
                      <a:t>69.8%</a:t>
                    </a:r>
                    <a:endParaRPr lang="en-US" altLang="zh-CN">
                      <a:ln w="6350" cmpd="sng">
                        <a:noFill/>
                        <a:prstDash val="solid"/>
                      </a:ln>
                    </a:endParaRPr>
                  </a:p>
                </c:rich>
              </c:tx>
              <c:showLegendKey val="0"/>
              <c:showVal val="1"/>
              <c:showCatName val="0"/>
              <c:showSerName val="0"/>
              <c:showPercent val="0"/>
              <c:showBubbleSize val="0"/>
              <c:extLst>
                <c:ext xmlns:c15="http://schemas.microsoft.com/office/drawing/2012/chart" uri="{CE6537A1-D6FC-4f65-9D91-7224C49458BB}">
                  <c15:layout>
                    <c:manualLayout>
                      <c:w val="0.3075"/>
                      <c:h val="0.114351851851852"/>
                    </c:manualLayout>
                  </c15:layout>
                </c:ext>
              </c:extLst>
            </c:dLbl>
            <c:dLbl>
              <c:idx val="3"/>
              <c:layout>
                <c:manualLayout>
                  <c:x val="0.00833333333333333"/>
                  <c:y val="-0.03125"/>
                </c:manualLayout>
              </c:layout>
              <c:tx>
                <c:rich>
                  <a:bodyPr rot="0" spcFirstLastPara="0" vertOverflow="ellipsis" vert="horz" wrap="square" lIns="38100" tIns="19050" rIns="38100" bIns="19050" anchor="ctr" anchorCtr="1"/>
                  <a:lstStyle/>
                  <a:p>
                    <a:pPr defTabSz="914400">
                      <a:defRPr lang="zh-CN" sz="900" b="0" i="0" u="none" strike="noStrike" kern="1200" baseline="0">
                        <a:ln w="6350" cmpd="sng">
                          <a:noFill/>
                          <a:prstDash val="solid"/>
                        </a:ln>
                        <a:solidFill>
                          <a:schemeClr val="tx1">
                            <a:lumMod val="75000"/>
                            <a:lumOff val="25000"/>
                          </a:schemeClr>
                        </a:solidFill>
                        <a:latin typeface="+mn-lt"/>
                        <a:ea typeface="+mn-ea"/>
                        <a:cs typeface="+mn-cs"/>
                      </a:defRPr>
                    </a:pPr>
                    <a:r>
                      <a:rPr>
                        <a:ln w="6350" cmpd="sng">
                          <a:noFill/>
                          <a:prstDash val="solid"/>
                        </a:ln>
                      </a:rPr>
                      <a:t>7.44万元，占</a:t>
                    </a:r>
                    <a:r>
                      <a:rPr lang="en-US" altLang="zh-CN">
                        <a:ln w="6350" cmpd="sng">
                          <a:noFill/>
                          <a:prstDash val="solid"/>
                        </a:ln>
                      </a:rPr>
                      <a:t>2.5%</a:t>
                    </a:r>
                    <a:endParaRPr lang="en-US" altLang="zh-CN">
                      <a:ln w="6350" cmpd="sng">
                        <a:noFill/>
                        <a:prstDash val="solid"/>
                      </a:ln>
                    </a:endParaRPr>
                  </a:p>
                </c:rich>
              </c:tx>
              <c:showLegendKey val="0"/>
              <c:showVal val="1"/>
              <c:showCatName val="0"/>
              <c:showSerName val="0"/>
              <c:showPercent val="0"/>
              <c:showBubbleSize val="0"/>
              <c:extLst>
                <c:ext xmlns:c15="http://schemas.microsoft.com/office/drawing/2012/chart" uri="{CE6537A1-D6FC-4f65-9D91-7224C49458BB}">
                  <c15:layout>
                    <c:manualLayout>
                      <c:w val="0.286805555555556"/>
                      <c:h val="0.114351851851852"/>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ln w="6350" cmpd="sng">
                      <a:noFill/>
                      <a:prstDash val="solid"/>
                    </a:ln>
                    <a:solidFill>
                      <a:schemeClr val="tx1">
                        <a:lumMod val="75000"/>
                        <a:lumOff val="25000"/>
                      </a:schemeClr>
                    </a:solidFill>
                    <a:latin typeface="+mn-lt"/>
                    <a:ea typeface="+mn-ea"/>
                    <a:cs typeface="+mn-cs"/>
                  </a:defRPr>
                </a:pPr>
              </a:p>
            </c:txPr>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[决算公开图表模版.xlsx]Sheet1!$A$81:$A$84</c:f>
              <c:strCache>
                <c:ptCount val="4"/>
                <c:pt idx="0">
                  <c:v>社会保障和就业支出</c:v>
                </c:pt>
                <c:pt idx="1">
                  <c:v>卫生健康支出</c:v>
                </c:pt>
                <c:pt idx="2">
                  <c:v>农林水支出</c:v>
                </c:pt>
                <c:pt idx="3">
                  <c:v>住房保障支出</c:v>
                </c:pt>
              </c:strCache>
            </c:strRef>
          </c:cat>
          <c:val>
            <c:numRef>
              <c:f>[决算公开图表模版.xlsx]Sheet1!$B$81:$B$84</c:f>
              <c:numCache>
                <c:formatCode>General</c:formatCode>
                <c:ptCount val="4"/>
                <c:pt idx="0">
                  <c:v>79.18</c:v>
                </c:pt>
                <c:pt idx="1">
                  <c:v>2.43</c:v>
                </c:pt>
                <c:pt idx="2">
                  <c:v>205.79</c:v>
                </c:pt>
                <c:pt idx="3">
                  <c:v>7.44</c:v>
                </c:pt>
              </c:numCache>
            </c:numRef>
          </c:val>
        </c:ser>
        <c:dLbls>
          <c:showLegendKey val="0"/>
          <c:showVal val="1"/>
          <c:showCatName val="0"/>
          <c:showSerName val="0"/>
          <c:showPercent val="0"/>
          <c:showBubbleSize val="0"/>
          <c:showLeaderLines val="1"/>
        </c:dLbls>
        <c:firstSliceAng val="0"/>
        <c:holeSize val="75"/>
      </c:doughnut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sz="1600">
                <a:latin typeface="黑体" panose="02010609060101010101" charset="-122"/>
                <a:ea typeface="黑体" panose="02010609060101010101" charset="-122"/>
                <a:cs typeface="黑体" panose="02010609060101010101" charset="-122"/>
              </a:rPr>
              <a:t>“三公”经费财政拨款支出结构图</a:t>
            </a:r>
            <a:endParaRPr sz="1600">
              <a:latin typeface="黑体" panose="02010609060101010101" charset="-122"/>
              <a:ea typeface="黑体" panose="02010609060101010101" charset="-122"/>
              <a:cs typeface="黑体" panose="02010609060101010101" charset="-122"/>
            </a:endParaRPr>
          </a:p>
        </c:rich>
      </c:tx>
      <c:layout>
        <c:manualLayout>
          <c:xMode val="edge"/>
          <c:yMode val="edge"/>
          <c:x val="0.169305555555556"/>
          <c:y val="0.0520833333333334"/>
        </c:manualLayout>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680555555555555"/>
          <c:y val="0.180555555555556"/>
          <c:w val="0.588888888888889"/>
          <c:h val="0.761574074074074"/>
        </c:manualLayout>
      </c:layout>
      <c:pie3DChart>
        <c:varyColors val="1"/>
        <c:ser>
          <c:idx val="0"/>
          <c:order val="0"/>
          <c:tx>
            <c:strRef>
              <c:f>[决算公开图表模版.xlsx]Sheet1!$B$95</c:f>
              <c:strCache>
                <c:ptCount val="1"/>
                <c:pt idx="0">
                  <c:v>“三公”经费财政拨款支出结构图</c:v>
                </c:pt>
              </c:strCache>
            </c:strRef>
          </c:tx>
          <c:spPr>
            <a:scene3d>
              <a:camera prst="orthographicFront"/>
              <a:lightRig rig="threePt" dir="t"/>
            </a:scene3d>
            <a:sp3d contourW="25400"/>
          </c:spPr>
          <c:explosion val="0"/>
          <c:dPt>
            <c:idx val="0"/>
            <c:bubble3D val="0"/>
            <c:spPr>
              <a:solidFill>
                <a:schemeClr val="accent1"/>
              </a:solidFill>
              <a:ln w="25400">
                <a:solidFill>
                  <a:schemeClr val="lt1"/>
                </a:solidFill>
              </a:ln>
              <a:effectLst/>
              <a:scene3d>
                <a:camera prst="orthographicFront"/>
                <a:lightRig rig="threePt" dir="t"/>
              </a:scene3d>
              <a:sp3d contourW="25400"/>
            </c:spPr>
          </c:dPt>
          <c:dPt>
            <c:idx val="1"/>
            <c:bubble3D val="0"/>
            <c:spPr>
              <a:solidFill>
                <a:schemeClr val="accent2"/>
              </a:solidFill>
              <a:ln w="25400">
                <a:solidFill>
                  <a:schemeClr val="lt1"/>
                </a:solidFill>
              </a:ln>
              <a:effectLst/>
              <a:scene3d>
                <a:camera prst="orthographicFront"/>
                <a:lightRig rig="threePt" dir="t"/>
              </a:scene3d>
              <a:sp3d contourW="25400"/>
            </c:spPr>
          </c:dPt>
          <c:dPt>
            <c:idx val="2"/>
            <c:bubble3D val="0"/>
            <c:spPr>
              <a:solidFill>
                <a:schemeClr val="accent3"/>
              </a:solidFill>
              <a:ln w="25400">
                <a:solidFill>
                  <a:schemeClr val="lt1"/>
                </a:solidFill>
              </a:ln>
              <a:effectLst/>
              <a:scene3d>
                <a:camera prst="orthographicFront"/>
                <a:lightRig rig="threePt" dir="t"/>
              </a:scene3d>
              <a:sp3d contourW="25400"/>
            </c:spPr>
          </c:dPt>
          <c:dLbls>
            <c:dLbl>
              <c:idx val="2"/>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0.2</a:t>
                    </a:r>
                    <a:r>
                      <a:rPr altLang="en-US"/>
                      <a:t>万元，占</a:t>
                    </a:r>
                    <a:r>
                      <a:t>100%</a:t>
                    </a:r>
                  </a:p>
                </c:rich>
              </c:tx>
              <c:dLblPos val="inEnd"/>
              <c:showLegendKey val="0"/>
              <c:showVal val="0"/>
              <c:showCatName val="0"/>
              <c:showSerName val="0"/>
              <c:showPercent val="1"/>
              <c:showBubbleSize val="0"/>
              <c:extLst>
                <c:ext xmlns:c15="http://schemas.microsoft.com/office/drawing/2012/chart" uri="{CE6537A1-D6FC-4f65-9D91-7224C49458BB}">
                  <c15:layout>
                    <c:manualLayout>
                      <c:w val="0.2525"/>
                      <c:h val="0.114351851851852"/>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[决算公开图表模版.xlsx]Sheet1!$A$96:$A$98</c:f>
              <c:strCache>
                <c:ptCount val="3"/>
                <c:pt idx="0">
                  <c:v>因公出国（境）费支出</c:v>
                </c:pt>
                <c:pt idx="1">
                  <c:v>公务用车购置及运行维护费支出</c:v>
                </c:pt>
                <c:pt idx="2">
                  <c:v>公务接待费支出</c:v>
                </c:pt>
              </c:strCache>
            </c:strRef>
          </c:cat>
          <c:val>
            <c:numRef>
              <c:f>[决算公开图表模版.xlsx]Sheet1!$B$96:$B$98</c:f>
              <c:numCache>
                <c:formatCode>General</c:formatCode>
                <c:ptCount val="3"/>
                <c:pt idx="0">
                  <c:v>0</c:v>
                </c:pt>
                <c:pt idx="1">
                  <c:v>0</c:v>
                </c:pt>
                <c:pt idx="2">
                  <c:v>0.2</c:v>
                </c:pt>
              </c:numCache>
            </c:numRef>
          </c:val>
        </c:ser>
        <c:dLbls>
          <c:showLegendKey val="0"/>
          <c:showVal val="0"/>
          <c:showCatName val="0"/>
          <c:showSerName val="0"/>
          <c:showPercent val="1"/>
          <c:showBubbleSize val="0"/>
        </c:dLbls>
      </c:pie3D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7.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19</Pages>
  <Words>1142</Words>
  <Characters>6514</Characters>
  <Lines>54</Lines>
  <Paragraphs>15</Paragraphs>
  <TotalTime>4</TotalTime>
  <ScaleCrop>false</ScaleCrop>
  <LinksUpToDate>false</LinksUpToDate>
  <CharactersWithSpaces>7641</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2020-08-08T01:49:00Z</dcterms:created>
  <dc:creator>曹颖</dc:creator>
  <cp:lastModifiedBy>珠帘</cp:lastModifiedBy>
  <cp:lastPrinted>2023-08-03T02:35:00Z</cp:lastPrinted>
  <dcterms:modified xsi:type="dcterms:W3CDTF">2024-10-23T09:39:14Z</dcterms:modified>
  <dc:title>四川省***</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