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sz w:val="72"/>
          <w:szCs w:val="72"/>
        </w:rPr>
      </w:pPr>
      <w:bookmarkStart w:id="0" w:name="_Toc15377425"/>
      <w:bookmarkStart w:id="1" w:name="_Toc15377193"/>
      <w:bookmarkStart w:id="2" w:name="_Toc15378441"/>
      <w:bookmarkStart w:id="3" w:name="_Toc15396597"/>
      <w:bookmarkStart w:id="4" w:name="_Toc15396475"/>
      <w:bookmarkStart w:id="5" w:name="_Toc15306267"/>
    </w:p>
    <w:p>
      <w:pPr>
        <w:pStyle w:val="2"/>
        <w:spacing w:before="93"/>
      </w:pPr>
    </w:p>
    <w:p>
      <w:pPr>
        <w:spacing w:line="600" w:lineRule="exact"/>
        <w:jc w:val="center"/>
        <w:outlineLvl w:val="0"/>
        <w:rPr>
          <w:rFonts w:ascii="方正小标宋简体" w:hAnsi="宋体" w:eastAsia="方正小标宋简体"/>
          <w:sz w:val="72"/>
          <w:szCs w:val="72"/>
        </w:rPr>
      </w:pPr>
    </w:p>
    <w:p>
      <w:pPr>
        <w:spacing w:line="600" w:lineRule="exact"/>
        <w:jc w:val="center"/>
        <w:outlineLvl w:val="0"/>
        <w:rPr>
          <w:rFonts w:ascii="方正小标宋简体" w:hAnsi="宋体" w:eastAsia="方正小标宋简体"/>
          <w:sz w:val="72"/>
          <w:szCs w:val="72"/>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9234"/>
      <w:bookmarkStart w:id="7" w:name="_Toc22189"/>
      <w:bookmarkStart w:id="8" w:name="_Toc27771"/>
      <w:r>
        <w:rPr>
          <w:rFonts w:hint="eastAsia" w:ascii="方正小标宋简体" w:hAnsi="方正小标宋简体" w:eastAsia="方正小标宋简体" w:cs="方正小标宋简体"/>
          <w:sz w:val="72"/>
          <w:szCs w:val="72"/>
        </w:rPr>
        <w:t>2023年度</w:t>
      </w:r>
      <w:bookmarkEnd w:id="0"/>
      <w:bookmarkEnd w:id="1"/>
      <w:bookmarkEnd w:id="2"/>
      <w:bookmarkEnd w:id="3"/>
      <w:bookmarkEnd w:id="4"/>
      <w:bookmarkEnd w:id="6"/>
      <w:bookmarkEnd w:id="7"/>
      <w:bookmarkEnd w:id="8"/>
    </w:p>
    <w:bookmarkEnd w:id="5"/>
    <w:p>
      <w:pPr>
        <w:pStyle w:val="2"/>
        <w:jc w:val="center"/>
        <w:rPr>
          <w:rFonts w:hint="eastAsia" w:ascii="方正小标宋简体" w:hAnsi="方正小标宋简体" w:eastAsia="方正小标宋简体" w:cs="方正小标宋简体"/>
          <w:kern w:val="2"/>
          <w:sz w:val="72"/>
          <w:szCs w:val="72"/>
          <w:lang w:val="en-US" w:eastAsia="zh-CN" w:bidi="ar-SA"/>
        </w:rPr>
      </w:pPr>
      <w:r>
        <w:rPr>
          <w:rFonts w:hint="eastAsia" w:ascii="方正小标宋简体" w:hAnsi="方正小标宋简体" w:eastAsia="方正小标宋简体" w:cs="方正小标宋简体"/>
          <w:kern w:val="2"/>
          <w:sz w:val="72"/>
          <w:szCs w:val="72"/>
          <w:lang w:val="en-US" w:eastAsia="zh-CN" w:bidi="ar-SA"/>
        </w:rPr>
        <w:t>四川省</w:t>
      </w:r>
      <w:bookmarkStart w:id="9" w:name="_Toc15306268"/>
      <w:r>
        <w:rPr>
          <w:rFonts w:hint="eastAsia" w:ascii="方正小标宋简体" w:hAnsi="方正小标宋简体" w:eastAsia="方正小标宋简体" w:cs="方正小标宋简体"/>
          <w:kern w:val="2"/>
          <w:sz w:val="72"/>
          <w:szCs w:val="72"/>
          <w:lang w:val="en-US" w:eastAsia="zh-CN" w:bidi="ar-SA"/>
        </w:rPr>
        <w:t>乐山市马边彝族</w:t>
      </w:r>
    </w:p>
    <w:p>
      <w:pPr>
        <w:pStyle w:val="2"/>
        <w:jc w:val="center"/>
        <w:rPr>
          <w:rFonts w:hint="eastAsia" w:ascii="方正小标宋简体" w:hAnsi="方正小标宋简体" w:eastAsia="方正小标宋简体" w:cs="方正小标宋简体"/>
          <w:kern w:val="2"/>
          <w:sz w:val="72"/>
          <w:szCs w:val="72"/>
          <w:lang w:val="en-US" w:eastAsia="zh-CN" w:bidi="ar-SA"/>
        </w:rPr>
      </w:pPr>
      <w:r>
        <w:rPr>
          <w:rFonts w:hint="eastAsia" w:ascii="方正小标宋简体" w:hAnsi="方正小标宋简体" w:eastAsia="方正小标宋简体" w:cs="方正小标宋简体"/>
          <w:kern w:val="2"/>
          <w:sz w:val="72"/>
          <w:szCs w:val="72"/>
          <w:lang w:val="en-US" w:eastAsia="zh-CN" w:bidi="ar-SA"/>
        </w:rPr>
        <w:t>自治县红十字会部门决算</w:t>
      </w:r>
      <w:bookmarkEnd w:id="9"/>
    </w:p>
    <w:p>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pPr>
        <w:widowControl/>
        <w:jc w:val="center"/>
        <w:rPr>
          <w:rFonts w:ascii="黑体" w:hAnsi="黑体" w:eastAsia="黑体" w:cstheme="minorBidi"/>
          <w:sz w:val="28"/>
          <w:szCs w:val="28"/>
        </w:rPr>
      </w:pPr>
    </w:p>
    <w:p>
      <w:pPr>
        <w:widowControl/>
        <w:jc w:val="center"/>
        <w:rPr>
          <w:rFonts w:ascii="黑体" w:hAnsi="黑体" w:eastAsia="黑体" w:cs="Times New Roman"/>
          <w:color w:val="auto"/>
          <w:sz w:val="28"/>
          <w:szCs w:val="28"/>
          <w:highlight w:val="none"/>
        </w:rPr>
      </w:pPr>
      <w:bookmarkStart w:id="10" w:name="_Toc15377196"/>
      <w:bookmarkStart w:id="11" w:name="_Toc15396599"/>
    </w:p>
    <w:p>
      <w:pPr>
        <w:pStyle w:val="12"/>
        <w:rPr>
          <w:color w:val="auto"/>
          <w:highlight w:val="none"/>
        </w:rPr>
      </w:pPr>
      <w:r>
        <w:rPr>
          <w:rFonts w:hint="eastAsia"/>
          <w:color w:val="auto"/>
          <w:highlight w:val="none"/>
        </w:rPr>
        <w:t>公开时间：20</w:t>
      </w:r>
      <w:r>
        <w:rPr>
          <w:rFonts w:hint="eastAsia"/>
          <w:color w:val="auto"/>
          <w:highlight w:val="none"/>
          <w:lang w:val="en-US" w:eastAsia="zh-CN"/>
        </w:rPr>
        <w:t>24</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rFonts w:hint="eastAsia"/>
          <w:color w:val="auto"/>
          <w:highlight w:val="none"/>
          <w:lang w:val="en-US" w:eastAsia="zh-CN"/>
        </w:rPr>
        <w:t>2</w:t>
      </w:r>
      <w:bookmarkStart w:id="105" w:name="_GoBack"/>
      <w:bookmarkEnd w:id="105"/>
      <w:r>
        <w:rPr>
          <w:rFonts w:hint="eastAsia"/>
          <w:color w:val="auto"/>
          <w:highlight w:val="none"/>
          <w:lang w:val="en-US" w:eastAsia="zh-CN"/>
        </w:rPr>
        <w:t>3</w:t>
      </w:r>
      <w:r>
        <w:rPr>
          <w:rFonts w:hint="eastAsia"/>
          <w:color w:val="auto"/>
          <w:highlight w:val="none"/>
        </w:rPr>
        <w:t>日</w:t>
      </w:r>
    </w:p>
    <w:p>
      <w:pPr>
        <w:pStyle w:val="12"/>
        <w:tabs>
          <w:tab w:val="right" w:leader="dot" w:pos="8306"/>
          <w:tab w:val="clear" w:pos="8296"/>
        </w:tabs>
      </w:pPr>
      <w:r>
        <w:rPr>
          <w:rFonts w:hint="default"/>
          <w:lang w:val="en-US" w:eastAsia="zh-CN"/>
        </w:rPr>
        <w:fldChar w:fldCharType="begin"/>
      </w:r>
      <w:r>
        <w:rPr>
          <w:rFonts w:hint="default"/>
          <w:lang w:val="en-US" w:eastAsia="zh-CN"/>
        </w:rPr>
        <w:instrText xml:space="preserve">TOC \o "1-2" \u </w:instrText>
      </w:r>
      <w:r>
        <w:rPr>
          <w:rFonts w:hint="default"/>
          <w:lang w:val="en-US" w:eastAsia="zh-CN"/>
        </w:rPr>
        <w:fldChar w:fldCharType="separate"/>
      </w:r>
      <w:r>
        <w:rPr>
          <w:rFonts w:hint="eastAsia" w:ascii="黑体" w:hAnsi="黑体" w:eastAsia="黑体"/>
        </w:rPr>
        <w:t xml:space="preserve">第一部分 </w:t>
      </w:r>
      <w:r>
        <w:rPr>
          <w:rFonts w:hint="eastAsia" w:ascii="黑体" w:hAnsi="黑体" w:eastAsia="黑体"/>
          <w:bCs w:val="0"/>
        </w:rPr>
        <w:t>部门概况</w:t>
      </w:r>
      <w:r>
        <w:tab/>
      </w:r>
      <w:r>
        <w:fldChar w:fldCharType="begin"/>
      </w:r>
      <w:r>
        <w:instrText xml:space="preserve"> PAGEREF _Toc32620 \h </w:instrText>
      </w:r>
      <w:r>
        <w:fldChar w:fldCharType="separate"/>
      </w:r>
      <w:r>
        <w:t>1</w:t>
      </w:r>
      <w: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lang w:eastAsia="zh-CN"/>
        </w:rPr>
        <w:t xml:space="preserve">一、 </w:t>
      </w:r>
      <w:r>
        <w:rPr>
          <w:rFonts w:hint="eastAsia" w:asciiTheme="minorEastAsia" w:hAnsiTheme="minorEastAsia" w:eastAsiaTheme="minorEastAsia" w:cstheme="minorEastAsia"/>
          <w:color w:val="auto"/>
          <w:sz w:val="24"/>
          <w:szCs w:val="24"/>
          <w:highlight w:val="none"/>
          <w:lang w:eastAsia="zh-CN"/>
        </w:rPr>
        <w:t>部门职责</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_Toc1497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lang w:val="en-US" w:eastAsia="zh-CN"/>
        </w:rPr>
        <w:t>二</w:t>
      </w:r>
      <w:r>
        <w:rPr>
          <w:rFonts w:hint="eastAsia" w:asciiTheme="minorEastAsia" w:hAnsiTheme="minorEastAsia" w:eastAsiaTheme="minorEastAsia" w:cstheme="minorEastAsia"/>
          <w:color w:val="auto"/>
          <w:sz w:val="24"/>
          <w:szCs w:val="24"/>
          <w:lang w:eastAsia="zh-CN"/>
        </w:rPr>
        <w:t xml:space="preserve">、 </w:t>
      </w:r>
      <w:r>
        <w:rPr>
          <w:rFonts w:hint="eastAsia" w:asciiTheme="minorEastAsia" w:hAnsiTheme="minorEastAsia" w:eastAsiaTheme="minorEastAsia" w:cstheme="minorEastAsia"/>
          <w:color w:val="auto"/>
          <w:sz w:val="24"/>
          <w:szCs w:val="24"/>
          <w:highlight w:val="none"/>
          <w:lang w:val="en-US" w:eastAsia="zh-CN"/>
        </w:rPr>
        <w:t>机构设置</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_Toc1497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p>
      <w:pPr>
        <w:keepNext w:val="0"/>
        <w:keepLines w:val="0"/>
        <w:pageBreakBefore w:val="0"/>
        <w:widowControl w:val="0"/>
        <w:kinsoku/>
        <w:wordWrap/>
        <w:overflowPunct/>
        <w:topLinePunct w:val="0"/>
        <w:autoSpaceDE/>
        <w:autoSpaceDN/>
        <w:bidi w:val="0"/>
        <w:adjustRightInd/>
        <w:snapToGrid/>
        <w:spacing w:line="440" w:lineRule="exact"/>
        <w:textAlignment w:val="auto"/>
      </w:pPr>
    </w:p>
    <w:p>
      <w:pPr>
        <w:pStyle w:val="12"/>
        <w:tabs>
          <w:tab w:val="right" w:leader="dot" w:pos="8306"/>
          <w:tab w:val="clear" w:pos="8296"/>
        </w:tabs>
      </w:pPr>
      <w:r>
        <w:rPr>
          <w:rFonts w:hint="eastAsia" w:ascii="黑体" w:hAnsi="黑体" w:eastAsia="黑体" w:cstheme="minorBidi"/>
          <w:bCs/>
        </w:rPr>
        <w:t>第二部分 2023年度部</w:t>
      </w:r>
      <w:r>
        <w:rPr>
          <w:rFonts w:hint="eastAsia" w:ascii="黑体" w:hAnsi="黑体" w:eastAsia="黑体"/>
          <w:bCs/>
        </w:rPr>
        <w:t>门决算情况说明</w:t>
      </w:r>
      <w:r>
        <w:tab/>
      </w:r>
      <w:r>
        <w:fldChar w:fldCharType="begin"/>
      </w:r>
      <w:r>
        <w:instrText xml:space="preserve"> PAGEREF _Toc4163 \h </w:instrText>
      </w:r>
      <w:r>
        <w:fldChar w:fldCharType="separate"/>
      </w:r>
      <w:r>
        <w:t>2</w:t>
      </w:r>
      <w: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 收入支出决算总体情况说明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_Toc17829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 收入决算情况说明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_Toc24204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 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_Toc12860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四、财政拨款收入支出决算总体情况说明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_Toc16597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五、一般公共预算财政拨款支出决算情况说明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_Toc10730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六、一般公共预算财政拨款基本支出决算情况说明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_Toc19001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7</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七、财政拨款“三公”经费支出决算情况说明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_Toc18452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7</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八、政府性基金预算支出决算情况说明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_Toc7646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9</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 国有资本经营预算支出决算情况说明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_Toc11104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9</w:t>
      </w:r>
      <w:r>
        <w:rPr>
          <w:rFonts w:hint="eastAsia" w:asciiTheme="minorEastAsia" w:hAnsiTheme="minorEastAsia" w:eastAsiaTheme="minorEastAsia" w:cstheme="minorEastAsia"/>
          <w:sz w:val="24"/>
          <w:szCs w:val="24"/>
        </w:rPr>
        <w:fldChar w:fldCharType="end"/>
      </w:r>
    </w:p>
    <w:p>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 其他重要事项的情况说明</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_Toc8041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9</w:t>
      </w:r>
      <w:r>
        <w:rPr>
          <w:rFonts w:hint="eastAsia" w:asciiTheme="minorEastAsia" w:hAnsiTheme="minorEastAsia" w:eastAsiaTheme="minorEastAsia" w:cstheme="minorEastAsia"/>
          <w:sz w:val="24"/>
          <w:szCs w:val="24"/>
        </w:rPr>
        <w:fldChar w:fldCharType="end"/>
      </w:r>
    </w:p>
    <w:p>
      <w:pPr>
        <w:pStyle w:val="12"/>
        <w:tabs>
          <w:tab w:val="right" w:leader="dot" w:pos="8306"/>
          <w:tab w:val="clear" w:pos="8296"/>
        </w:tabs>
      </w:pPr>
      <w:r>
        <w:rPr>
          <w:rFonts w:hint="eastAsia" w:ascii="黑体" w:hAnsi="黑体" w:eastAsia="黑体" w:cs="黑体"/>
        </w:rPr>
        <w:t>第三部分 名词解释</w:t>
      </w:r>
      <w:r>
        <w:tab/>
      </w:r>
      <w:r>
        <w:fldChar w:fldCharType="begin"/>
      </w:r>
      <w:r>
        <w:instrText xml:space="preserve"> PAGEREF _Toc21010 \h </w:instrText>
      </w:r>
      <w:r>
        <w:fldChar w:fldCharType="separate"/>
      </w:r>
      <w:r>
        <w:t>11</w:t>
      </w:r>
      <w:r>
        <w:fldChar w:fldCharType="end"/>
      </w:r>
    </w:p>
    <w:p>
      <w:pPr>
        <w:pStyle w:val="12"/>
        <w:tabs>
          <w:tab w:val="right" w:leader="dot" w:pos="8306"/>
          <w:tab w:val="clear" w:pos="8296"/>
        </w:tabs>
      </w:pPr>
      <w:r>
        <w:rPr>
          <w:rFonts w:hint="eastAsia" w:ascii="黑体" w:hAnsi="黑体" w:eastAsia="黑体"/>
        </w:rPr>
        <w:t>第四部分 附件</w:t>
      </w:r>
      <w:r>
        <w:tab/>
      </w:r>
      <w:r>
        <w:fldChar w:fldCharType="begin"/>
      </w:r>
      <w:r>
        <w:instrText xml:space="preserve"> PAGEREF _Toc8312 \h </w:instrText>
      </w:r>
      <w:r>
        <w:fldChar w:fldCharType="separate"/>
      </w:r>
      <w:r>
        <w:t>13</w:t>
      </w:r>
      <w:r>
        <w:fldChar w:fldCharType="end"/>
      </w:r>
    </w:p>
    <w:p>
      <w:pPr>
        <w:pStyle w:val="12"/>
        <w:tabs>
          <w:tab w:val="right" w:leader="dot" w:pos="8306"/>
          <w:tab w:val="clear" w:pos="8296"/>
        </w:tabs>
      </w:pPr>
      <w:r>
        <w:rPr>
          <w:rFonts w:hint="eastAsia" w:ascii="黑体" w:hAnsi="黑体" w:eastAsia="黑体"/>
        </w:rPr>
        <w:t>第五部分 附表</w:t>
      </w:r>
      <w:r>
        <w:tab/>
      </w:r>
      <w:r>
        <w:fldChar w:fldCharType="begin"/>
      </w:r>
      <w:r>
        <w:instrText xml:space="preserve"> PAGEREF _Toc2580 \h </w:instrText>
      </w:r>
      <w:r>
        <w:fldChar w:fldCharType="separate"/>
      </w:r>
      <w:r>
        <w:t>21</w:t>
      </w:r>
      <w:r>
        <w:fldChar w:fldCharType="end"/>
      </w:r>
    </w:p>
    <w:p>
      <w:pPr>
        <w:rPr>
          <w:rFonts w:hint="default"/>
          <w:lang w:val="en-US" w:eastAsia="zh-CN"/>
        </w:rPr>
      </w:pPr>
      <w:r>
        <w:rPr>
          <w:rFonts w:hint="default"/>
          <w:lang w:val="en-US" w:eastAsia="zh-CN"/>
        </w:rPr>
        <w:fldChar w:fldCharType="end"/>
      </w:r>
    </w:p>
    <w:p>
      <w:pPr>
        <w:pStyle w:val="12"/>
        <w:adjustRightInd w:val="0"/>
        <w:snapToGrid w:val="0"/>
        <w:spacing w:before="0" w:line="440" w:lineRule="exact"/>
        <w:jc w:val="left"/>
        <w:rPr>
          <w:rFonts w:hint="default"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rPr>
        <w:t>第五部分 附表</w:t>
      </w:r>
      <w:r>
        <w:rPr>
          <w:rFonts w:hint="eastAsia" w:ascii="黑体" w:hAnsi="黑体" w:eastAsia="黑体" w:cs="黑体"/>
          <w:color w:val="auto"/>
          <w:sz w:val="24"/>
          <w:szCs w:val="24"/>
          <w:highlight w:val="none"/>
          <w:lang w:val="en-US" w:eastAsia="zh-CN"/>
        </w:rPr>
        <w:tab/>
        <w:t>21</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一、收入支出决算总表</w:t>
      </w:r>
      <w:r>
        <w:rPr>
          <w:rFonts w:hint="eastAsia"/>
          <w:color w:val="auto"/>
          <w:sz w:val="24"/>
          <w:highlight w:val="none"/>
          <w:lang w:val="en-US" w:eastAsia="zh-CN"/>
        </w:rPr>
        <w:tab/>
        <w:t>21</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二、收入决算表</w:t>
      </w:r>
      <w:r>
        <w:rPr>
          <w:rFonts w:hint="eastAsia"/>
          <w:color w:val="auto"/>
          <w:sz w:val="24"/>
          <w:highlight w:val="none"/>
          <w:lang w:val="en-US" w:eastAsia="zh-CN"/>
        </w:rPr>
        <w:tab/>
        <w:t>21</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三、支出决算表</w:t>
      </w:r>
      <w:r>
        <w:rPr>
          <w:rFonts w:hint="eastAsia"/>
          <w:color w:val="auto"/>
          <w:sz w:val="24"/>
          <w:highlight w:val="none"/>
          <w:lang w:val="en-US" w:eastAsia="zh-CN"/>
        </w:rPr>
        <w:tab/>
        <w:t>21</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四、财政拨款收入支出决算总表</w:t>
      </w:r>
      <w:r>
        <w:rPr>
          <w:rFonts w:hint="eastAsia"/>
          <w:color w:val="auto"/>
          <w:sz w:val="24"/>
          <w:highlight w:val="none"/>
          <w:lang w:val="en-US" w:eastAsia="zh-CN"/>
        </w:rPr>
        <w:tab/>
        <w:t>21</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五、财政拨款支出决算明细表</w:t>
      </w:r>
      <w:r>
        <w:rPr>
          <w:rFonts w:hint="eastAsia"/>
          <w:color w:val="auto"/>
          <w:sz w:val="24"/>
          <w:highlight w:val="none"/>
          <w:lang w:val="en-US" w:eastAsia="zh-CN"/>
        </w:rPr>
        <w:tab/>
        <w:t>22</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六、一般公共预算财政拨款支出决算表</w:t>
      </w:r>
      <w:r>
        <w:rPr>
          <w:rFonts w:hint="eastAsia"/>
          <w:color w:val="auto"/>
          <w:sz w:val="24"/>
          <w:highlight w:val="none"/>
          <w:lang w:val="en-US" w:eastAsia="zh-CN"/>
        </w:rPr>
        <w:tab/>
        <w:t>22</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七、一般公共预算财政拨款支出决算明细表</w:t>
      </w:r>
      <w:r>
        <w:rPr>
          <w:rFonts w:hint="eastAsia"/>
          <w:color w:val="auto"/>
          <w:sz w:val="24"/>
          <w:highlight w:val="none"/>
          <w:lang w:val="en-US" w:eastAsia="zh-CN"/>
        </w:rPr>
        <w:tab/>
        <w:t>22</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八、一般公共预算财政拨款基本支出决算</w:t>
      </w:r>
      <w:r>
        <w:rPr>
          <w:rFonts w:hint="eastAsia"/>
          <w:color w:val="auto"/>
          <w:sz w:val="24"/>
          <w:highlight w:val="none"/>
          <w:lang w:eastAsia="zh-CN"/>
        </w:rPr>
        <w:t>明细</w:t>
      </w:r>
      <w:r>
        <w:rPr>
          <w:rFonts w:hint="eastAsia"/>
          <w:color w:val="auto"/>
          <w:sz w:val="24"/>
          <w:highlight w:val="none"/>
        </w:rPr>
        <w:t>表</w:t>
      </w:r>
      <w:r>
        <w:rPr>
          <w:rFonts w:hint="eastAsia"/>
          <w:color w:val="auto"/>
          <w:sz w:val="24"/>
          <w:highlight w:val="none"/>
          <w:lang w:val="en-US" w:eastAsia="zh-CN"/>
        </w:rPr>
        <w:tab/>
        <w:t>22</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九、一般公共预算财政拨款项目支出决算表</w:t>
      </w:r>
      <w:r>
        <w:rPr>
          <w:rFonts w:hint="eastAsia"/>
          <w:color w:val="auto"/>
          <w:sz w:val="24"/>
          <w:highlight w:val="none"/>
          <w:lang w:val="en-US" w:eastAsia="zh-CN"/>
        </w:rPr>
        <w:tab/>
        <w:t>22</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十、政府性基金预算财政拨款收入支出决算表</w:t>
      </w:r>
      <w:r>
        <w:rPr>
          <w:rFonts w:hint="eastAsia"/>
          <w:color w:val="auto"/>
          <w:sz w:val="24"/>
          <w:highlight w:val="none"/>
          <w:lang w:val="en-US" w:eastAsia="zh-CN"/>
        </w:rPr>
        <w:tab/>
        <w:t>22</w:t>
      </w:r>
    </w:p>
    <w:p>
      <w:pPr>
        <w:pStyle w:val="13"/>
        <w:adjustRightInd w:val="0"/>
        <w:snapToGrid w:val="0"/>
        <w:spacing w:line="440" w:lineRule="exact"/>
        <w:jc w:val="left"/>
        <w:rPr>
          <w:rFonts w:hint="default" w:eastAsia="宋体"/>
          <w:color w:val="auto"/>
          <w:sz w:val="24"/>
          <w:highlight w:val="none"/>
          <w:lang w:val="en-US" w:eastAsia="zh-CN"/>
        </w:rPr>
      </w:pPr>
      <w:r>
        <w:rPr>
          <w:rFonts w:hint="eastAsia"/>
          <w:color w:val="auto"/>
          <w:sz w:val="24"/>
          <w:highlight w:val="none"/>
        </w:rPr>
        <w:t>十一、国有资本经营预算财政拨款收入支出决算表</w:t>
      </w:r>
      <w:r>
        <w:rPr>
          <w:rFonts w:hint="eastAsia"/>
          <w:color w:val="auto"/>
          <w:sz w:val="24"/>
          <w:highlight w:val="none"/>
          <w:lang w:val="en-US" w:eastAsia="zh-CN"/>
        </w:rPr>
        <w:tab/>
        <w:t>22</w:t>
      </w:r>
    </w:p>
    <w:p>
      <w:pPr>
        <w:pStyle w:val="13"/>
        <w:adjustRightInd w:val="0"/>
        <w:snapToGrid w:val="0"/>
        <w:spacing w:line="440" w:lineRule="exact"/>
        <w:jc w:val="left"/>
        <w:rPr>
          <w:rFonts w:hint="default"/>
          <w:color w:val="auto"/>
          <w:sz w:val="24"/>
          <w:highlight w:val="none"/>
          <w:lang w:val="en-US"/>
        </w:rPr>
      </w:pPr>
      <w:r>
        <w:rPr>
          <w:rFonts w:hint="eastAsia"/>
          <w:color w:val="auto"/>
          <w:sz w:val="24"/>
          <w:highlight w:val="none"/>
        </w:rPr>
        <w:t>十二、</w:t>
      </w:r>
      <w:r>
        <w:rPr>
          <w:rFonts w:hint="eastAsia"/>
          <w:color w:val="auto"/>
          <w:sz w:val="24"/>
          <w:highlight w:val="none"/>
          <w:lang w:val="en-US" w:eastAsia="zh-CN"/>
        </w:rPr>
        <w:t>国有资本经营预算财政拨款支出决算表</w:t>
      </w:r>
      <w:r>
        <w:rPr>
          <w:rFonts w:hint="eastAsia"/>
          <w:color w:val="auto"/>
          <w:sz w:val="24"/>
          <w:highlight w:val="none"/>
          <w:lang w:val="en-US" w:eastAsia="zh-CN"/>
        </w:rPr>
        <w:tab/>
        <w:t>22</w:t>
      </w:r>
    </w:p>
    <w:p>
      <w:pPr>
        <w:pStyle w:val="13"/>
        <w:adjustRightInd w:val="0"/>
        <w:snapToGrid w:val="0"/>
        <w:spacing w:line="440" w:lineRule="exact"/>
        <w:jc w:val="left"/>
        <w:rPr>
          <w:rFonts w:hint="default" w:ascii="宋体" w:hAnsi="宋体" w:eastAsia="宋体" w:cs="宋体"/>
          <w:color w:val="auto"/>
          <w:sz w:val="24"/>
          <w:highlight w:val="none"/>
          <w:lang w:val="en-US" w:eastAsia="zh-CN"/>
        </w:rPr>
      </w:pPr>
      <w:r>
        <w:rPr>
          <w:rFonts w:hint="eastAsia"/>
          <w:color w:val="auto"/>
          <w:sz w:val="24"/>
          <w:highlight w:val="none"/>
        </w:rPr>
        <w:t>十三、财政拨款“三公”经费支出决算表</w:t>
      </w:r>
      <w:r>
        <w:rPr>
          <w:rFonts w:hint="eastAsia"/>
          <w:color w:val="auto"/>
          <w:sz w:val="24"/>
          <w:highlight w:val="none"/>
          <w:lang w:val="en-US" w:eastAsia="zh-CN"/>
        </w:rPr>
        <w:tab/>
        <w:t>22</w:t>
      </w:r>
    </w:p>
    <w:p>
      <w:pPr>
        <w:pStyle w:val="4"/>
        <w:jc w:val="center"/>
        <w:rPr>
          <w:rFonts w:hint="eastAsia" w:ascii="黑体" w:hAnsi="黑体" w:eastAsia="黑体"/>
          <w:b w:val="0"/>
        </w:rPr>
        <w:sectPr>
          <w:headerReference r:id="rId3" w:type="default"/>
          <w:pgSz w:w="11906" w:h="16838"/>
          <w:pgMar w:top="1440" w:right="1800" w:bottom="1440" w:left="1800" w:header="851" w:footer="992" w:gutter="0"/>
          <w:pgNumType w:fmt="decimal" w:start="1"/>
          <w:cols w:space="425" w:num="1"/>
          <w:titlePg/>
          <w:docGrid w:type="lines" w:linePitch="312" w:charSpace="0"/>
        </w:sectPr>
      </w:pPr>
    </w:p>
    <w:p>
      <w:pPr>
        <w:pStyle w:val="4"/>
        <w:jc w:val="center"/>
        <w:rPr>
          <w:rStyle w:val="30"/>
          <w:rFonts w:ascii="黑体" w:hAnsi="黑体" w:eastAsia="黑体"/>
          <w:b/>
          <w:bCs w:val="0"/>
        </w:rPr>
      </w:pPr>
      <w:bookmarkStart w:id="12" w:name="_Toc26150"/>
      <w:bookmarkStart w:id="13" w:name="_Toc16716"/>
      <w:bookmarkStart w:id="14" w:name="_Toc32620"/>
      <w:r>
        <w:rPr>
          <w:rFonts w:hint="eastAsia" w:ascii="黑体" w:hAnsi="黑体" w:eastAsia="黑体"/>
          <w:b w:val="0"/>
        </w:rPr>
        <w:t xml:space="preserve">第一部分 </w:t>
      </w:r>
      <w:r>
        <w:rPr>
          <w:rStyle w:val="30"/>
          <w:rFonts w:hint="eastAsia" w:ascii="黑体" w:hAnsi="黑体" w:eastAsia="黑体"/>
          <w:b w:val="0"/>
          <w:bCs w:val="0"/>
        </w:rPr>
        <w:t>部门概况</w:t>
      </w:r>
      <w:bookmarkEnd w:id="10"/>
      <w:bookmarkEnd w:id="11"/>
      <w:bookmarkEnd w:id="12"/>
      <w:bookmarkEnd w:id="13"/>
      <w:bookmarkEnd w:id="14"/>
    </w:p>
    <w:p>
      <w:pPr>
        <w:widowControl/>
        <w:jc w:val="left"/>
        <w:rPr>
          <w:rFonts w:ascii="黑体" w:eastAsia="黑体"/>
          <w:sz w:val="32"/>
          <w:szCs w:val="32"/>
        </w:rPr>
      </w:pPr>
    </w:p>
    <w:p>
      <w:pPr>
        <w:pStyle w:val="5"/>
        <w:numPr>
          <w:ilvl w:val="0"/>
          <w:numId w:val="1"/>
        </w:numPr>
        <w:rPr>
          <w:rFonts w:hint="eastAsia" w:ascii="黑体" w:hAnsi="黑体" w:eastAsia="黑体"/>
          <w:b w:val="0"/>
          <w:color w:val="auto"/>
          <w:highlight w:val="none"/>
          <w:lang w:eastAsia="zh-CN"/>
        </w:rPr>
      </w:pPr>
      <w:bookmarkStart w:id="15" w:name="_Toc20482"/>
      <w:bookmarkStart w:id="16" w:name="_Toc22540"/>
      <w:bookmarkStart w:id="17" w:name="_Toc1497"/>
      <w:r>
        <w:rPr>
          <w:rFonts w:hint="eastAsia" w:ascii="黑体" w:hAnsi="黑体" w:eastAsia="黑体"/>
          <w:b w:val="0"/>
          <w:color w:val="auto"/>
          <w:highlight w:val="none"/>
          <w:lang w:eastAsia="zh-CN"/>
        </w:rPr>
        <w:t>部门职责</w:t>
      </w:r>
      <w:bookmarkEnd w:id="15"/>
      <w:bookmarkEnd w:id="16"/>
      <w:bookmarkEnd w:id="17"/>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bookmarkStart w:id="18" w:name="_Toc15377200"/>
      <w:bookmarkStart w:id="19" w:name="_Toc15396601"/>
      <w:r>
        <w:rPr>
          <w:rFonts w:hint="eastAsia" w:ascii="仿宋_GB2312" w:hAnsi="仿宋" w:eastAsia="仿宋_GB2312"/>
          <w:sz w:val="32"/>
          <w:szCs w:val="32"/>
          <w:lang w:val="en-US" w:eastAsia="zh-CN"/>
        </w:rPr>
        <w:t>1.</w:t>
      </w:r>
      <w:r>
        <w:rPr>
          <w:rFonts w:hint="eastAsia" w:ascii="仿宋_GB2312" w:hAnsi="仿宋" w:eastAsia="仿宋_GB2312"/>
          <w:sz w:val="32"/>
          <w:szCs w:val="32"/>
        </w:rPr>
        <w:t>宣传、贯彻《中华人民共和国红十字会法》，执行《中国红十字会章程》，推动全县红十字会工作的开展。</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开展全县救援、救灾相关工作。在自然灾害和突发事件中，协助开展救护和救助工作;调查了解灾情，依法开展募捐活动;依法接受国内外组织和个人的捐赠;及时向灾区群众和受难者提供人道主义援助。</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开展应急救护培训，普及应急救护、防灾避险和卫生健康知识，组织志愿者参与现场救护。</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参与、推动无偿献血、遗体和人体器官捐献工作，参与开展造血干细胞捐献的相关工作。</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开展红十字志愿服务活动，开展有益于青少年身心健康的红十字青少年活动。</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6.</w:t>
      </w:r>
      <w:r>
        <w:rPr>
          <w:rFonts w:hint="eastAsia" w:ascii="仿宋_GB2312" w:hAnsi="仿宋" w:eastAsia="仿宋_GB2312"/>
          <w:sz w:val="32"/>
          <w:szCs w:val="32"/>
        </w:rPr>
        <w:t>宣传国际红十字和红新月运动的基本原则和日内瓦公约及其附加议定书，并依照有关规定开展工作。</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7.</w:t>
      </w:r>
      <w:r>
        <w:rPr>
          <w:rFonts w:hint="eastAsia" w:ascii="仿宋_GB2312" w:hAnsi="仿宋" w:eastAsia="仿宋_GB2312"/>
          <w:sz w:val="32"/>
          <w:szCs w:val="32"/>
        </w:rPr>
        <w:t>发展与各地红十字会之间的友好交往，开展人道领域方面的交流与合作。</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Style w:val="37"/>
          <w:rFonts w:hint="eastAsia" w:ascii="黑体" w:hAnsi="黑体" w:eastAsia="黑体"/>
          <w:b w:val="0"/>
          <w:bCs w:val="0"/>
          <w:color w:val="auto"/>
          <w:highlight w:val="none"/>
        </w:rPr>
      </w:pPr>
      <w:r>
        <w:rPr>
          <w:rFonts w:hint="eastAsia" w:ascii="仿宋_GB2312" w:hAnsi="仿宋" w:eastAsia="仿宋_GB2312"/>
          <w:b w:val="0"/>
          <w:bCs w:val="0"/>
          <w:sz w:val="32"/>
          <w:szCs w:val="32"/>
          <w:lang w:val="en-US" w:eastAsia="zh-CN"/>
        </w:rPr>
        <w:t>8.</w:t>
      </w:r>
      <w:r>
        <w:rPr>
          <w:rFonts w:hint="eastAsia" w:ascii="仿宋_GB2312" w:hAnsi="仿宋" w:eastAsia="仿宋_GB2312"/>
          <w:b w:val="0"/>
          <w:bCs w:val="0"/>
          <w:sz w:val="32"/>
          <w:szCs w:val="32"/>
        </w:rPr>
        <w:t>完成县委、县政府以及上级红十字会交办的其他工作。</w:t>
      </w:r>
      <w:r>
        <w:rPr>
          <w:rStyle w:val="37"/>
          <w:rFonts w:hint="eastAsia" w:ascii="黑体" w:hAnsi="黑体" w:eastAsia="黑体"/>
          <w:b w:val="0"/>
          <w:bCs w:val="0"/>
          <w:color w:val="auto"/>
          <w:highlight w:val="none"/>
        </w:rPr>
        <w:t>二、机构设置</w:t>
      </w:r>
      <w:bookmarkEnd w:id="18"/>
      <w:bookmarkEnd w:id="19"/>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马边彝族自治县红十字会</w:t>
      </w:r>
      <w:r>
        <w:rPr>
          <w:rFonts w:hint="eastAsia" w:ascii="仿宋_GB2312" w:hAnsi="仿宋_GB2312" w:eastAsia="仿宋_GB2312" w:cs="仿宋_GB2312"/>
          <w:sz w:val="32"/>
          <w:szCs w:val="32"/>
        </w:rPr>
        <w:t>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为公益一类</w:t>
      </w:r>
      <w:r>
        <w:rPr>
          <w:rFonts w:hint="eastAsia" w:ascii="仿宋_GB2312" w:hAnsi="仿宋_GB2312" w:eastAsia="仿宋_GB2312" w:cs="仿宋_GB2312"/>
          <w:sz w:val="32"/>
          <w:szCs w:val="32"/>
        </w:rPr>
        <w:t>事业单位。</w:t>
      </w:r>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w:t>
      </w:r>
      <w:r>
        <w:rPr>
          <w:rFonts w:hint="eastAsia" w:ascii="仿宋_GB2312" w:hAnsi="仿宋_GB2312" w:eastAsia="仿宋_GB2312" w:cs="仿宋_GB2312"/>
          <w:sz w:val="32"/>
          <w:szCs w:val="32"/>
          <w:lang w:val="en-US" w:eastAsia="zh-CN"/>
        </w:rPr>
        <w:t>马边彝族自治县红十字会</w:t>
      </w: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年度部门决算编制范围的二级预算单位</w:t>
      </w:r>
      <w:r>
        <w:rPr>
          <w:rFonts w:hint="eastAsia" w:ascii="仿宋_GB2312" w:hAnsi="仿宋_GB2312" w:eastAsia="仿宋_GB2312" w:cs="仿宋_GB2312"/>
          <w:sz w:val="32"/>
          <w:szCs w:val="32"/>
          <w:lang w:val="en-US" w:eastAsia="zh-CN"/>
        </w:rPr>
        <w:t>有1个，为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马边彝族自治县红十字会。</w:t>
      </w:r>
    </w:p>
    <w:p>
      <w:pPr>
        <w:widowControl/>
        <w:jc w:val="left"/>
        <w:rPr>
          <w:rFonts w:hint="eastAsia" w:ascii="黑体" w:hAnsi="黑体" w:eastAsia="黑体"/>
          <w:b w:val="0"/>
        </w:rPr>
      </w:pPr>
      <w:bookmarkStart w:id="20" w:name="_Toc15377204"/>
      <w:bookmarkStart w:id="21" w:name="_Toc15396602"/>
    </w:p>
    <w:p>
      <w:pPr>
        <w:widowControl/>
        <w:jc w:val="center"/>
        <w:rPr>
          <w:rStyle w:val="30"/>
          <w:rFonts w:hint="eastAsia" w:ascii="黑体" w:hAnsi="黑体" w:eastAsia="黑体" w:cstheme="minorBidi"/>
          <w:b w:val="0"/>
          <w:bCs/>
        </w:rPr>
      </w:pPr>
    </w:p>
    <w:p>
      <w:pPr>
        <w:widowControl/>
        <w:jc w:val="center"/>
        <w:rPr>
          <w:rStyle w:val="30"/>
          <w:rFonts w:ascii="黑体" w:hAnsi="黑体" w:eastAsia="黑体"/>
          <w:b w:val="0"/>
          <w:bCs/>
        </w:rPr>
      </w:pPr>
      <w:bookmarkStart w:id="22" w:name="_Toc9126"/>
      <w:bookmarkStart w:id="23" w:name="_Toc18083"/>
      <w:bookmarkStart w:id="24" w:name="_Toc4163"/>
      <w:r>
        <w:rPr>
          <w:rStyle w:val="30"/>
          <w:rFonts w:hint="eastAsia" w:ascii="黑体" w:hAnsi="黑体" w:eastAsia="黑体" w:cstheme="minorBidi"/>
          <w:b w:val="0"/>
          <w:bCs/>
        </w:rPr>
        <w:t>第二部分 2023年度部</w:t>
      </w:r>
      <w:r>
        <w:rPr>
          <w:rStyle w:val="30"/>
          <w:rFonts w:hint="eastAsia" w:ascii="黑体" w:hAnsi="黑体" w:eastAsia="黑体"/>
          <w:b w:val="0"/>
          <w:bCs/>
        </w:rPr>
        <w:t>门决算情况说明</w:t>
      </w:r>
      <w:bookmarkEnd w:id="20"/>
      <w:bookmarkEnd w:id="21"/>
    </w:p>
    <w:bookmarkEnd w:id="22"/>
    <w:bookmarkEnd w:id="23"/>
    <w:bookmarkEnd w:id="24"/>
    <w:p/>
    <w:p>
      <w:pPr>
        <w:pStyle w:val="29"/>
        <w:numPr>
          <w:ilvl w:val="0"/>
          <w:numId w:val="2"/>
        </w:numPr>
        <w:spacing w:line="600" w:lineRule="exact"/>
        <w:ind w:firstLineChars="0"/>
        <w:outlineLvl w:val="1"/>
        <w:rPr>
          <w:rStyle w:val="31"/>
          <w:rFonts w:ascii="黑体" w:hAnsi="黑体" w:eastAsia="黑体"/>
          <w:b w:val="0"/>
        </w:rPr>
      </w:pPr>
      <w:bookmarkStart w:id="25" w:name="_Toc15377205"/>
      <w:bookmarkStart w:id="26" w:name="_Toc15396603"/>
      <w:bookmarkStart w:id="27" w:name="_Toc28481"/>
      <w:bookmarkStart w:id="28" w:name="_Toc32332"/>
      <w:bookmarkStart w:id="29" w:name="_Toc17829"/>
      <w:r>
        <w:rPr>
          <w:rFonts w:hint="eastAsia" w:ascii="黑体" w:hAnsi="黑体" w:eastAsia="黑体"/>
          <w:sz w:val="32"/>
          <w:szCs w:val="32"/>
        </w:rPr>
        <w:t>收</w:t>
      </w:r>
      <w:r>
        <w:rPr>
          <w:rStyle w:val="31"/>
          <w:rFonts w:hint="eastAsia" w:ascii="黑体" w:hAnsi="黑体" w:eastAsia="黑体"/>
          <w:b w:val="0"/>
        </w:rPr>
        <w:t>入支出决算总体情况说明</w:t>
      </w:r>
      <w:bookmarkEnd w:id="25"/>
      <w:bookmarkEnd w:id="26"/>
      <w:bookmarkEnd w:id="27"/>
      <w:bookmarkEnd w:id="28"/>
      <w:bookmarkEnd w:id="29"/>
    </w:p>
    <w:p>
      <w:pPr>
        <w:numPr>
          <w:ilvl w:val="0"/>
          <w:numId w:val="0"/>
        </w:num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lang w:val="en-US" w:eastAsia="zh-CN"/>
        </w:rPr>
        <w:t>318.6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相比，收、支总计各增加</w:t>
      </w:r>
      <w:r>
        <w:rPr>
          <w:rFonts w:hint="eastAsia" w:ascii="仿宋_GB2312" w:hAnsi="仿宋_GB2312" w:eastAsia="仿宋_GB2312" w:cs="仿宋_GB2312"/>
          <w:sz w:val="32"/>
          <w:szCs w:val="32"/>
          <w:lang w:val="en-US" w:eastAsia="zh-CN"/>
        </w:rPr>
        <w:t>243.71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325.4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增加东西部协作项目，政府性基金预算项目也比上年度大幅度增加</w:t>
      </w:r>
      <w:r>
        <w:rPr>
          <w:rFonts w:hint="eastAsia" w:ascii="仿宋_GB2312" w:hAnsi="仿宋_GB2312" w:eastAsia="仿宋_GB2312" w:cs="仿宋_GB2312"/>
          <w:sz w:val="32"/>
          <w:szCs w:val="32"/>
          <w:lang w:eastAsia="zh-CN"/>
        </w:rPr>
        <w:t>。</w:t>
      </w:r>
    </w:p>
    <w:p>
      <w:pPr>
        <w:pStyle w:val="20"/>
        <w:rPr>
          <w:rFonts w:hint="eastAsia" w:ascii="仿宋" w:hAnsi="仿宋" w:eastAsia="仿宋"/>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299720</wp:posOffset>
            </wp:positionH>
            <wp:positionV relativeFrom="paragraph">
              <wp:posOffset>66675</wp:posOffset>
            </wp:positionV>
            <wp:extent cx="4676775" cy="2990215"/>
            <wp:effectExtent l="4445" t="4445" r="5080" b="15240"/>
            <wp:wrapTight wrapText="bothSides">
              <wp:wrapPolygon>
                <wp:start x="-21" y="-32"/>
                <wp:lineTo x="-21" y="21435"/>
                <wp:lineTo x="21535" y="21435"/>
                <wp:lineTo x="21535" y="-32"/>
                <wp:lineTo x="-21" y="-32"/>
              </wp:wrapPolygon>
            </wp:wrapTight>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pStyle w:val="20"/>
        <w:rPr>
          <w:rFonts w:hint="eastAsia" w:ascii="仿宋" w:hAnsi="仿宋" w:eastAsia="仿宋"/>
          <w:color w:val="auto"/>
          <w:sz w:val="32"/>
          <w:szCs w:val="32"/>
          <w:highlight w:val="none"/>
          <w:lang w:eastAsia="zh-CN"/>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29"/>
        <w:numPr>
          <w:ilvl w:val="0"/>
          <w:numId w:val="2"/>
        </w:numPr>
        <w:spacing w:line="600" w:lineRule="exact"/>
        <w:ind w:firstLineChars="0"/>
        <w:outlineLvl w:val="1"/>
        <w:rPr>
          <w:rStyle w:val="31"/>
          <w:rFonts w:ascii="黑体" w:hAnsi="黑体" w:eastAsia="黑体"/>
          <w:b w:val="0"/>
        </w:rPr>
      </w:pPr>
      <w:bookmarkStart w:id="30" w:name="_Toc15377206"/>
      <w:bookmarkStart w:id="31" w:name="_Toc15396604"/>
      <w:bookmarkStart w:id="32" w:name="_Toc2637"/>
      <w:bookmarkStart w:id="33" w:name="_Toc14647"/>
      <w:bookmarkStart w:id="34" w:name="_Toc24204"/>
      <w:r>
        <w:rPr>
          <w:rFonts w:hint="eastAsia" w:ascii="黑体" w:hAnsi="黑体" w:eastAsia="黑体"/>
          <w:sz w:val="32"/>
          <w:szCs w:val="32"/>
        </w:rPr>
        <w:t>收</w:t>
      </w:r>
      <w:r>
        <w:rPr>
          <w:rStyle w:val="31"/>
          <w:rFonts w:hint="eastAsia" w:ascii="黑体" w:hAnsi="黑体" w:eastAsia="黑体"/>
          <w:b w:val="0"/>
        </w:rPr>
        <w:t>入决算情况说明</w:t>
      </w:r>
      <w:bookmarkEnd w:id="30"/>
      <w:bookmarkEnd w:id="31"/>
      <w:bookmarkEnd w:id="32"/>
      <w:bookmarkEnd w:id="33"/>
      <w:bookmarkEnd w:id="34"/>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本年收入合计318.6万元，其中：一般公共预算财政拨款收入294.84万元，占92.54%；政府性基金预算财政拨款收入23.76万元，占7.45%；国有资本经营预算财政拨款收入0万元，占0%；上级补助收入0万元，占0%；事业收入0万元，占0%；经营收入0万元，占0%；附属单位上缴收入0万元，占0%；其他收入0万元，占0%。</w:t>
      </w:r>
    </w:p>
    <w:p>
      <w:pPr>
        <w:spacing w:line="600" w:lineRule="exact"/>
        <w:ind w:firstLine="420" w:firstLineChars="200"/>
        <w:outlineLvl w:val="1"/>
        <w:rPr>
          <w:rFonts w:ascii="仿宋" w:hAnsi="仿宋" w:eastAsia="仿宋"/>
          <w:sz w:val="32"/>
          <w:szCs w:val="32"/>
        </w:rPr>
      </w:pPr>
      <w:r>
        <w:drawing>
          <wp:anchor distT="0" distB="0" distL="114300" distR="114300" simplePos="0" relativeHeight="251661312" behindDoc="1" locked="0" layoutInCell="1" allowOverlap="1">
            <wp:simplePos x="0" y="0"/>
            <wp:positionH relativeFrom="column">
              <wp:posOffset>128270</wp:posOffset>
            </wp:positionH>
            <wp:positionV relativeFrom="paragraph">
              <wp:posOffset>204470</wp:posOffset>
            </wp:positionV>
            <wp:extent cx="4572000" cy="2640330"/>
            <wp:effectExtent l="4445" t="4445" r="14605" b="22225"/>
            <wp:wrapTight wrapText="bothSides">
              <wp:wrapPolygon>
                <wp:start x="-21" y="-36"/>
                <wp:lineTo x="-21" y="21470"/>
                <wp:lineTo x="21579" y="21470"/>
                <wp:lineTo x="21579" y="-36"/>
                <wp:lineTo x="-21" y="-36"/>
              </wp:wrapPolygon>
            </wp:wrapTight>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0"/>
        <w:rPr>
          <w:rFonts w:ascii="仿宋" w:hAnsi="仿宋" w:eastAsia="仿宋"/>
          <w:sz w:val="32"/>
          <w:szCs w:val="32"/>
        </w:rPr>
      </w:pPr>
    </w:p>
    <w:p>
      <w:pPr>
        <w:pStyle w:val="20"/>
        <w:rPr>
          <w:rFonts w:ascii="仿宋" w:hAnsi="仿宋" w:eastAsia="仿宋"/>
          <w:sz w:val="32"/>
          <w:szCs w:val="32"/>
        </w:rPr>
      </w:pPr>
    </w:p>
    <w:p>
      <w:pPr>
        <w:pStyle w:val="20"/>
        <w:rPr>
          <w:rFonts w:ascii="仿宋" w:hAnsi="仿宋" w:eastAsia="仿宋"/>
          <w:sz w:val="32"/>
          <w:szCs w:val="32"/>
        </w:rPr>
      </w:pPr>
    </w:p>
    <w:p>
      <w:pPr>
        <w:pStyle w:val="20"/>
        <w:rPr>
          <w:rFonts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pPr>
        <w:spacing w:line="600" w:lineRule="exact"/>
        <w:ind w:firstLine="640" w:firstLineChars="200"/>
        <w:rPr>
          <w:rFonts w:ascii="仿宋_GB2312" w:eastAsia="仿宋_GB2312"/>
          <w:sz w:val="32"/>
          <w:szCs w:val="32"/>
        </w:rPr>
      </w:pPr>
    </w:p>
    <w:p>
      <w:pPr>
        <w:pStyle w:val="29"/>
        <w:numPr>
          <w:ilvl w:val="0"/>
          <w:numId w:val="2"/>
        </w:numPr>
        <w:spacing w:line="600" w:lineRule="exact"/>
        <w:ind w:firstLineChars="0"/>
        <w:outlineLvl w:val="1"/>
        <w:rPr>
          <w:rStyle w:val="31"/>
          <w:rFonts w:ascii="黑体" w:hAnsi="黑体" w:eastAsia="黑体"/>
          <w:b w:val="0"/>
        </w:rPr>
      </w:pPr>
      <w:bookmarkStart w:id="35" w:name="_Toc15377207"/>
      <w:bookmarkStart w:id="36" w:name="_Toc15396605"/>
      <w:bookmarkStart w:id="37" w:name="_Toc28457"/>
      <w:bookmarkStart w:id="38" w:name="_Toc15314"/>
      <w:bookmarkStart w:id="39" w:name="_Toc12860"/>
      <w:r>
        <w:rPr>
          <w:rFonts w:hint="eastAsia" w:ascii="黑体" w:hAnsi="黑体" w:eastAsia="黑体"/>
          <w:sz w:val="32"/>
          <w:szCs w:val="32"/>
        </w:rPr>
        <w:t>支</w:t>
      </w:r>
      <w:r>
        <w:rPr>
          <w:rStyle w:val="31"/>
          <w:rFonts w:hint="eastAsia" w:ascii="黑体" w:hAnsi="黑体" w:eastAsia="黑体"/>
          <w:b w:val="0"/>
        </w:rPr>
        <w:t>出决算情况说明</w:t>
      </w:r>
      <w:bookmarkEnd w:id="35"/>
      <w:bookmarkEnd w:id="36"/>
      <w:bookmarkEnd w:id="37"/>
      <w:bookmarkEnd w:id="38"/>
      <w:bookmarkEnd w:id="39"/>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2023年度本年支出合计318.6万元，其中：基本支出89.05万元，占27.95%；项目支出229.55万元，占72.04%；上缴上级支出0万元，占0%；经营支出0万元，占0%；对附属单位补助支出0万元，占0%。</w:t>
      </w:r>
    </w:p>
    <w:p>
      <w:pPr>
        <w:spacing w:line="600" w:lineRule="exact"/>
        <w:ind w:firstLine="640"/>
        <w:rPr>
          <w:rFonts w:ascii="仿宋" w:hAnsi="仿宋" w:eastAsia="仿宋"/>
          <w:sz w:val="32"/>
          <w:szCs w:val="32"/>
          <w:shd w:val="pct10" w:color="auto" w:fill="FFFFFF"/>
        </w:rPr>
      </w:pPr>
      <w:r>
        <w:drawing>
          <wp:anchor distT="0" distB="0" distL="114300" distR="114300" simplePos="0" relativeHeight="251662336" behindDoc="1" locked="0" layoutInCell="1" allowOverlap="1">
            <wp:simplePos x="0" y="0"/>
            <wp:positionH relativeFrom="column">
              <wp:posOffset>349885</wp:posOffset>
            </wp:positionH>
            <wp:positionV relativeFrom="paragraph">
              <wp:posOffset>208280</wp:posOffset>
            </wp:positionV>
            <wp:extent cx="4010660" cy="1864995"/>
            <wp:effectExtent l="4445" t="4445" r="23495" b="73660"/>
            <wp:wrapTight wrapText="bothSides">
              <wp:wrapPolygon>
                <wp:start x="-24" y="-51"/>
                <wp:lineTo x="-24" y="21350"/>
                <wp:lineTo x="21521" y="21350"/>
                <wp:lineTo x="21521" y="-51"/>
                <wp:lineTo x="-24" y="-51"/>
              </wp:wrapPolygon>
            </wp:wrapTight>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0"/>
        <w:rPr>
          <w:rFonts w:ascii="仿宋" w:hAnsi="仿宋" w:eastAsia="仿宋"/>
          <w:sz w:val="32"/>
          <w:szCs w:val="32"/>
          <w:shd w:val="pct10" w:color="auto" w:fill="FFFFFF"/>
        </w:rPr>
      </w:pPr>
    </w:p>
    <w:p>
      <w:pPr>
        <w:pStyle w:val="20"/>
        <w:rPr>
          <w:rFonts w:ascii="仿宋" w:hAnsi="仿宋" w:eastAsia="仿宋"/>
          <w:sz w:val="32"/>
          <w:szCs w:val="32"/>
          <w:shd w:val="pct10" w:color="auto" w:fill="FFFFFF"/>
        </w:rPr>
      </w:pPr>
    </w:p>
    <w:p>
      <w:pPr>
        <w:pStyle w:val="20"/>
        <w:rPr>
          <w:rFonts w:ascii="仿宋" w:hAnsi="仿宋" w:eastAsia="仿宋"/>
          <w:sz w:val="32"/>
          <w:szCs w:val="32"/>
          <w:shd w:val="pct10" w:color="auto" w:fill="FFFFFF"/>
        </w:rPr>
      </w:pPr>
    </w:p>
    <w:p>
      <w:pPr>
        <w:spacing w:line="600" w:lineRule="exact"/>
        <w:ind w:firstLine="640" w:firstLineChars="200"/>
        <w:rPr>
          <w:rFonts w:ascii="仿宋_GB2312" w:eastAsia="仿宋_GB2312"/>
          <w:sz w:val="32"/>
          <w:szCs w:val="32"/>
        </w:rPr>
      </w:pPr>
      <w:r>
        <w:rPr>
          <w:rFonts w:hint="eastAsia" w:ascii="仿宋" w:hAnsi="仿宋" w:eastAsia="仿宋"/>
          <w:sz w:val="32"/>
          <w:szCs w:val="32"/>
        </w:rPr>
        <w:t>（图3：支出决算结构图）（饼状图）</w:t>
      </w:r>
    </w:p>
    <w:p>
      <w:pPr>
        <w:spacing w:line="600" w:lineRule="exact"/>
        <w:ind w:firstLine="640" w:firstLineChars="200"/>
        <w:outlineLvl w:val="1"/>
        <w:rPr>
          <w:rStyle w:val="31"/>
          <w:rFonts w:ascii="黑体" w:hAnsi="黑体" w:eastAsia="黑体"/>
          <w:b w:val="0"/>
        </w:rPr>
      </w:pPr>
      <w:bookmarkStart w:id="40" w:name="_Toc15377208"/>
      <w:bookmarkStart w:id="41" w:name="_Toc15396606"/>
      <w:bookmarkStart w:id="42" w:name="_Toc14439"/>
      <w:bookmarkStart w:id="43" w:name="_Toc5181"/>
      <w:bookmarkStart w:id="44" w:name="_Toc16597"/>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40"/>
      <w:bookmarkEnd w:id="41"/>
      <w:bookmarkEnd w:id="42"/>
      <w:bookmarkEnd w:id="43"/>
      <w:bookmarkEnd w:id="44"/>
    </w:p>
    <w:p>
      <w:pPr>
        <w:numPr>
          <w:ilvl w:val="0"/>
          <w:numId w:val="0"/>
        </w:num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2023年度财政拨款收、支总计均为318.6万元。与2022年度相比，财政拨款收、支总计各增加</w:t>
      </w:r>
      <w:r>
        <w:rPr>
          <w:rFonts w:hint="eastAsia" w:ascii="仿宋_GB2312" w:hAnsi="仿宋_GB2312" w:eastAsia="仿宋_GB2312" w:cs="仿宋_GB2312"/>
          <w:sz w:val="32"/>
          <w:szCs w:val="32"/>
          <w:lang w:val="en-US" w:eastAsia="zh-CN"/>
        </w:rPr>
        <w:t>243.71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325.4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增加东西部协作项目，政府性基金预算项目也比上年度大幅度增加</w:t>
      </w:r>
      <w:r>
        <w:rPr>
          <w:rFonts w:hint="eastAsia" w:ascii="仿宋_GB2312" w:hAnsi="仿宋_GB2312" w:eastAsia="仿宋_GB2312" w:cs="仿宋_GB2312"/>
          <w:sz w:val="32"/>
          <w:szCs w:val="32"/>
          <w:lang w:eastAsia="zh-CN"/>
        </w:rPr>
        <w:t>。</w:t>
      </w:r>
    </w:p>
    <w:p>
      <w:pPr>
        <w:spacing w:line="600" w:lineRule="exact"/>
        <w:ind w:firstLine="640"/>
        <w:rPr>
          <w:rFonts w:ascii="仿宋" w:hAnsi="仿宋" w:eastAsia="仿宋"/>
          <w:sz w:val="32"/>
          <w:szCs w:val="32"/>
        </w:rPr>
      </w:pPr>
      <w:r>
        <w:drawing>
          <wp:anchor distT="0" distB="0" distL="114300" distR="114300" simplePos="0" relativeHeight="251663360" behindDoc="1" locked="0" layoutInCell="1" allowOverlap="1">
            <wp:simplePos x="0" y="0"/>
            <wp:positionH relativeFrom="column">
              <wp:posOffset>471170</wp:posOffset>
            </wp:positionH>
            <wp:positionV relativeFrom="paragraph">
              <wp:posOffset>23495</wp:posOffset>
            </wp:positionV>
            <wp:extent cx="4572000" cy="2486025"/>
            <wp:effectExtent l="4445" t="4445" r="14605" b="5080"/>
            <wp:wrapTight wrapText="bothSides">
              <wp:wrapPolygon>
                <wp:start x="-21" y="-39"/>
                <wp:lineTo x="-21" y="21479"/>
                <wp:lineTo x="21579" y="21479"/>
                <wp:lineTo x="21579" y="-39"/>
                <wp:lineTo x="-21" y="-39"/>
              </wp:wrapPolygon>
            </wp:wrapTight>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spacing w:line="600" w:lineRule="exact"/>
        <w:rPr>
          <w:rFonts w:ascii="仿宋" w:hAnsi="仿宋" w:eastAsia="仿宋"/>
          <w:sz w:val="32"/>
          <w:szCs w:val="32"/>
        </w:rPr>
      </w:pPr>
    </w:p>
    <w:p>
      <w:pPr>
        <w:pStyle w:val="20"/>
        <w:rPr>
          <w:rFonts w:ascii="仿宋" w:hAnsi="仿宋" w:eastAsia="仿宋"/>
          <w:sz w:val="32"/>
          <w:szCs w:val="32"/>
        </w:rPr>
      </w:pPr>
    </w:p>
    <w:p>
      <w:pPr>
        <w:pStyle w:val="20"/>
        <w:rPr>
          <w:rFonts w:ascii="仿宋" w:hAnsi="仿宋" w:eastAsia="仿宋"/>
          <w:sz w:val="32"/>
          <w:szCs w:val="32"/>
        </w:rPr>
      </w:pPr>
    </w:p>
    <w:p>
      <w:pPr>
        <w:pStyle w:val="20"/>
        <w:rPr>
          <w:rFonts w:ascii="仿宋" w:hAnsi="仿宋" w:eastAsia="仿宋"/>
          <w:sz w:val="32"/>
          <w:szCs w:val="32"/>
        </w:rPr>
      </w:pPr>
    </w:p>
    <w:p>
      <w:pPr>
        <w:spacing w:line="600" w:lineRule="exact"/>
        <w:ind w:firstLine="640" w:firstLineChars="200"/>
      </w:pPr>
      <w:r>
        <w:rPr>
          <w:rFonts w:hint="eastAsia" w:ascii="仿宋" w:hAnsi="仿宋" w:eastAsia="仿宋"/>
          <w:sz w:val="32"/>
          <w:szCs w:val="32"/>
        </w:rPr>
        <w:t>（图4：财政拨款收、支决算总计变动情况）（柱状图）</w:t>
      </w:r>
    </w:p>
    <w:p>
      <w:pPr>
        <w:spacing w:line="600" w:lineRule="exact"/>
        <w:ind w:firstLine="640" w:firstLineChars="200"/>
        <w:outlineLvl w:val="1"/>
        <w:rPr>
          <w:rStyle w:val="31"/>
          <w:rFonts w:ascii="黑体" w:hAnsi="黑体" w:eastAsia="黑体"/>
          <w:b w:val="0"/>
        </w:rPr>
      </w:pPr>
      <w:bookmarkStart w:id="45" w:name="_Toc15377209"/>
      <w:bookmarkStart w:id="46" w:name="_Toc15396607"/>
      <w:bookmarkStart w:id="47" w:name="_Toc16906"/>
      <w:bookmarkStart w:id="48" w:name="_Toc29229"/>
      <w:bookmarkStart w:id="49" w:name="_Toc10730"/>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45"/>
      <w:bookmarkEnd w:id="46"/>
      <w:bookmarkEnd w:id="47"/>
      <w:bookmarkEnd w:id="48"/>
      <w:bookmarkEnd w:id="49"/>
    </w:p>
    <w:p>
      <w:pPr>
        <w:spacing w:line="600" w:lineRule="exact"/>
        <w:ind w:firstLine="643" w:firstLineChars="200"/>
        <w:outlineLvl w:val="2"/>
        <w:rPr>
          <w:rFonts w:ascii="仿宋" w:hAnsi="仿宋" w:eastAsia="仿宋"/>
          <w:b/>
          <w:sz w:val="32"/>
          <w:szCs w:val="32"/>
        </w:rPr>
      </w:pPr>
      <w:bookmarkStart w:id="50" w:name="_Toc15377210"/>
      <w:bookmarkStart w:id="51" w:name="_Toc26554"/>
      <w:r>
        <w:rPr>
          <w:rFonts w:hint="eastAsia" w:ascii="仿宋" w:hAnsi="仿宋" w:eastAsia="仿宋"/>
          <w:b/>
          <w:sz w:val="32"/>
          <w:szCs w:val="32"/>
        </w:rPr>
        <w:t>（一）一般公共预算财政拨款支出决算总体情况</w:t>
      </w:r>
      <w:bookmarkEnd w:id="50"/>
      <w:bookmarkEnd w:id="51"/>
    </w:p>
    <w:p>
      <w:pPr>
        <w:spacing w:line="240" w:lineRule="auto"/>
        <w:ind w:firstLine="640" w:firstLineChars="200"/>
        <w:rPr>
          <w:rFonts w:hint="eastAsia" w:ascii="仿宋" w:hAnsi="仿宋" w:eastAsia="仿宋"/>
          <w:color w:val="auto"/>
          <w:sz w:val="32"/>
          <w:szCs w:val="32"/>
          <w:highlight w:val="none"/>
          <w:lang w:eastAsia="zh-CN"/>
        </w:rPr>
      </w:pPr>
      <w:r>
        <w:rPr>
          <w:rFonts w:hint="eastAsia" w:ascii="仿宋_GB2312" w:hAnsi="仿宋_GB2312" w:eastAsia="仿宋_GB2312" w:cs="仿宋_GB2312"/>
          <w:sz w:val="32"/>
          <w:szCs w:val="32"/>
        </w:rPr>
        <w:t>2023年度一般公共预算财政拨款支出294.84万元，占本年支出合计的92.54%。与2022年度相比，一般公共预算财政拨款支出增加</w:t>
      </w:r>
      <w:r>
        <w:rPr>
          <w:rFonts w:hint="eastAsia" w:ascii="仿宋_GB2312" w:hAnsi="仿宋_GB2312" w:eastAsia="仿宋_GB2312" w:cs="仿宋_GB2312"/>
          <w:sz w:val="32"/>
          <w:szCs w:val="32"/>
          <w:lang w:val="en-US" w:eastAsia="zh-CN"/>
        </w:rPr>
        <w:t>219.95</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293.7</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增加东西部协作项目，政府性基金预算项目也比上年度大幅度增加</w:t>
      </w:r>
      <w:r>
        <w:rPr>
          <w:rFonts w:hint="eastAsia" w:ascii="仿宋_GB2312" w:hAnsi="仿宋_GB2312" w:eastAsia="仿宋_GB2312" w:cs="仿宋_GB2312"/>
          <w:sz w:val="32"/>
          <w:szCs w:val="32"/>
          <w:lang w:eastAsia="zh-CN"/>
        </w:rPr>
        <w:t>。</w:t>
      </w:r>
    </w:p>
    <w:p>
      <w:pPr>
        <w:pStyle w:val="20"/>
        <w:rPr>
          <w:rFonts w:ascii="仿宋" w:hAnsi="仿宋" w:eastAsia="仿宋"/>
          <w:sz w:val="32"/>
          <w:szCs w:val="32"/>
        </w:rPr>
      </w:pPr>
      <w:r>
        <w:drawing>
          <wp:anchor distT="0" distB="0" distL="114300" distR="114300" simplePos="0" relativeHeight="251664384" behindDoc="1" locked="0" layoutInCell="1" allowOverlap="1">
            <wp:simplePos x="0" y="0"/>
            <wp:positionH relativeFrom="column">
              <wp:posOffset>185420</wp:posOffset>
            </wp:positionH>
            <wp:positionV relativeFrom="paragraph">
              <wp:posOffset>51435</wp:posOffset>
            </wp:positionV>
            <wp:extent cx="5228590" cy="2961640"/>
            <wp:effectExtent l="4445" t="4445" r="5715" b="5715"/>
            <wp:wrapTight wrapText="bothSides">
              <wp:wrapPolygon>
                <wp:start x="-18" y="-32"/>
                <wp:lineTo x="-18" y="21503"/>
                <wp:lineTo x="21545" y="21503"/>
                <wp:lineTo x="21545" y="-32"/>
                <wp:lineTo x="-18" y="-32"/>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sz w:val="32"/>
          <w:szCs w:val="32"/>
        </w:rPr>
        <w:t>（图5：一般公共预算财政拨款支出决算变动情况）（柱状图）</w:t>
      </w:r>
    </w:p>
    <w:p>
      <w:pPr>
        <w:spacing w:line="600" w:lineRule="exact"/>
        <w:ind w:firstLine="643" w:firstLineChars="200"/>
        <w:outlineLvl w:val="2"/>
        <w:rPr>
          <w:rFonts w:ascii="仿宋" w:hAnsi="仿宋" w:eastAsia="仿宋"/>
          <w:b/>
          <w:sz w:val="32"/>
          <w:szCs w:val="32"/>
        </w:rPr>
      </w:pPr>
      <w:bookmarkStart w:id="52" w:name="_Toc15377211"/>
      <w:bookmarkStart w:id="53" w:name="_Toc5838"/>
      <w:r>
        <w:rPr>
          <w:rFonts w:hint="eastAsia" w:ascii="仿宋" w:hAnsi="仿宋" w:eastAsia="仿宋"/>
          <w:b/>
          <w:sz w:val="32"/>
          <w:szCs w:val="32"/>
        </w:rPr>
        <w:t>（二）一般公共预算财政拨款支出决算结构情况</w:t>
      </w:r>
      <w:bookmarkEnd w:id="52"/>
      <w:bookmarkEnd w:id="53"/>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2023年度一般公共预算财政拨款支出294.84万元，主要用于以下方面:</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_GB2312" w:hAnsi="仿宋_GB2312" w:eastAsia="仿宋_GB2312" w:cs="仿宋_GB2312"/>
          <w:sz w:val="32"/>
          <w:szCs w:val="32"/>
          <w:lang w:val="en-US" w:eastAsia="zh-CN"/>
        </w:rPr>
        <w:t>79.18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26.9</w:t>
      </w:r>
      <w:r>
        <w:rPr>
          <w:rFonts w:hint="eastAsia" w:ascii="仿宋_GB2312" w:hAnsi="仿宋_GB2312" w:eastAsia="仿宋_GB2312" w:cs="仿宋_GB2312"/>
          <w:sz w:val="32"/>
          <w:szCs w:val="32"/>
        </w:rPr>
        <w:t>%；</w:t>
      </w:r>
      <w:r>
        <w:rPr>
          <w:rFonts w:hint="eastAsia" w:ascii="仿宋" w:hAnsi="仿宋" w:eastAsia="仿宋"/>
          <w:b/>
          <w:bCs/>
          <w:sz w:val="32"/>
          <w:szCs w:val="32"/>
        </w:rPr>
        <w:t>卫生健康支出</w:t>
      </w:r>
      <w:r>
        <w:rPr>
          <w:rFonts w:hint="eastAsia" w:ascii="仿宋_GB2312" w:hAnsi="仿宋_GB2312" w:eastAsia="仿宋_GB2312" w:cs="仿宋_GB2312"/>
          <w:sz w:val="32"/>
          <w:szCs w:val="32"/>
        </w:rPr>
        <w:t>2.43万元，占</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w:t>
      </w:r>
      <w:r>
        <w:rPr>
          <w:rFonts w:hint="eastAsia" w:ascii="仿宋" w:hAnsi="仿宋" w:eastAsia="仿宋"/>
          <w:b/>
          <w:bCs/>
          <w:sz w:val="32"/>
          <w:szCs w:val="32"/>
          <w:lang w:val="en-US" w:eastAsia="zh-CN"/>
        </w:rPr>
        <w:t>农林水支出</w:t>
      </w:r>
      <w:r>
        <w:rPr>
          <w:rFonts w:hint="eastAsia" w:ascii="仿宋_GB2312" w:hAnsi="仿宋_GB2312" w:eastAsia="仿宋_GB2312" w:cs="仿宋_GB2312"/>
          <w:sz w:val="32"/>
          <w:szCs w:val="32"/>
          <w:lang w:val="en-US" w:eastAsia="zh-CN"/>
        </w:rPr>
        <w:t>205.79万元，占69.8%；</w:t>
      </w:r>
      <w:r>
        <w:rPr>
          <w:rFonts w:hint="eastAsia" w:ascii="仿宋" w:hAnsi="仿宋" w:eastAsia="仿宋"/>
          <w:b/>
          <w:bCs/>
          <w:sz w:val="32"/>
          <w:szCs w:val="32"/>
          <w:lang w:val="en-US" w:eastAsia="zh-CN"/>
        </w:rPr>
        <w:t>住房保障支出</w:t>
      </w:r>
      <w:r>
        <w:rPr>
          <w:rFonts w:hint="eastAsia" w:ascii="仿宋_GB2312" w:hAnsi="仿宋_GB2312" w:eastAsia="仿宋_GB2312" w:cs="仿宋_GB2312"/>
          <w:sz w:val="32"/>
          <w:szCs w:val="32"/>
          <w:lang w:val="en-US" w:eastAsia="zh-CN"/>
        </w:rPr>
        <w:t>7.44万元，占2.5%</w:t>
      </w:r>
      <w:r>
        <w:rPr>
          <w:rFonts w:hint="eastAsia" w:ascii="仿宋_GB2312" w:hAnsi="仿宋_GB2312" w:eastAsia="仿宋_GB2312" w:cs="仿宋_GB2312"/>
          <w:sz w:val="32"/>
          <w:szCs w:val="32"/>
        </w:rPr>
        <w:t>。</w:t>
      </w:r>
    </w:p>
    <w:p>
      <w:pPr>
        <w:pStyle w:val="20"/>
        <w:rPr>
          <w:rFonts w:hint="eastAsia" w:ascii="仿宋" w:hAnsi="仿宋" w:eastAsia="仿宋"/>
          <w:sz w:val="32"/>
          <w:szCs w:val="32"/>
        </w:rPr>
      </w:pPr>
    </w:p>
    <w:p>
      <w:pPr>
        <w:pStyle w:val="20"/>
        <w:rPr>
          <w:rFonts w:hint="eastAsia" w:ascii="仿宋" w:hAnsi="仿宋" w:eastAsia="仿宋"/>
          <w:sz w:val="32"/>
          <w:szCs w:val="32"/>
        </w:rPr>
      </w:pPr>
    </w:p>
    <w:p>
      <w:pPr>
        <w:pStyle w:val="20"/>
        <w:rPr>
          <w:rFonts w:hint="eastAsia" w:ascii="仿宋" w:hAnsi="仿宋" w:eastAsia="仿宋"/>
          <w:sz w:val="32"/>
          <w:szCs w:val="32"/>
        </w:rPr>
      </w:pPr>
    </w:p>
    <w:p>
      <w:pPr>
        <w:pStyle w:val="20"/>
        <w:rPr>
          <w:rFonts w:hint="eastAsia" w:ascii="仿宋" w:hAnsi="仿宋" w:eastAsia="仿宋"/>
          <w:sz w:val="32"/>
          <w:szCs w:val="32"/>
        </w:rPr>
      </w:pPr>
      <w:r>
        <w:drawing>
          <wp:anchor distT="0" distB="0" distL="114300" distR="114300" simplePos="0" relativeHeight="251665408" behindDoc="1" locked="0" layoutInCell="1" allowOverlap="1">
            <wp:simplePos x="0" y="0"/>
            <wp:positionH relativeFrom="column">
              <wp:posOffset>280670</wp:posOffset>
            </wp:positionH>
            <wp:positionV relativeFrom="paragraph">
              <wp:posOffset>113030</wp:posOffset>
            </wp:positionV>
            <wp:extent cx="4572000" cy="2743200"/>
            <wp:effectExtent l="4445" t="4445" r="14605" b="14605"/>
            <wp:wrapTight wrapText="bothSides">
              <wp:wrapPolygon>
                <wp:start x="-21" y="-35"/>
                <wp:lineTo x="-21" y="21565"/>
                <wp:lineTo x="21579" y="21565"/>
                <wp:lineTo x="21579" y="-35"/>
                <wp:lineTo x="-21" y="-35"/>
              </wp:wrapPolygon>
            </wp:wrapTight>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0"/>
        <w:rPr>
          <w:rFonts w:hint="eastAsia" w:ascii="仿宋" w:hAnsi="仿宋" w:eastAsia="仿宋"/>
          <w:sz w:val="32"/>
          <w:szCs w:val="32"/>
        </w:rPr>
      </w:pPr>
    </w:p>
    <w:p>
      <w:pPr>
        <w:pStyle w:val="20"/>
        <w:rPr>
          <w:rFonts w:hint="eastAsia" w:ascii="仿宋" w:hAnsi="仿宋" w:eastAsia="仿宋"/>
          <w:sz w:val="32"/>
          <w:szCs w:val="32"/>
        </w:rPr>
      </w:pPr>
    </w:p>
    <w:p>
      <w:pPr>
        <w:pStyle w:val="2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rPr>
          <w:rFonts w:ascii="仿宋" w:hAnsi="仿宋" w:eastAsia="仿宋"/>
          <w:sz w:val="32"/>
          <w:szCs w:val="32"/>
        </w:rPr>
      </w:pPr>
      <w:r>
        <w:rPr>
          <w:rFonts w:hint="eastAsia" w:ascii="仿宋" w:hAnsi="仿宋" w:eastAsia="仿宋"/>
          <w:sz w:val="32"/>
          <w:szCs w:val="32"/>
        </w:rPr>
        <w:t>（图6：一般公共预算财政拨款支出决算结构）（饼状图）</w:t>
      </w:r>
    </w:p>
    <w:p>
      <w:pPr>
        <w:spacing w:line="600" w:lineRule="exact"/>
        <w:ind w:firstLine="643" w:firstLineChars="200"/>
        <w:outlineLvl w:val="2"/>
        <w:rPr>
          <w:rFonts w:ascii="仿宋" w:hAnsi="仿宋" w:eastAsia="仿宋"/>
          <w:b/>
          <w:sz w:val="32"/>
          <w:szCs w:val="32"/>
        </w:rPr>
      </w:pPr>
      <w:bookmarkStart w:id="54" w:name="_Toc15377212"/>
      <w:bookmarkStart w:id="55" w:name="_Toc12631"/>
      <w:r>
        <w:rPr>
          <w:rFonts w:hint="eastAsia" w:ascii="仿宋" w:hAnsi="仿宋" w:eastAsia="仿宋"/>
          <w:b/>
          <w:sz w:val="32"/>
          <w:szCs w:val="32"/>
        </w:rPr>
        <w:t>（三）一般公共预算财政拨款支出决算具体情况</w:t>
      </w:r>
      <w:bookmarkEnd w:id="54"/>
      <w:bookmarkEnd w:id="55"/>
    </w:p>
    <w:p>
      <w:pPr>
        <w:spacing w:line="600" w:lineRule="exact"/>
        <w:ind w:firstLine="643" w:firstLineChars="200"/>
        <w:outlineLvl w:val="2"/>
        <w:rPr>
          <w:rFonts w:ascii="仿宋" w:hAnsi="仿宋" w:eastAsia="仿宋"/>
          <w:sz w:val="32"/>
          <w:szCs w:val="32"/>
        </w:rPr>
      </w:pPr>
      <w:bookmarkStart w:id="56" w:name="_Toc15377444"/>
      <w:bookmarkStart w:id="57" w:name="_Toc15377213"/>
      <w:bookmarkStart w:id="58" w:name="_Toc15378460"/>
      <w:bookmarkStart w:id="59" w:name="_Toc4579"/>
      <w:r>
        <w:rPr>
          <w:rFonts w:hint="eastAsia" w:ascii="仿宋" w:hAnsi="仿宋" w:eastAsia="仿宋"/>
          <w:b/>
          <w:sz w:val="32"/>
          <w:szCs w:val="32"/>
        </w:rPr>
        <w:t>2023年度一般公共预算支出决算数为</w:t>
      </w:r>
      <w:r>
        <w:rPr>
          <w:sz w:val="32"/>
          <w:szCs w:val="32"/>
        </w:rPr>
        <w:t>294.84</w:t>
      </w:r>
      <w:r>
        <w:rPr>
          <w:rFonts w:hint="eastAsia" w:ascii="仿宋" w:hAnsi="仿宋" w:eastAsia="仿宋"/>
          <w:sz w:val="32"/>
          <w:szCs w:val="32"/>
        </w:rPr>
        <w:t>，</w:t>
      </w:r>
      <w:r>
        <w:rPr>
          <w:rStyle w:val="18"/>
          <w:rFonts w:hint="eastAsia" w:ascii="仿宋" w:hAnsi="仿宋" w:eastAsia="仿宋"/>
          <w:bCs/>
          <w:sz w:val="32"/>
          <w:szCs w:val="32"/>
        </w:rPr>
        <w:t>完成预算</w:t>
      </w:r>
      <w:r>
        <w:rPr>
          <w:rStyle w:val="18"/>
          <w:rFonts w:hint="eastAsia" w:ascii="仿宋" w:hAnsi="仿宋" w:eastAsia="仿宋"/>
          <w:bCs/>
          <w:sz w:val="32"/>
          <w:szCs w:val="32"/>
          <w:lang w:val="en-US" w:eastAsia="zh-CN"/>
        </w:rPr>
        <w:t>100</w:t>
      </w:r>
      <w:r>
        <w:rPr>
          <w:rStyle w:val="18"/>
          <w:rFonts w:ascii="仿宋" w:hAnsi="仿宋" w:eastAsia="仿宋"/>
          <w:bCs/>
          <w:sz w:val="32"/>
          <w:szCs w:val="32"/>
        </w:rPr>
        <w:t>%</w:t>
      </w:r>
      <w:r>
        <w:rPr>
          <w:rStyle w:val="18"/>
          <w:rFonts w:hint="eastAsia" w:ascii="仿宋" w:hAnsi="仿宋" w:eastAsia="仿宋"/>
          <w:bCs/>
          <w:sz w:val="32"/>
          <w:szCs w:val="32"/>
        </w:rPr>
        <w:t>。其中：</w:t>
      </w:r>
      <w:bookmarkEnd w:id="56"/>
      <w:bookmarkEnd w:id="57"/>
      <w:bookmarkEnd w:id="58"/>
      <w:bookmarkEnd w:id="59"/>
    </w:p>
    <w:p>
      <w:pPr>
        <w:spacing w:line="600" w:lineRule="exact"/>
        <w:ind w:firstLine="643" w:firstLineChars="200"/>
        <w:rPr>
          <w:rFonts w:hint="eastAsia" w:ascii="仿宋_GB2312" w:hAnsi="仿宋_GB2312" w:eastAsia="仿宋_GB2312" w:cs="仿宋_GB2312"/>
          <w:sz w:val="32"/>
          <w:szCs w:val="32"/>
        </w:rPr>
      </w:pPr>
      <w:r>
        <w:rPr>
          <w:rStyle w:val="18"/>
          <w:rFonts w:ascii="仿宋" w:hAnsi="仿宋" w:eastAsia="仿宋"/>
          <w:bCs/>
          <w:sz w:val="32"/>
          <w:szCs w:val="32"/>
        </w:rPr>
        <w:t>1.</w:t>
      </w:r>
      <w:r>
        <w:rPr>
          <w:rStyle w:val="18"/>
          <w:rFonts w:hint="eastAsia" w:ascii="仿宋" w:hAnsi="仿宋" w:eastAsia="仿宋"/>
          <w:bCs/>
          <w:sz w:val="32"/>
          <w:szCs w:val="32"/>
        </w:rPr>
        <w:t>社会保障和就业支出（类）行政事业单位养老支出（款）机关事业单位基本养老保险缴费支出（项）</w:t>
      </w:r>
      <w:r>
        <w:rPr>
          <w:rStyle w:val="18"/>
          <w:rFonts w:ascii="仿宋" w:hAnsi="仿宋" w:eastAsia="仿宋"/>
          <w:bCs/>
          <w:sz w:val="32"/>
          <w:szCs w:val="32"/>
        </w:rPr>
        <w:t>:</w:t>
      </w:r>
      <w:r>
        <w:rPr>
          <w:rStyle w:val="18"/>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9.47</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8"/>
          <w:rFonts w:ascii="仿宋" w:hAnsi="仿宋" w:eastAsia="仿宋"/>
          <w:bCs/>
          <w:sz w:val="32"/>
          <w:szCs w:val="32"/>
        </w:rPr>
        <w:t>2.</w:t>
      </w:r>
      <w:r>
        <w:rPr>
          <w:rStyle w:val="18"/>
          <w:rFonts w:hint="eastAsia" w:ascii="仿宋" w:hAnsi="仿宋" w:eastAsia="仿宋"/>
          <w:bCs/>
          <w:sz w:val="32"/>
          <w:szCs w:val="32"/>
        </w:rPr>
        <w:t>社会保障和就业支出（类）红十字事业（款）事业运行（项）</w:t>
      </w:r>
      <w:r>
        <w:rPr>
          <w:rStyle w:val="18"/>
          <w:rFonts w:ascii="仿宋" w:hAnsi="仿宋" w:eastAsia="仿宋"/>
          <w:bCs/>
          <w:sz w:val="32"/>
          <w:szCs w:val="32"/>
        </w:rPr>
        <w:t>:</w:t>
      </w:r>
      <w:r>
        <w:rPr>
          <w:rStyle w:val="18"/>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68.46</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23.3</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8"/>
          <w:rFonts w:ascii="仿宋" w:hAnsi="仿宋" w:eastAsia="仿宋"/>
          <w:bCs/>
          <w:sz w:val="32"/>
          <w:szCs w:val="32"/>
        </w:rPr>
        <w:t>3.</w:t>
      </w:r>
      <w:r>
        <w:rPr>
          <w:rStyle w:val="18"/>
          <w:rFonts w:hint="eastAsia" w:ascii="仿宋" w:hAnsi="仿宋" w:eastAsia="仿宋"/>
          <w:bCs/>
          <w:sz w:val="32"/>
          <w:szCs w:val="32"/>
        </w:rPr>
        <w:t>社会保障和就业支出（类）其他社会保障和就业支出（款）其他社会保障和就业支出（项）</w:t>
      </w:r>
      <w:r>
        <w:rPr>
          <w:rStyle w:val="18"/>
          <w:rFonts w:ascii="仿宋" w:hAnsi="仿宋" w:eastAsia="仿宋"/>
          <w:bCs/>
          <w:sz w:val="32"/>
          <w:szCs w:val="32"/>
        </w:rPr>
        <w:t>:</w:t>
      </w:r>
      <w:r>
        <w:rPr>
          <w:rStyle w:val="18"/>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1.25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8"/>
          <w:rFonts w:ascii="仿宋" w:hAnsi="仿宋" w:eastAsia="仿宋"/>
          <w:bCs/>
          <w:sz w:val="32"/>
          <w:szCs w:val="32"/>
        </w:rPr>
        <w:t>4.</w:t>
      </w:r>
      <w:r>
        <w:rPr>
          <w:rStyle w:val="18"/>
          <w:rFonts w:hint="eastAsia" w:ascii="仿宋" w:hAnsi="仿宋" w:eastAsia="仿宋"/>
          <w:bCs/>
          <w:sz w:val="32"/>
          <w:szCs w:val="32"/>
        </w:rPr>
        <w:t>卫生健康支出（类）行政事业单位医疗（款）事业单位医疗（项）</w:t>
      </w:r>
      <w:r>
        <w:rPr>
          <w:rStyle w:val="18"/>
          <w:rFonts w:ascii="仿宋" w:hAnsi="仿宋" w:eastAsia="仿宋"/>
          <w:bCs/>
          <w:sz w:val="32"/>
          <w:szCs w:val="32"/>
        </w:rPr>
        <w:t>:</w:t>
      </w:r>
      <w:r>
        <w:rPr>
          <w:rStyle w:val="18"/>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2.43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8"/>
          <w:rFonts w:ascii="仿宋" w:hAnsi="仿宋" w:eastAsia="仿宋"/>
          <w:bCs/>
          <w:sz w:val="32"/>
          <w:szCs w:val="32"/>
        </w:rPr>
        <w:t>5.</w:t>
      </w:r>
      <w:r>
        <w:rPr>
          <w:rStyle w:val="18"/>
          <w:rFonts w:hint="eastAsia" w:ascii="仿宋" w:hAnsi="仿宋" w:eastAsia="仿宋"/>
          <w:bCs/>
          <w:sz w:val="32"/>
          <w:szCs w:val="32"/>
        </w:rPr>
        <w:t>农林水支出（类）巩固脱贫攻坚成果衔接乡村振兴（款）其他巩固脱贫攻坚成果衔接乡村振兴支出（项）</w:t>
      </w:r>
      <w:r>
        <w:rPr>
          <w:rStyle w:val="18"/>
          <w:rFonts w:ascii="仿宋" w:hAnsi="仿宋" w:eastAsia="仿宋"/>
          <w:bCs/>
          <w:sz w:val="32"/>
          <w:szCs w:val="32"/>
        </w:rPr>
        <w:t>:</w:t>
      </w:r>
      <w:r>
        <w:rPr>
          <w:rStyle w:val="18"/>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205.79</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8"/>
          <w:rFonts w:ascii="仿宋" w:hAnsi="仿宋" w:eastAsia="仿宋"/>
          <w:bCs/>
          <w:sz w:val="32"/>
          <w:szCs w:val="32"/>
        </w:rPr>
        <w:t>6.</w:t>
      </w:r>
      <w:r>
        <w:rPr>
          <w:rFonts w:hint="eastAsia" w:ascii="仿宋" w:hAnsi="仿宋" w:eastAsia="仿宋"/>
          <w:b/>
          <w:bCs/>
          <w:sz w:val="32"/>
          <w:szCs w:val="32"/>
        </w:rPr>
        <w:t>住房保障支出</w:t>
      </w:r>
      <w:r>
        <w:rPr>
          <w:rStyle w:val="18"/>
          <w:rFonts w:hint="eastAsia" w:ascii="仿宋" w:hAnsi="仿宋" w:eastAsia="仿宋"/>
          <w:bCs/>
          <w:sz w:val="32"/>
          <w:szCs w:val="32"/>
        </w:rPr>
        <w:t>（类）住房改革支出（款）住房公积金</w:t>
      </w:r>
      <w:r>
        <w:rPr>
          <w:rStyle w:val="18"/>
          <w:rFonts w:hint="eastAsia" w:ascii="仿宋" w:hAnsi="仿宋" w:eastAsia="仿宋"/>
          <w:bCs/>
          <w:sz w:val="32"/>
          <w:szCs w:val="32"/>
          <w:lang w:eastAsia="zh-CN"/>
        </w:rPr>
        <w:t>（</w:t>
      </w:r>
      <w:r>
        <w:rPr>
          <w:rStyle w:val="18"/>
          <w:rFonts w:hint="eastAsia" w:ascii="仿宋" w:hAnsi="仿宋" w:eastAsia="仿宋"/>
          <w:bCs/>
          <w:sz w:val="32"/>
          <w:szCs w:val="32"/>
        </w:rPr>
        <w:t>项）</w:t>
      </w:r>
      <w:r>
        <w:rPr>
          <w:rStyle w:val="18"/>
          <w:rFonts w:ascii="仿宋" w:hAnsi="仿宋" w:eastAsia="仿宋"/>
          <w:bCs/>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7.44</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tabs>
          <w:tab w:val="right" w:pos="8306"/>
        </w:tabs>
        <w:spacing w:line="600" w:lineRule="exact"/>
        <w:ind w:firstLine="640"/>
        <w:outlineLvl w:val="1"/>
        <w:rPr>
          <w:rStyle w:val="31"/>
        </w:rPr>
      </w:pPr>
      <w:bookmarkStart w:id="60" w:name="_Toc15396608"/>
      <w:bookmarkStart w:id="61" w:name="_Toc15377214"/>
      <w:bookmarkStart w:id="62" w:name="_Toc10617"/>
      <w:bookmarkStart w:id="63" w:name="_Toc12602"/>
      <w:bookmarkStart w:id="64" w:name="_Toc19001"/>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60"/>
      <w:bookmarkEnd w:id="61"/>
      <w:bookmarkEnd w:id="62"/>
      <w:bookmarkEnd w:id="63"/>
      <w:bookmarkEnd w:id="64"/>
      <w:r>
        <w:rPr>
          <w:rStyle w:val="31"/>
          <w:rFonts w:ascii="黑体" w:hAnsi="黑体" w:eastAsia="黑体"/>
          <w:b w:val="0"/>
        </w:rPr>
        <w:tab/>
      </w:r>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2023年度一般公共预算财政拨款基本支出89.05万元，其中：</w:t>
      </w:r>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人员经费80.22万元，主要包括：基本工资、津贴补贴、奖金、伙食补助费、绩效工资、机关事业单位基本养老保险缴费、职工基本医疗保险缴费、其他社会保障缴费、住房公积金等。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公用经费8.83万元，主要包括：办公费、邮电费、差旅费、公务接待费、工会经费、福利费、其他商品和服务支出等。</w:t>
      </w:r>
    </w:p>
    <w:p>
      <w:pPr>
        <w:spacing w:line="600" w:lineRule="exact"/>
        <w:ind w:firstLine="640"/>
        <w:outlineLvl w:val="1"/>
        <w:rPr>
          <w:rStyle w:val="31"/>
          <w:rFonts w:ascii="黑体" w:hAnsi="黑体" w:eastAsia="黑体"/>
          <w:b w:val="0"/>
        </w:rPr>
      </w:pPr>
      <w:bookmarkStart w:id="65" w:name="_Toc15396609"/>
      <w:bookmarkStart w:id="66" w:name="_Toc15377215"/>
      <w:bookmarkStart w:id="67" w:name="_Toc6644"/>
      <w:bookmarkStart w:id="68" w:name="_Toc32297"/>
      <w:bookmarkStart w:id="69" w:name="_Toc18452"/>
      <w:r>
        <w:rPr>
          <w:rFonts w:hint="eastAsia" w:ascii="黑体" w:eastAsia="黑体"/>
          <w:sz w:val="32"/>
          <w:szCs w:val="32"/>
        </w:rPr>
        <w:t>七、</w:t>
      </w:r>
      <w:r>
        <w:rPr>
          <w:rStyle w:val="31"/>
          <w:rFonts w:hint="eastAsia" w:ascii="黑体" w:hAnsi="黑体" w:eastAsia="黑体"/>
          <w:b w:val="0"/>
        </w:rPr>
        <w:t>财政拨款</w:t>
      </w:r>
      <w:r>
        <w:rPr>
          <w:rStyle w:val="31"/>
          <w:rFonts w:hint="eastAsia" w:ascii="黑体" w:hAnsi="黑体" w:eastAsia="黑体"/>
        </w:rPr>
        <w:t>“</w:t>
      </w:r>
      <w:r>
        <w:rPr>
          <w:rStyle w:val="31"/>
          <w:rFonts w:hint="eastAsia" w:ascii="黑体" w:hAnsi="黑体" w:eastAsia="黑体"/>
          <w:b w:val="0"/>
        </w:rPr>
        <w:t>三公”经费支出决算情况说明</w:t>
      </w:r>
      <w:bookmarkEnd w:id="65"/>
      <w:bookmarkEnd w:id="66"/>
      <w:bookmarkEnd w:id="67"/>
      <w:bookmarkEnd w:id="68"/>
      <w:bookmarkEnd w:id="69"/>
    </w:p>
    <w:p>
      <w:pPr>
        <w:spacing w:line="600" w:lineRule="exact"/>
        <w:ind w:firstLine="640"/>
        <w:outlineLvl w:val="2"/>
        <w:rPr>
          <w:rFonts w:ascii="仿宋" w:hAnsi="仿宋" w:eastAsia="仿宋"/>
          <w:b/>
          <w:sz w:val="32"/>
          <w:szCs w:val="32"/>
        </w:rPr>
      </w:pPr>
      <w:bookmarkStart w:id="70" w:name="_Toc15377216"/>
      <w:bookmarkStart w:id="71" w:name="_Toc14847"/>
      <w:r>
        <w:rPr>
          <w:rFonts w:hint="eastAsia" w:ascii="仿宋" w:hAnsi="仿宋" w:eastAsia="仿宋"/>
          <w:b/>
          <w:sz w:val="32"/>
          <w:szCs w:val="32"/>
        </w:rPr>
        <w:t>（一）“三公”经费财政拨款支出决算总体情况说明</w:t>
      </w:r>
      <w:bookmarkEnd w:id="70"/>
      <w:bookmarkEnd w:id="71"/>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2023年度“三公”经费财政拨款支出决算为0.2万元，完成预算100%，</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上年度</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0"/>
        <w:outlineLvl w:val="2"/>
        <w:rPr>
          <w:rFonts w:ascii="仿宋" w:hAnsi="仿宋" w:eastAsia="仿宋"/>
          <w:b/>
          <w:sz w:val="32"/>
          <w:szCs w:val="32"/>
        </w:rPr>
      </w:pPr>
      <w:bookmarkStart w:id="72" w:name="_Toc15377217"/>
      <w:bookmarkStart w:id="73" w:name="_Toc32731"/>
      <w:r>
        <w:rPr>
          <w:rFonts w:hint="eastAsia" w:ascii="仿宋" w:hAnsi="仿宋" w:eastAsia="仿宋"/>
          <w:b/>
          <w:sz w:val="32"/>
          <w:szCs w:val="32"/>
        </w:rPr>
        <w:t>（二）“三公”经费财政拨款支出决算具体情况说明</w:t>
      </w:r>
      <w:bookmarkEnd w:id="72"/>
      <w:bookmarkEnd w:id="73"/>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2023年度“三公”经费财政拨款支出决算中，因公出国</w:t>
      </w:r>
      <w:r>
        <w:rPr>
          <w:rFonts w:hint="eastAsia" w:ascii="仿宋_GB2312" w:hAnsi="仿宋_GB2312" w:eastAsia="仿宋_GB2312" w:cs="仿宋_GB2312"/>
          <w:sz w:val="32"/>
          <w:szCs w:val="32"/>
        </w:rPr>
        <w:t>（境）费支出决算0万元，占0%；公务用车购置及运行维护费支出决算0万元，占0%；公务接待费支出决算0.2万元，占100%。具体情况如下：</w:t>
      </w:r>
    </w:p>
    <w:p>
      <w:pPr>
        <w:pStyle w:val="20"/>
        <w:rPr>
          <w:rFonts w:hint="eastAsia" w:ascii="仿宋" w:hAnsi="仿宋" w:eastAsia="仿宋"/>
          <w:sz w:val="32"/>
          <w:szCs w:val="32"/>
        </w:rPr>
      </w:pPr>
      <w:r>
        <w:drawing>
          <wp:anchor distT="0" distB="0" distL="114300" distR="114300" simplePos="0" relativeHeight="251666432" behindDoc="1" locked="0" layoutInCell="1" allowOverlap="1">
            <wp:simplePos x="0" y="0"/>
            <wp:positionH relativeFrom="column">
              <wp:posOffset>499745</wp:posOffset>
            </wp:positionH>
            <wp:positionV relativeFrom="paragraph">
              <wp:posOffset>178435</wp:posOffset>
            </wp:positionV>
            <wp:extent cx="4572000" cy="2743200"/>
            <wp:effectExtent l="4445" t="4445" r="14605" b="14605"/>
            <wp:wrapTight wrapText="bothSides">
              <wp:wrapPolygon>
                <wp:start x="-21" y="-35"/>
                <wp:lineTo x="-21" y="21565"/>
                <wp:lineTo x="21579" y="21565"/>
                <wp:lineTo x="21579" y="-35"/>
                <wp:lineTo x="-21" y="-35"/>
              </wp:wrapPolygon>
            </wp:wrapTight>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0"/>
        <w:rPr>
          <w:rFonts w:hint="eastAsia" w:ascii="仿宋" w:hAnsi="仿宋" w:eastAsia="仿宋"/>
          <w:sz w:val="32"/>
          <w:szCs w:val="32"/>
        </w:rPr>
      </w:pPr>
    </w:p>
    <w:p>
      <w:pPr>
        <w:pStyle w:val="20"/>
        <w:rPr>
          <w:rFonts w:hint="eastAsia" w:ascii="仿宋" w:hAnsi="仿宋" w:eastAsia="仿宋"/>
          <w:sz w:val="32"/>
          <w:szCs w:val="32"/>
        </w:rPr>
      </w:pPr>
    </w:p>
    <w:p>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pPr>
        <w:numPr>
          <w:numId w:val="0"/>
        </w:numPr>
        <w:spacing w:line="60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_GB2312" w:eastAsia="仿宋_GB2312"/>
          <w:b/>
          <w:sz w:val="32"/>
          <w:szCs w:val="32"/>
          <w:lang w:val="en-US" w:eastAsia="zh-CN"/>
        </w:rPr>
        <w:t>1.</w:t>
      </w:r>
      <w:r>
        <w:rPr>
          <w:rFonts w:hint="eastAsia" w:ascii="仿宋_GB2312" w:eastAsia="仿宋_GB2312"/>
          <w:b/>
          <w:sz w:val="32"/>
          <w:szCs w:val="32"/>
        </w:rPr>
        <w:t>因公出国（境）经费支出</w:t>
      </w:r>
      <w:r>
        <w:rPr>
          <w:sz w:val="32"/>
          <w:szCs w:val="32"/>
        </w:rPr>
        <w:t>0</w:t>
      </w:r>
      <w:r>
        <w:rPr>
          <w:rFonts w:hint="eastAsia" w:ascii="仿宋_GB2312" w:hAnsi="仿宋_GB2312" w:eastAsia="仿宋_GB2312" w:cs="仿宋_GB2312"/>
          <w:sz w:val="32"/>
          <w:szCs w:val="32"/>
        </w:rPr>
        <w:t>万元，</w:t>
      </w:r>
      <w:r>
        <w:rPr>
          <w:rStyle w:val="18"/>
          <w:rFonts w:hint="eastAsia" w:ascii="仿宋_GB2312" w:hAnsi="仿宋_GB2312" w:eastAsia="仿宋_GB2312" w:cs="仿宋_GB2312"/>
          <w:b w:val="0"/>
          <w:bCs/>
          <w:sz w:val="32"/>
          <w:szCs w:val="32"/>
        </w:rPr>
        <w:t>完成预算</w:t>
      </w:r>
      <w:r>
        <w:rPr>
          <w:rFonts w:hint="eastAsia" w:ascii="仿宋_GB2312" w:hAnsi="仿宋_GB2312" w:eastAsia="仿宋_GB2312" w:cs="仿宋_GB2312"/>
          <w:sz w:val="32"/>
          <w:szCs w:val="32"/>
        </w:rPr>
        <w:t>0</w:t>
      </w:r>
      <w:r>
        <w:rPr>
          <w:rStyle w:val="18"/>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rPr>
        <w:t>全年安排因公出国（境）团组0次，出国（境）0人。</w:t>
      </w:r>
      <w:r>
        <w:rPr>
          <w:rFonts w:hint="eastAsia" w:ascii="仿宋_GB2312" w:hAnsi="仿宋_GB2312" w:eastAsia="仿宋_GB2312" w:cs="仿宋_GB2312"/>
          <w:color w:val="auto"/>
          <w:sz w:val="32"/>
          <w:szCs w:val="32"/>
          <w:highlight w:val="none"/>
        </w:rPr>
        <w:t>因公出国（境）支出决算比</w:t>
      </w:r>
      <w:r>
        <w:rPr>
          <w:rFonts w:hint="eastAsia" w:ascii="仿宋_GB2312" w:hAnsi="仿宋_GB2312" w:eastAsia="仿宋_GB2312" w:cs="仿宋_GB2312"/>
          <w:color w:val="auto"/>
          <w:sz w:val="32"/>
          <w:szCs w:val="32"/>
          <w:highlight w:val="none"/>
          <w:lang w:eastAsia="zh-CN"/>
        </w:rPr>
        <w:t>2022</w:t>
      </w:r>
      <w:r>
        <w:rPr>
          <w:rFonts w:hint="eastAsia" w:ascii="仿宋_GB2312" w:hAnsi="仿宋_GB2312" w:eastAsia="仿宋_GB2312" w:cs="仿宋_GB2312"/>
          <w:color w:val="auto"/>
          <w:sz w:val="32"/>
          <w:szCs w:val="32"/>
          <w:highlight w:val="none"/>
        </w:rPr>
        <w:t>年增加/减少</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万元，增长/下降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 xml:space="preserve"> </w:t>
      </w:r>
    </w:p>
    <w:p>
      <w:pPr>
        <w:numPr>
          <w:numId w:val="0"/>
        </w:numPr>
        <w:spacing w:line="600" w:lineRule="exact"/>
        <w:ind w:firstLine="320" w:firstLineChars="100"/>
        <w:rPr>
          <w:rFonts w:hint="eastAsia" w:ascii="仿宋_GB2312" w:hAnsi="仿宋_GB2312" w:eastAsia="仿宋_GB2312" w:cs="仿宋_GB2312"/>
          <w:sz w:val="32"/>
          <w:szCs w:val="32"/>
        </w:rPr>
      </w:pPr>
      <w:r>
        <w:rPr>
          <w:rFonts w:hint="eastAsia" w:ascii="仿宋_GB2312" w:eastAsia="仿宋_GB2312"/>
          <w:color w:val="auto"/>
          <w:sz w:val="32"/>
          <w:szCs w:val="32"/>
          <w:highlight w:val="none"/>
          <w:lang w:val="en-US" w:eastAsia="zh-CN"/>
        </w:rPr>
        <w:t xml:space="preserve">  </w:t>
      </w:r>
      <w:r>
        <w:rPr>
          <w:rFonts w:ascii="仿宋_GB2312" w:eastAsia="仿宋_GB2312"/>
          <w:b/>
          <w:sz w:val="32"/>
          <w:szCs w:val="32"/>
        </w:rPr>
        <w:t>2.</w:t>
      </w:r>
      <w:r>
        <w:rPr>
          <w:rFonts w:hint="eastAsia" w:ascii="仿宋_GB2312" w:eastAsia="仿宋_GB2312"/>
          <w:b/>
          <w:sz w:val="32"/>
          <w:szCs w:val="32"/>
        </w:rPr>
        <w:t>公务用车购置及运行维护费支出</w:t>
      </w:r>
      <w:r>
        <w:rPr>
          <w:sz w:val="32"/>
          <w:szCs w:val="32"/>
        </w:rPr>
        <w:t>0</w:t>
      </w:r>
      <w:r>
        <w:rPr>
          <w:rFonts w:hint="eastAsia" w:ascii="仿宋_GB2312" w:hAnsi="仿宋_GB2312" w:eastAsia="仿宋_GB2312" w:cs="仿宋_GB2312"/>
          <w:sz w:val="32"/>
          <w:szCs w:val="32"/>
        </w:rPr>
        <w:t>万元,完成预算0%。公务用车购置及运行维护费支出决算比</w:t>
      </w:r>
      <w:r>
        <w:rPr>
          <w:rFonts w:hint="eastAsia" w:ascii="仿宋_GB2312" w:hAnsi="仿宋_GB2312" w:eastAsia="仿宋_GB2312" w:cs="仿宋_GB2312"/>
          <w:sz w:val="32"/>
          <w:szCs w:val="32"/>
          <w:lang w:eastAsia="zh-CN"/>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增加/减少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万元，增长/下降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sz w:val="32"/>
          <w:szCs w:val="32"/>
        </w:rPr>
        <w:t>0</w:t>
      </w:r>
      <w:r>
        <w:rPr>
          <w:rFonts w:hint="eastAsia" w:ascii="仿宋_GB2312" w:eastAsia="仿宋_GB2312"/>
          <w:sz w:val="32"/>
          <w:szCs w:val="32"/>
        </w:rPr>
        <w:t>万元。</w:t>
      </w:r>
      <w:r>
        <w:rPr>
          <w:rFonts w:hint="eastAsia" w:ascii="仿宋_GB2312" w:hAnsi="仿宋_GB2312" w:eastAsia="仿宋_GB2312" w:cs="仿宋_GB2312"/>
          <w:sz w:val="32"/>
          <w:szCs w:val="32"/>
        </w:rPr>
        <w:t>全年按规定更新购置公务用车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辆，其中：轿车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万元，越野车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万元，载客汽车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万元。截至2023年12月31日，单位共有公务用车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辆，其中：轿车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辆、越野</w:t>
      </w:r>
      <w:r>
        <w:rPr>
          <w:rFonts w:hint="eastAsia" w:ascii="仿宋_GB2312" w:eastAsia="仿宋_GB2312"/>
          <w:sz w:val="32"/>
          <w:szCs w:val="32"/>
        </w:rPr>
        <w:t>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sz w:val="32"/>
          <w:szCs w:val="32"/>
        </w:rPr>
        <w:t>0</w:t>
      </w:r>
      <w:r>
        <w:rPr>
          <w:rFonts w:hint="eastAsia" w:ascii="仿宋_GB2312" w:eastAsia="仿宋_GB2312"/>
          <w:sz w:val="32"/>
          <w:szCs w:val="32"/>
        </w:rPr>
        <w:t>万元。</w:t>
      </w:r>
    </w:p>
    <w:p>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sz w:val="32"/>
          <w:szCs w:val="32"/>
        </w:rPr>
        <w:t>0.2</w:t>
      </w:r>
      <w:r>
        <w:rPr>
          <w:rFonts w:hint="eastAsia" w:ascii="仿宋_GB2312" w:eastAsia="仿宋_GB2312"/>
          <w:sz w:val="32"/>
          <w:szCs w:val="32"/>
        </w:rPr>
        <w:t>万元，</w:t>
      </w:r>
      <w:r>
        <w:rPr>
          <w:rStyle w:val="18"/>
          <w:rFonts w:hint="eastAsia" w:ascii="仿宋" w:hAnsi="仿宋" w:eastAsia="仿宋"/>
          <w:b w:val="0"/>
          <w:bCs/>
          <w:sz w:val="32"/>
          <w:szCs w:val="32"/>
        </w:rPr>
        <w:t>完成预算</w:t>
      </w:r>
      <w:r>
        <w:rPr>
          <w:sz w:val="32"/>
          <w:szCs w:val="32"/>
        </w:rPr>
        <w:t>100%</w:t>
      </w:r>
      <w:r>
        <w:rPr>
          <w:rStyle w:val="18"/>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eastAsia="仿宋_GB2312"/>
          <w:sz w:val="32"/>
          <w:szCs w:val="32"/>
          <w:lang w:val="en-US" w:eastAsia="zh-CN"/>
        </w:rPr>
        <w:t>比</w:t>
      </w:r>
      <w:r>
        <w:rPr>
          <w:rFonts w:hint="eastAsia" w:ascii="仿宋_GB2312" w:eastAsia="仿宋_GB2312"/>
          <w:sz w:val="32"/>
          <w:szCs w:val="32"/>
        </w:rPr>
        <w:t>2022年度增加</w:t>
      </w:r>
      <w:r>
        <w:rPr>
          <w:rFonts w:hint="eastAsia" w:ascii="仿宋_GB2312" w:eastAsia="仿宋_GB2312"/>
          <w:sz w:val="32"/>
          <w:szCs w:val="32"/>
          <w:lang w:val="en-US" w:eastAsia="zh-CN"/>
        </w:rPr>
        <w:t>0.06</w:t>
      </w:r>
      <w:r>
        <w:rPr>
          <w:rFonts w:hint="eastAsia" w:ascii="仿宋_GB2312" w:eastAsia="仿宋_GB2312"/>
          <w:sz w:val="32"/>
          <w:szCs w:val="32"/>
        </w:rPr>
        <w:t>万元，增长</w:t>
      </w:r>
      <w:r>
        <w:rPr>
          <w:rFonts w:hint="eastAsia" w:ascii="仿宋_GB2312" w:eastAsia="仿宋_GB2312"/>
          <w:sz w:val="32"/>
          <w:szCs w:val="32"/>
          <w:lang w:val="en-US" w:eastAsia="zh-CN"/>
        </w:rPr>
        <w:t>42.9</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公务接待次数增加</w:t>
      </w:r>
      <w:r>
        <w:rPr>
          <w:rFonts w:hint="eastAsia" w:ascii="仿宋_GB2312" w:eastAsia="仿宋_GB2312"/>
          <w:sz w:val="32"/>
          <w:szCs w:val="32"/>
        </w:rPr>
        <w:t>。其中：</w:t>
      </w:r>
    </w:p>
    <w:p>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b/>
          <w:sz w:val="32"/>
          <w:szCs w:val="32"/>
          <w:lang w:val="en-US" w:eastAsia="zh-CN"/>
        </w:rPr>
        <w:t>0.2</w:t>
      </w:r>
      <w:r>
        <w:rPr>
          <w:rFonts w:hint="eastAsia" w:ascii="仿宋_GB2312" w:eastAsia="仿宋_GB2312"/>
          <w:sz w:val="32"/>
          <w:szCs w:val="32"/>
        </w:rPr>
        <w:t>万元，主要用于开展业务活动开支的交通费、住宿费、用餐费等。国内公务接待</w:t>
      </w:r>
      <w:r>
        <w:rPr>
          <w:rFonts w:hint="eastAsia" w:ascii="仿宋_GB2312" w:eastAsia="仿宋_GB2312"/>
          <w:sz w:val="32"/>
          <w:szCs w:val="32"/>
          <w:lang w:val="en-US" w:eastAsia="zh-CN"/>
        </w:rPr>
        <w:t>3</w:t>
      </w:r>
      <w:r>
        <w:rPr>
          <w:rFonts w:hint="eastAsia" w:ascii="仿宋_GB2312" w:eastAsia="仿宋_GB2312"/>
          <w:sz w:val="32"/>
          <w:szCs w:val="32"/>
        </w:rPr>
        <w:t>批次，</w:t>
      </w:r>
      <w:r>
        <w:rPr>
          <w:rFonts w:hint="eastAsia" w:ascii="仿宋_GB2312" w:eastAsia="仿宋_GB2312"/>
          <w:sz w:val="32"/>
          <w:szCs w:val="32"/>
          <w:lang w:val="en-US" w:eastAsia="zh-CN"/>
        </w:rPr>
        <w:t>11</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0.2</w:t>
      </w:r>
      <w:r>
        <w:rPr>
          <w:rFonts w:hint="eastAsia" w:ascii="仿宋_GB2312" w:eastAsia="仿宋_GB2312"/>
          <w:sz w:val="32"/>
          <w:szCs w:val="32"/>
        </w:rPr>
        <w:t>万元，具体内容包括：乐山市红十字会来马检查财务工作</w:t>
      </w:r>
      <w:r>
        <w:rPr>
          <w:rFonts w:hint="eastAsia" w:ascii="仿宋_GB2312" w:eastAsia="仿宋_GB2312"/>
          <w:sz w:val="32"/>
          <w:szCs w:val="32"/>
          <w:lang w:val="en-US" w:eastAsia="zh-CN"/>
        </w:rPr>
        <w:t>0.12万元、井研县红十字会来马考察学习0.05万元、乐山市红十字会来马调研0.03万元。</w:t>
      </w:r>
    </w:p>
    <w:p>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b/>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bookmarkStart w:id="74" w:name="_Toc15377218"/>
      <w:bookmarkStart w:id="75" w:name="_Toc15396610"/>
    </w:p>
    <w:p>
      <w:pPr>
        <w:spacing w:line="600" w:lineRule="exact"/>
        <w:ind w:firstLine="640"/>
        <w:outlineLvl w:val="1"/>
        <w:rPr>
          <w:rStyle w:val="31"/>
          <w:rFonts w:ascii="黑体" w:hAnsi="黑体" w:eastAsia="黑体"/>
        </w:rPr>
      </w:pPr>
      <w:bookmarkStart w:id="76" w:name="_Toc3328"/>
      <w:bookmarkStart w:id="77" w:name="_Toc31494"/>
      <w:bookmarkStart w:id="78" w:name="_Toc7646"/>
      <w:r>
        <w:rPr>
          <w:rFonts w:hint="eastAsia" w:ascii="黑体" w:eastAsia="黑体"/>
          <w:sz w:val="32"/>
          <w:szCs w:val="32"/>
        </w:rPr>
        <w:t>八、</w:t>
      </w:r>
      <w:r>
        <w:rPr>
          <w:rStyle w:val="31"/>
          <w:rFonts w:hint="eastAsia" w:ascii="黑体" w:hAnsi="黑体" w:eastAsia="黑体"/>
          <w:b w:val="0"/>
        </w:rPr>
        <w:t>政府性基金预算支出决算情况说明</w:t>
      </w:r>
      <w:bookmarkEnd w:id="74"/>
      <w:bookmarkEnd w:id="75"/>
      <w:bookmarkEnd w:id="76"/>
      <w:bookmarkEnd w:id="77"/>
      <w:bookmarkEnd w:id="78"/>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2023年度政府性基金预算财政拨款支出23.76万元。</w:t>
      </w:r>
    </w:p>
    <w:p>
      <w:pPr>
        <w:numPr>
          <w:ilvl w:val="0"/>
          <w:numId w:val="3"/>
        </w:numPr>
        <w:spacing w:line="600" w:lineRule="exact"/>
        <w:ind w:firstLine="640"/>
        <w:outlineLvl w:val="1"/>
        <w:rPr>
          <w:rStyle w:val="31"/>
          <w:rFonts w:ascii="黑体" w:hAnsi="黑体" w:eastAsia="黑体"/>
          <w:b w:val="0"/>
        </w:rPr>
      </w:pPr>
      <w:bookmarkStart w:id="79" w:name="_Toc15377219"/>
      <w:bookmarkStart w:id="80" w:name="_Toc15396611"/>
      <w:bookmarkStart w:id="81" w:name="_Toc5969"/>
      <w:bookmarkStart w:id="82" w:name="_Toc5027"/>
      <w:bookmarkStart w:id="83" w:name="_Toc11104"/>
      <w:r>
        <w:rPr>
          <w:rStyle w:val="31"/>
          <w:rFonts w:hint="eastAsia" w:ascii="黑体" w:hAnsi="黑体" w:eastAsia="黑体"/>
          <w:b w:val="0"/>
        </w:rPr>
        <w:t>国有资本经营预算支出决算情况说明</w:t>
      </w:r>
      <w:bookmarkEnd w:id="79"/>
      <w:bookmarkEnd w:id="80"/>
      <w:bookmarkEnd w:id="81"/>
      <w:bookmarkEnd w:id="82"/>
      <w:bookmarkEnd w:id="83"/>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2023年度国有资本经营预算财政拨款支出0万元。</w:t>
      </w:r>
    </w:p>
    <w:p>
      <w:pPr>
        <w:numPr>
          <w:ilvl w:val="0"/>
          <w:numId w:val="3"/>
        </w:numPr>
        <w:spacing w:line="600" w:lineRule="exact"/>
        <w:ind w:firstLine="640"/>
        <w:outlineLvl w:val="1"/>
        <w:rPr>
          <w:rStyle w:val="31"/>
          <w:rFonts w:ascii="黑体" w:hAnsi="黑体" w:eastAsia="黑体"/>
          <w:b w:val="0"/>
        </w:rPr>
      </w:pPr>
      <w:bookmarkStart w:id="84" w:name="_Toc15377221"/>
      <w:bookmarkStart w:id="85" w:name="_Toc15396612"/>
      <w:bookmarkStart w:id="86" w:name="_Toc14671"/>
      <w:bookmarkStart w:id="87" w:name="_Toc11677"/>
      <w:bookmarkStart w:id="88" w:name="_Toc8041"/>
      <w:r>
        <w:rPr>
          <w:rStyle w:val="31"/>
          <w:rFonts w:hint="eastAsia" w:ascii="黑体" w:hAnsi="黑体" w:eastAsia="黑体"/>
          <w:b w:val="0"/>
        </w:rPr>
        <w:t>其他重要事项的情况说明</w:t>
      </w:r>
      <w:bookmarkEnd w:id="84"/>
      <w:bookmarkEnd w:id="85"/>
      <w:bookmarkEnd w:id="86"/>
      <w:bookmarkEnd w:id="87"/>
      <w:bookmarkEnd w:id="88"/>
    </w:p>
    <w:p>
      <w:pPr>
        <w:spacing w:line="600" w:lineRule="exact"/>
        <w:ind w:firstLine="643" w:firstLineChars="200"/>
        <w:outlineLvl w:val="2"/>
        <w:rPr>
          <w:rFonts w:ascii="仿宋" w:hAnsi="仿宋" w:eastAsia="仿宋"/>
          <w:sz w:val="32"/>
          <w:szCs w:val="32"/>
        </w:rPr>
      </w:pPr>
      <w:bookmarkStart w:id="89" w:name="_Toc15377222"/>
      <w:bookmarkStart w:id="90" w:name="_Toc19956"/>
      <w:r>
        <w:rPr>
          <w:rFonts w:hint="eastAsia" w:ascii="仿宋" w:hAnsi="仿宋" w:eastAsia="仿宋"/>
          <w:b/>
          <w:sz w:val="32"/>
          <w:szCs w:val="32"/>
        </w:rPr>
        <w:t>（一）机关运行经费支出情况</w:t>
      </w:r>
      <w:bookmarkEnd w:id="89"/>
      <w:bookmarkEnd w:id="90"/>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2023年度，马边彝族自治县红十字会</w:t>
      </w:r>
      <w:r>
        <w:rPr>
          <w:rFonts w:hint="eastAsia" w:ascii="仿宋_GB2312" w:eastAsia="仿宋_GB2312"/>
          <w:sz w:val="32"/>
          <w:szCs w:val="32"/>
        </w:rPr>
        <w:t>机关运行经费支出0</w:t>
      </w:r>
      <w:r>
        <w:rPr>
          <w:rFonts w:hint="eastAsia" w:ascii="仿宋_GB2312" w:eastAsia="仿宋_GB2312"/>
          <w:sz w:val="32"/>
          <w:szCs w:val="32"/>
        </w:rPr>
        <w:t>万元，</w:t>
      </w:r>
      <w:r>
        <w:rPr>
          <w:rFonts w:hint="eastAsia" w:ascii="仿宋_GB2312" w:eastAsia="仿宋_GB2312"/>
          <w:color w:val="auto"/>
          <w:sz w:val="32"/>
          <w:szCs w:val="32"/>
          <w:highlight w:val="none"/>
        </w:rPr>
        <w:t>比</w:t>
      </w:r>
      <w:r>
        <w:rPr>
          <w:rFonts w:hint="eastAsia" w:ascii="仿宋_GB2312" w:eastAsia="仿宋_GB2312"/>
          <w:color w:val="auto"/>
          <w:sz w:val="32"/>
          <w:szCs w:val="32"/>
          <w:highlight w:val="none"/>
          <w:lang w:eastAsia="zh-CN"/>
        </w:rPr>
        <w:t>2022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2022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w:t>
      </w:r>
      <w:r>
        <w:rPr>
          <w:rFonts w:hint="eastAsia" w:ascii="仿宋_GB2312" w:eastAsia="仿宋_GB2312"/>
          <w:sz w:val="32"/>
          <w:szCs w:val="32"/>
        </w:rPr>
        <w:t>。</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91" w:name="_Toc15377223"/>
      <w:bookmarkStart w:id="92" w:name="_Toc10203"/>
      <w:r>
        <w:rPr>
          <w:rFonts w:hint="eastAsia" w:ascii="仿宋" w:hAnsi="仿宋" w:eastAsia="仿宋"/>
          <w:b/>
          <w:sz w:val="32"/>
          <w:szCs w:val="32"/>
        </w:rPr>
        <w:t>（二）政府采购支出情况</w:t>
      </w:r>
      <w:bookmarkEnd w:id="91"/>
      <w:bookmarkEnd w:id="92"/>
    </w:p>
    <w:p>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马边彝族自治县红十字会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93" w:name="_Toc15377224"/>
      <w:bookmarkStart w:id="94" w:name="_Toc31636"/>
      <w:r>
        <w:rPr>
          <w:rFonts w:hint="eastAsia" w:ascii="仿宋" w:hAnsi="仿宋" w:eastAsia="仿宋"/>
          <w:b/>
          <w:sz w:val="32"/>
          <w:szCs w:val="32"/>
        </w:rPr>
        <w:t>（三）国有资产占有使用情况</w:t>
      </w:r>
      <w:bookmarkEnd w:id="93"/>
      <w:bookmarkEnd w:id="94"/>
    </w:p>
    <w:p>
      <w:pPr>
        <w:autoSpaceDE w:val="0"/>
        <w:autoSpaceDN w:val="0"/>
        <w:adjustRightInd w:val="0"/>
        <w:spacing w:line="600" w:lineRule="exact"/>
        <w:ind w:firstLine="640" w:firstLineChars="200"/>
        <w:jc w:val="left"/>
      </w:pPr>
      <w:r>
        <w:rPr>
          <w:rFonts w:hint="eastAsia" w:ascii="仿宋_GB2312" w:hAnsi="仿宋_GB2312" w:eastAsia="仿宋_GB2312" w:cs="仿宋_GB2312"/>
          <w:sz w:val="32"/>
          <w:szCs w:val="32"/>
        </w:rPr>
        <w:t>截至2023年12月31日，马边彝族自治县红十字会共有车辆0辆，其中：主要领导干部用车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辆。单价100万元以上设备（不含车辆）0台（套）。</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95" w:name="_Toc8523"/>
      <w:r>
        <w:rPr>
          <w:rFonts w:hint="eastAsia" w:ascii="仿宋" w:hAnsi="仿宋" w:eastAsia="仿宋"/>
          <w:b/>
          <w:sz w:val="32"/>
          <w:szCs w:val="32"/>
        </w:rPr>
        <w:t>（四）预算绩效管理情况</w:t>
      </w:r>
      <w:bookmarkEnd w:id="95"/>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根据预算绩效管理要求，本部门在2023年度预算编制阶段，组织对</w:t>
      </w:r>
      <w:r>
        <w:rPr>
          <w:rFonts w:hint="eastAsia" w:ascii="仿宋_GB2312" w:hAnsi="仿宋_GB2312" w:eastAsia="仿宋_GB2312" w:cs="仿宋_GB2312"/>
          <w:sz w:val="32"/>
          <w:szCs w:val="32"/>
          <w:lang w:eastAsia="zh-CN"/>
        </w:rPr>
        <w:t>《</w:t>
      </w:r>
      <w:r>
        <w:rPr>
          <w:rFonts w:hint="eastAsia" w:ascii="仿宋_GB2312" w:hAnsi="Times New Roman" w:eastAsia="仿宋_GB2312"/>
          <w:sz w:val="32"/>
          <w:szCs w:val="32"/>
        </w:rPr>
        <w:t>马边彝族自治县红十字会应急救援和救护能力提升工程项目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个项目开展绩效监控。</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组织对2023年度一般公共预算、政府性基金预算、国有资本经营预算、社会保险基金预算以及资本资产、债券资金等全面开展绩效自评，形成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lang w:val="en-US" w:eastAsia="zh-CN"/>
        </w:rPr>
        <w:t>马边彝族自治县红十字会</w:t>
      </w:r>
      <w:r>
        <w:rPr>
          <w:rFonts w:hint="eastAsia" w:ascii="仿宋_GB2312" w:hAnsi="仿宋_GB2312" w:eastAsia="仿宋_GB2312" w:cs="仿宋_GB2312"/>
          <w:sz w:val="32"/>
          <w:szCs w:val="32"/>
        </w:rPr>
        <w:t>部门整体绩效自评报告，其中，</w:t>
      </w:r>
      <w:r>
        <w:rPr>
          <w:rFonts w:hint="eastAsia" w:ascii="仿宋_GB2312" w:hAnsi="仿宋_GB2312" w:eastAsia="仿宋_GB2312" w:cs="仿宋_GB2312"/>
          <w:sz w:val="32"/>
          <w:szCs w:val="32"/>
          <w:lang w:val="en-US" w:eastAsia="zh-CN"/>
        </w:rPr>
        <w:t>马边彝族自治县红十字会</w:t>
      </w:r>
      <w:r>
        <w:rPr>
          <w:rFonts w:hint="eastAsia" w:ascii="仿宋_GB2312" w:hAnsi="仿宋_GB2312" w:eastAsia="仿宋_GB2312" w:cs="仿宋_GB2312"/>
          <w:sz w:val="32"/>
          <w:szCs w:val="32"/>
        </w:rPr>
        <w:t>部门整体绩效自评得分为</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分，绩效自评综述：</w:t>
      </w:r>
      <w:r>
        <w:rPr>
          <w:rFonts w:hint="eastAsia" w:ascii="仿宋_GB2312" w:hAnsi="仿宋_GB2312" w:eastAsia="仿宋_GB2312" w:cs="仿宋_GB2312"/>
          <w:color w:val="000000"/>
          <w:kern w:val="0"/>
          <w:sz w:val="32"/>
          <w:szCs w:val="32"/>
          <w:shd w:val="clear" w:color="auto" w:fill="FFFFFF"/>
          <w:lang w:val="en-US" w:eastAsia="zh-CN"/>
        </w:rPr>
        <w:t>本年度预算执行绩效管理工作达到预期效果，总体良好。对特定项目的绩效监督工作有待进一步细化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Times New Roman" w:eastAsia="仿宋_GB2312"/>
          <w:sz w:val="32"/>
          <w:szCs w:val="32"/>
        </w:rPr>
        <w:t>马边彝族自治县红十字会应急救援和救护能力提升工程项目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专项预算项目绩效自评得分为</w:t>
      </w:r>
      <w:r>
        <w:rPr>
          <w:rFonts w:hint="eastAsia" w:ascii="仿宋_GB2312" w:hAnsi="仿宋_GB2312" w:eastAsia="仿宋_GB2312" w:cs="仿宋_GB2312"/>
          <w:sz w:val="32"/>
          <w:szCs w:val="32"/>
          <w:lang w:val="en-US" w:eastAsia="zh-CN"/>
        </w:rPr>
        <w:t>98.4</w:t>
      </w:r>
      <w:r>
        <w:rPr>
          <w:rFonts w:hint="eastAsia" w:ascii="仿宋_GB2312" w:hAnsi="仿宋_GB2312" w:eastAsia="仿宋_GB2312" w:cs="仿宋_GB2312"/>
          <w:sz w:val="32"/>
          <w:szCs w:val="32"/>
        </w:rPr>
        <w:t>分，绩效自评综述：</w:t>
      </w:r>
      <w:r>
        <w:rPr>
          <w:rFonts w:hint="eastAsia" w:ascii="仿宋_GB2312" w:hAnsi="宋体" w:eastAsia="仿宋_GB2312" w:cs="宋体"/>
          <w:color w:val="000000"/>
          <w:kern w:val="0"/>
          <w:sz w:val="32"/>
          <w:szCs w:val="32"/>
          <w:shd w:val="clear" w:color="auto" w:fill="FFFFFF"/>
          <w:lang w:val="en-US" w:eastAsia="zh-CN"/>
        </w:rPr>
        <w:t>绩效目标实现较为理想，在项目保质保量完成的情况下，为财政节省资金15万余元。</w:t>
      </w:r>
      <w:r>
        <w:rPr>
          <w:rFonts w:hint="eastAsia" w:ascii="仿宋_GB2312" w:hAnsi="仿宋_GB2312" w:eastAsia="仿宋_GB2312" w:cs="仿宋_GB2312"/>
          <w:sz w:val="32"/>
          <w:szCs w:val="32"/>
          <w:lang w:eastAsia="zh-CN"/>
        </w:rPr>
        <w:t>《红十字业务培训宣传相关费用》</w:t>
      </w:r>
      <w:r>
        <w:rPr>
          <w:rFonts w:hint="eastAsia" w:ascii="仿宋_GB2312" w:hAnsi="仿宋_GB2312" w:eastAsia="仿宋_GB2312" w:cs="仿宋_GB2312"/>
          <w:sz w:val="32"/>
          <w:szCs w:val="32"/>
        </w:rPr>
        <w:t>专项预算项目绩效自评得分为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分，绩效自评综述：</w:t>
      </w:r>
      <w:r>
        <w:rPr>
          <w:rFonts w:hint="eastAsia" w:ascii="仿宋_GB2312" w:hAnsi="宋体" w:eastAsia="仿宋_GB2312" w:cs="宋体"/>
          <w:color w:val="000000"/>
          <w:kern w:val="0"/>
          <w:sz w:val="32"/>
          <w:szCs w:val="32"/>
          <w:shd w:val="clear" w:color="auto" w:fill="FFFFFF"/>
          <w:lang w:val="en-US" w:eastAsia="zh-CN"/>
        </w:rPr>
        <w:t>预算执行率达到100%，执行进度达标，无资金结余。</w:t>
      </w:r>
    </w:p>
    <w:p>
      <w:pPr>
        <w:pStyle w:val="4"/>
        <w:jc w:val="center"/>
      </w:pPr>
      <w:bookmarkStart w:id="96" w:name="_Toc15857"/>
      <w:bookmarkStart w:id="97" w:name="_Toc16370"/>
      <w:bookmarkStart w:id="98" w:name="_Toc21010"/>
      <w:r>
        <w:rPr>
          <w:rFonts w:hint="eastAsia"/>
        </w:rPr>
        <w:t>第三部分 名词解释</w:t>
      </w:r>
      <w:bookmarkEnd w:id="96"/>
      <w:bookmarkEnd w:id="97"/>
      <w:bookmarkEnd w:id="98"/>
    </w:p>
    <w:p/>
    <w:p>
      <w:pPr>
        <w:ind w:firstLine="640" w:firstLineChars="200"/>
        <w:rPr>
          <w:rFonts w:hint="eastAsia" w:ascii="仿宋_GB2312" w:eastAsia="仿宋_GB2312"/>
          <w:sz w:val="32"/>
          <w:szCs w:val="32"/>
        </w:rPr>
      </w:pPr>
      <w:r>
        <w:rPr>
          <w:rFonts w:hint="eastAsia" w:ascii="仿宋_GB2312" w:eastAsia="仿宋_GB2312"/>
          <w:sz w:val="32"/>
          <w:szCs w:val="32"/>
        </w:rPr>
        <w:t>1.财政拨款收入：指单位从同级财政部门取得的财政预算资金。</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.社会保障和就业支出（类）行政事业单位养老支出（款）机关事业单位基本养老保险缴费支出（项）：指机关事业单位实施养老保险制度由单位缴纳的基本养老保险费支出。</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3.社会保障和就业支出（类）红十字事业（款）事业运行（项）：指事业单位的基本支出，不包括行政单位(包括实行公务员管理的事业单位)后勤服务中心、医务室等附属事业单位。</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.社会保障和就业支出（类）其他社会保障和就业支出（款）其他社会保障和就业支出（项）：指除上述项目以外其他用于社会保障和就业方面的支出。</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.卫生健康支出（类）行政事业单位医疗（款）事业单位医疗（项）：指财政部门安排的事业单位基本医疗保险缴费经费，未参加医疗保险的事业单位的公费医疗经费，按国家规定享受离休人员待遇的医疗经费。</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.农林水支出（类）巩固脱贫攻坚成果衔接乡村振兴（款）其他巩固脱贫攻坚成果衔接乡村振兴支出（项）：指除上述项目以外其他用于巩固拓展脱贫攻坚成果同乡村振兴有效衔接方面的支出。</w:t>
      </w: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7.住房保障支出（类）住房改革支出（款）住房公积金（项）：指行政事业单位按人力资源和社会保障部、财政部规定的基本工资和津贴补贴以及规定比例为职工缴纳的住房公积金。</w:t>
      </w:r>
    </w:p>
    <w:p>
      <w:pPr>
        <w:ind w:firstLine="640" w:firstLineChars="200"/>
        <w:rPr>
          <w:rFonts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 xml:space="preserve">.项目支出：指在基本支出之外为完成特定行政任务和事业发展目标所发生的支出。 </w:t>
      </w:r>
    </w:p>
    <w:p>
      <w:pPr>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rPr>
          <w:rFonts w:ascii="仿宋" w:hAnsi="仿宋" w:eastAsia="仿宋"/>
          <w:b/>
          <w:sz w:val="32"/>
          <w:szCs w:val="32"/>
        </w:rPr>
      </w:pPr>
      <w:r>
        <w:rPr>
          <w:rFonts w:ascii="仿宋" w:hAnsi="仿宋" w:eastAsia="仿宋"/>
          <w:b/>
          <w:sz w:val="32"/>
          <w:szCs w:val="32"/>
        </w:rPr>
        <w:br w:type="page"/>
      </w:r>
    </w:p>
    <w:p>
      <w:pPr>
        <w:pStyle w:val="4"/>
        <w:jc w:val="center"/>
        <w:rPr>
          <w:rFonts w:ascii="黑体" w:hAnsi="黑体" w:eastAsia="黑体"/>
          <w:b w:val="0"/>
        </w:rPr>
      </w:pPr>
      <w:bookmarkStart w:id="99" w:name="_Toc11595"/>
      <w:bookmarkStart w:id="100" w:name="_Toc1307"/>
      <w:bookmarkStart w:id="101" w:name="_Toc8312"/>
      <w:r>
        <w:rPr>
          <w:rFonts w:hint="eastAsia" w:ascii="黑体" w:hAnsi="黑体" w:eastAsia="黑体"/>
          <w:b w:val="0"/>
        </w:rPr>
        <w:t>第四部分 附件</w:t>
      </w:r>
      <w:bookmarkEnd w:id="99"/>
      <w:bookmarkEnd w:id="100"/>
      <w:bookmarkEnd w:id="101"/>
    </w:p>
    <w:p/>
    <w:p>
      <w:pPr>
        <w:rPr>
          <w:rFonts w:ascii="黑体" w:hAnsi="黑体" w:eastAsia="黑体"/>
          <w:sz w:val="32"/>
          <w:szCs w:val="32"/>
        </w:rPr>
      </w:pPr>
      <w:r>
        <w:rPr>
          <w:rFonts w:hint="eastAsia" w:ascii="黑体" w:hAnsi="黑体" w:eastAsia="黑体"/>
          <w:sz w:val="32"/>
          <w:szCs w:val="32"/>
        </w:rPr>
        <w:t>附件1</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马边彝族自治县红十字会</w:t>
      </w:r>
    </w:p>
    <w:p>
      <w:pPr>
        <w:jc w:val="center"/>
        <w:rPr>
          <w:rFonts w:ascii="方正小标宋简体" w:hAnsi="方正小标宋简体" w:eastAsia="方正小标宋简体"/>
          <w:sz w:val="44"/>
          <w:szCs w:val="44"/>
        </w:rPr>
      </w:pPr>
      <w:r>
        <w:rPr>
          <w:rFonts w:ascii="方正小标宋简体" w:eastAsia="方正小标宋简体"/>
          <w:sz w:val="44"/>
          <w:szCs w:val="44"/>
          <w:lang w:eastAsia="zh-CN"/>
        </w:rPr>
        <w:t>关于整体绩效自评的报告</w:t>
      </w:r>
    </w:p>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黑体" w:hAnsi="黑体" w:eastAsia="黑体"/>
          <w:sz w:val="32"/>
          <w:szCs w:val="32"/>
        </w:rPr>
      </w:pPr>
      <w:r>
        <w:rPr>
          <w:rFonts w:hint="eastAsia" w:ascii="黑体" w:hAnsi="黑体" w:eastAsia="黑体"/>
          <w:sz w:val="32"/>
          <w:szCs w:val="32"/>
        </w:rPr>
        <w:t>一、部门（单位）基本情况</w:t>
      </w:r>
    </w:p>
    <w:p>
      <w:pPr>
        <w:widowControl/>
        <w:adjustRightInd w:val="0"/>
        <w:snapToGrid w:val="0"/>
        <w:spacing w:line="580"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en-US" w:eastAsia="zh-CN"/>
        </w:rPr>
      </w:pPr>
      <w:r>
        <w:rPr>
          <w:rFonts w:hint="eastAsia" w:ascii="楷体_GB2312" w:eastAsia="楷体_GB2312"/>
          <w:b/>
          <w:sz w:val="32"/>
          <w:szCs w:val="32"/>
        </w:rPr>
        <w:t>（一）机构组成。</w:t>
      </w:r>
      <w:r>
        <w:rPr>
          <w:rFonts w:hint="eastAsia" w:ascii="仿宋_GB2312" w:hAnsi="仿宋_GB2312" w:eastAsia="仿宋_GB2312" w:cs="仿宋_GB2312"/>
          <w:color w:val="000000"/>
          <w:kern w:val="0"/>
          <w:sz w:val="32"/>
          <w:szCs w:val="32"/>
          <w:shd w:val="clear" w:color="auto" w:fill="FFFFFF"/>
          <w:lang w:val="en-US" w:eastAsia="zh-CN"/>
        </w:rPr>
        <w:t>马边彝族自治县红十字会是2019年经县委编办批准单列的正科级事业单位，属群团工作机构，有办公室一个内设机构。</w:t>
      </w:r>
    </w:p>
    <w:p>
      <w:pPr>
        <w:ind w:firstLine="643" w:firstLineChars="200"/>
        <w:rPr>
          <w:rFonts w:ascii="楷体_GB2312" w:eastAsia="楷体_GB2312"/>
          <w:b/>
          <w:sz w:val="32"/>
          <w:szCs w:val="32"/>
        </w:rPr>
      </w:pPr>
      <w:r>
        <w:rPr>
          <w:rFonts w:hint="eastAsia" w:ascii="楷体_GB2312" w:eastAsia="楷体_GB2312"/>
          <w:b/>
          <w:sz w:val="32"/>
          <w:szCs w:val="32"/>
        </w:rPr>
        <w:t>（二）机构职能。</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三定方案</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规定职能包括：1.</w:t>
      </w:r>
      <w:r>
        <w:rPr>
          <w:rFonts w:hint="eastAsia" w:ascii="仿宋_GB2312" w:hAnsi="仿宋_GB2312" w:eastAsia="仿宋_GB2312" w:cs="仿宋_GB2312"/>
          <w:i w:val="0"/>
          <w:caps w:val="0"/>
          <w:smallCaps w:val="0"/>
          <w:color w:val="auto"/>
          <w:spacing w:val="0"/>
          <w:sz w:val="32"/>
          <w:szCs w:val="32"/>
          <w:shd w:val="clear" w:color="auto" w:fill="FFFFFF"/>
        </w:rPr>
        <w:t>宣传、贯彻《中华人民共和国红十字会法》,执行《中国红十字会章程》，推动全县红十字会工作的开展</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2.</w:t>
      </w:r>
      <w:r>
        <w:rPr>
          <w:rFonts w:hint="eastAsia" w:ascii="仿宋_GB2312" w:hAnsi="仿宋_GB2312" w:eastAsia="仿宋_GB2312" w:cs="仿宋_GB2312"/>
          <w:i w:val="0"/>
          <w:caps w:val="0"/>
          <w:smallCaps w:val="0"/>
          <w:color w:val="auto"/>
          <w:spacing w:val="0"/>
          <w:sz w:val="32"/>
          <w:szCs w:val="32"/>
          <w:shd w:val="clear" w:color="auto" w:fill="FFFFFF"/>
        </w:rPr>
        <w:t>开展全县救援、救灾相关工作。在自然灾害和突发事件中，协助开展救护和救助工作；</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3.</w:t>
      </w:r>
      <w:r>
        <w:rPr>
          <w:rFonts w:hint="eastAsia" w:ascii="仿宋_GB2312" w:hAnsi="仿宋_GB2312" w:eastAsia="仿宋_GB2312" w:cs="仿宋_GB2312"/>
          <w:i w:val="0"/>
          <w:caps w:val="0"/>
          <w:smallCaps w:val="0"/>
          <w:color w:val="auto"/>
          <w:spacing w:val="0"/>
          <w:sz w:val="32"/>
          <w:szCs w:val="32"/>
          <w:shd w:val="clear" w:color="auto" w:fill="FFFFFF"/>
        </w:rPr>
        <w:t>调查了解灾情，依法开展募捐活动；</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4.</w:t>
      </w:r>
      <w:r>
        <w:rPr>
          <w:rFonts w:hint="eastAsia" w:ascii="仿宋_GB2312" w:hAnsi="仿宋_GB2312" w:eastAsia="仿宋_GB2312" w:cs="仿宋_GB2312"/>
          <w:i w:val="0"/>
          <w:caps w:val="0"/>
          <w:smallCaps w:val="0"/>
          <w:color w:val="auto"/>
          <w:spacing w:val="0"/>
          <w:sz w:val="32"/>
          <w:szCs w:val="32"/>
          <w:shd w:val="clear" w:color="auto" w:fill="FFFFFF"/>
        </w:rPr>
        <w:t>依法接受国内外组织和个人的捐赠；</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5.</w:t>
      </w:r>
      <w:r>
        <w:rPr>
          <w:rFonts w:hint="eastAsia" w:ascii="仿宋_GB2312" w:hAnsi="仿宋_GB2312" w:eastAsia="仿宋_GB2312" w:cs="仿宋_GB2312"/>
          <w:i w:val="0"/>
          <w:caps w:val="0"/>
          <w:smallCaps w:val="0"/>
          <w:color w:val="auto"/>
          <w:spacing w:val="0"/>
          <w:sz w:val="32"/>
          <w:szCs w:val="32"/>
          <w:shd w:val="clear" w:color="auto" w:fill="FFFFFF"/>
        </w:rPr>
        <w:t>及时向灾区群众和受难者提供人道主义援助</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rPr>
        <w:t>开展应急救护培训，普及应急救护、防灾避险和卫生健康知识，组织志愿者参与现场救护</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6.</w:t>
      </w:r>
      <w:r>
        <w:rPr>
          <w:rFonts w:hint="eastAsia" w:ascii="仿宋_GB2312" w:hAnsi="仿宋_GB2312" w:eastAsia="仿宋_GB2312" w:cs="仿宋_GB2312"/>
          <w:i w:val="0"/>
          <w:caps w:val="0"/>
          <w:smallCaps w:val="0"/>
          <w:color w:val="auto"/>
          <w:spacing w:val="0"/>
          <w:sz w:val="32"/>
          <w:szCs w:val="32"/>
          <w:shd w:val="clear" w:color="auto" w:fill="FFFFFF"/>
        </w:rPr>
        <w:t>参与、推动无偿献血、遗体和人体器官捐献工作，参与开展造血干细胞捐献的相关工作</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7.</w:t>
      </w:r>
      <w:r>
        <w:rPr>
          <w:rFonts w:hint="eastAsia" w:ascii="仿宋_GB2312" w:hAnsi="仿宋_GB2312" w:eastAsia="仿宋_GB2312" w:cs="仿宋_GB2312"/>
          <w:i w:val="0"/>
          <w:caps w:val="0"/>
          <w:smallCaps w:val="0"/>
          <w:color w:val="auto"/>
          <w:spacing w:val="0"/>
          <w:sz w:val="32"/>
          <w:szCs w:val="32"/>
          <w:shd w:val="clear" w:color="auto" w:fill="FFFFFF"/>
        </w:rPr>
        <w:t>开展红十字志愿服务活动，开展有益于青少年身心健康的红十字青少年活动</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8.</w:t>
      </w:r>
      <w:r>
        <w:rPr>
          <w:rFonts w:hint="eastAsia" w:ascii="仿宋_GB2312" w:hAnsi="仿宋_GB2312" w:eastAsia="仿宋_GB2312" w:cs="仿宋_GB2312"/>
          <w:i w:val="0"/>
          <w:caps w:val="0"/>
          <w:smallCaps w:val="0"/>
          <w:color w:val="auto"/>
          <w:spacing w:val="0"/>
          <w:sz w:val="32"/>
          <w:szCs w:val="32"/>
          <w:shd w:val="clear" w:color="auto" w:fill="FFFFFF"/>
        </w:rPr>
        <w:t>宣传国际红十字和红新月运动的基本原则和日内瓦公约及其附加议定书，并依照有关规定开展工作</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9.</w:t>
      </w:r>
      <w:r>
        <w:rPr>
          <w:rFonts w:hint="eastAsia" w:ascii="仿宋_GB2312" w:hAnsi="仿宋_GB2312" w:eastAsia="仿宋_GB2312" w:cs="仿宋_GB2312"/>
          <w:i w:val="0"/>
          <w:caps w:val="0"/>
          <w:smallCaps w:val="0"/>
          <w:color w:val="auto"/>
          <w:spacing w:val="0"/>
          <w:sz w:val="32"/>
          <w:szCs w:val="32"/>
          <w:shd w:val="clear" w:color="auto" w:fill="FFFFFF"/>
        </w:rPr>
        <w:t> 发展与各地红十字会之间的友好交往，开展人道领域方面的交流与合作</w:t>
      </w:r>
      <w:r>
        <w:rPr>
          <w:rFonts w:hint="eastAsia" w:ascii="仿宋_GB2312" w:hAnsi="仿宋_GB2312" w:eastAsia="仿宋_GB2312" w:cs="仿宋_GB2312"/>
          <w:i w:val="0"/>
          <w:caps w:val="0"/>
          <w:smallCaps w:val="0"/>
          <w:color w:val="auto"/>
          <w:spacing w:val="0"/>
          <w:sz w:val="32"/>
          <w:szCs w:val="32"/>
          <w:shd w:val="clear" w:color="auto" w:fill="FFFFFF"/>
          <w:lang w:eastAsia="zh-CN"/>
        </w:rPr>
        <w:t>；</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10.</w:t>
      </w:r>
      <w:r>
        <w:rPr>
          <w:rFonts w:hint="eastAsia" w:ascii="仿宋_GB2312" w:hAnsi="仿宋_GB2312" w:eastAsia="仿宋_GB2312" w:cs="仿宋_GB2312"/>
          <w:i w:val="0"/>
          <w:caps w:val="0"/>
          <w:smallCaps w:val="0"/>
          <w:color w:val="auto"/>
          <w:spacing w:val="0"/>
          <w:sz w:val="32"/>
          <w:szCs w:val="32"/>
          <w:shd w:val="clear" w:color="auto" w:fill="FFFFFF"/>
        </w:rPr>
        <w:t>完成县委、县政府以及上级红十字会交办的其他工作。</w:t>
      </w:r>
    </w:p>
    <w:p>
      <w:pPr>
        <w:keepNext w:val="0"/>
        <w:keepLines w:val="0"/>
        <w:pageBreakBefore w:val="0"/>
        <w:widowControl/>
        <w:kinsoku/>
        <w:wordWrap/>
        <w:overflowPunct/>
        <w:topLinePunct w:val="0"/>
        <w:autoSpaceDE/>
        <w:autoSpaceDN/>
        <w:bidi w:val="0"/>
        <w:adjustRightInd w:val="0"/>
        <w:snapToGrid w:val="0"/>
        <w:spacing w:line="600" w:lineRule="exact"/>
        <w:ind w:left="0" w:firstLine="643" w:firstLineChars="200"/>
        <w:contextualSpacing/>
        <w:jc w:val="left"/>
        <w:textAlignment w:val="auto"/>
        <w:rPr>
          <w:rFonts w:ascii="仿宋_GB2312" w:eastAsia="仿宋_GB2312"/>
          <w:sz w:val="32"/>
          <w:szCs w:val="32"/>
        </w:rPr>
      </w:pPr>
      <w:r>
        <w:rPr>
          <w:rFonts w:hint="eastAsia" w:ascii="楷体_GB2312" w:eastAsia="楷体_GB2312"/>
          <w:b/>
          <w:sz w:val="32"/>
          <w:szCs w:val="32"/>
        </w:rPr>
        <w:t>（三）人员概况。</w:t>
      </w:r>
      <w:r>
        <w:rPr>
          <w:rFonts w:hint="eastAsia" w:ascii="仿宋_GB2312" w:eastAsia="仿宋_GB2312"/>
          <w:sz w:val="32"/>
          <w:szCs w:val="32"/>
        </w:rPr>
        <w:t>截至2023年末，</w:t>
      </w:r>
      <w:r>
        <w:rPr>
          <w:rFonts w:hint="eastAsia" w:ascii="仿宋_GB2312" w:hAnsi="仿宋_GB2312" w:eastAsia="仿宋_GB2312" w:cs="仿宋_GB2312"/>
          <w:i w:val="0"/>
          <w:caps w:val="0"/>
          <w:smallCaps w:val="0"/>
          <w:color w:val="auto"/>
          <w:spacing w:val="0"/>
          <w:sz w:val="32"/>
          <w:szCs w:val="32"/>
          <w:shd w:val="clear" w:color="auto" w:fill="FFFFFF"/>
          <w:lang w:val="en-US" w:eastAsia="zh-CN"/>
        </w:rPr>
        <w:t>共有事业管理岗位编制5人，在编在岗5人。</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黑体" w:hAnsi="黑体" w:eastAsia="黑体"/>
          <w:sz w:val="32"/>
          <w:szCs w:val="32"/>
        </w:rPr>
      </w:pPr>
      <w:r>
        <w:rPr>
          <w:rFonts w:hint="eastAsia" w:ascii="黑体" w:hAnsi="黑体" w:eastAsia="黑体"/>
          <w:sz w:val="32"/>
          <w:szCs w:val="32"/>
        </w:rPr>
        <w:t>二、部门资金收支情况</w:t>
      </w:r>
    </w:p>
    <w:p>
      <w:pPr>
        <w:widowControl/>
        <w:adjustRightInd w:val="0"/>
        <w:snapToGrid w:val="0"/>
        <w:spacing w:line="580" w:lineRule="exact"/>
        <w:ind w:firstLine="643" w:firstLineChars="200"/>
        <w:contextualSpacing/>
        <w:jc w:val="left"/>
        <w:rPr>
          <w:rFonts w:hint="eastAsia" w:ascii="仿宋_GB2312" w:hAnsi="仿宋_GB2312" w:eastAsia="仿宋_GB2312" w:cs="仿宋_GB2312"/>
          <w:color w:val="000000"/>
          <w:kern w:val="0"/>
          <w:szCs w:val="32"/>
          <w:shd w:val="clear" w:color="auto" w:fill="FFFFFF"/>
          <w:lang w:val="zh-CN"/>
        </w:rPr>
      </w:pPr>
      <w:r>
        <w:rPr>
          <w:rFonts w:hint="eastAsia" w:ascii="楷体_GB2312" w:eastAsia="楷体_GB2312"/>
          <w:b/>
          <w:sz w:val="32"/>
          <w:szCs w:val="32"/>
        </w:rPr>
        <w:t>（一）收入情况。</w:t>
      </w: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eastAsia="zh-CN"/>
        </w:rPr>
        <w:t>马边彝族自治县红十字会</w:t>
      </w:r>
      <w:r>
        <w:rPr>
          <w:rFonts w:hint="eastAsia" w:ascii="仿宋_GB2312" w:hAnsi="仿宋" w:eastAsia="仿宋_GB2312"/>
          <w:sz w:val="32"/>
          <w:szCs w:val="32"/>
        </w:rPr>
        <w:t>年初预算</w:t>
      </w:r>
      <w:r>
        <w:rPr>
          <w:rFonts w:hint="eastAsia" w:ascii="仿宋_GB2312" w:hAnsi="仿宋" w:eastAsia="仿宋_GB2312"/>
          <w:sz w:val="32"/>
          <w:szCs w:val="32"/>
          <w:lang w:val="en-US" w:eastAsia="zh-CN"/>
        </w:rPr>
        <w:t>收入112.97万元，</w:t>
      </w:r>
      <w:r>
        <w:rPr>
          <w:rFonts w:hint="eastAsia" w:ascii="仿宋_GB2312" w:hAnsi="仿宋" w:eastAsia="仿宋_GB2312"/>
          <w:sz w:val="32"/>
          <w:szCs w:val="32"/>
        </w:rPr>
        <w:t>决算</w:t>
      </w:r>
      <w:r>
        <w:rPr>
          <w:rFonts w:hint="eastAsia" w:ascii="仿宋_GB2312" w:hAnsi="仿宋" w:eastAsia="仿宋_GB2312"/>
          <w:sz w:val="32"/>
          <w:szCs w:val="32"/>
          <w:lang w:val="en-US" w:eastAsia="zh-CN"/>
        </w:rPr>
        <w:t>收入318.6万元。</w:t>
      </w:r>
    </w:p>
    <w:p>
      <w:pPr>
        <w:widowControl/>
        <w:adjustRightInd w:val="0"/>
        <w:snapToGrid w:val="0"/>
        <w:spacing w:line="580" w:lineRule="exact"/>
        <w:ind w:firstLine="643" w:firstLineChars="200"/>
        <w:contextualSpacing/>
        <w:jc w:val="left"/>
        <w:rPr>
          <w:rFonts w:hint="eastAsia" w:ascii="楷体_GB2312" w:hAnsi="宋体" w:eastAsia="楷体_GB2312" w:cs="宋体"/>
          <w:color w:val="000000"/>
          <w:kern w:val="0"/>
          <w:szCs w:val="32"/>
          <w:shd w:val="clear" w:color="auto" w:fill="FFFFFF"/>
          <w:lang w:val="zh-CN"/>
        </w:rPr>
      </w:pPr>
      <w:r>
        <w:rPr>
          <w:rFonts w:hint="eastAsia" w:ascii="楷体_GB2312" w:eastAsia="楷体_GB2312"/>
          <w:b/>
          <w:sz w:val="32"/>
          <w:szCs w:val="32"/>
        </w:rPr>
        <w:t>（二）支出情况。</w:t>
      </w: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eastAsia="zh-CN"/>
        </w:rPr>
        <w:t>马边彝族自治县红十字会</w:t>
      </w:r>
      <w:r>
        <w:rPr>
          <w:rFonts w:hint="eastAsia" w:ascii="仿宋_GB2312" w:hAnsi="仿宋" w:eastAsia="仿宋_GB2312"/>
          <w:sz w:val="32"/>
          <w:szCs w:val="32"/>
        </w:rPr>
        <w:t>年初预算</w:t>
      </w:r>
      <w:r>
        <w:rPr>
          <w:rFonts w:hint="eastAsia" w:ascii="仿宋_GB2312" w:hAnsi="仿宋" w:eastAsia="仿宋_GB2312"/>
          <w:sz w:val="32"/>
          <w:szCs w:val="32"/>
          <w:lang w:val="en-US" w:eastAsia="zh-CN"/>
        </w:rPr>
        <w:t>支出112.97万元，</w:t>
      </w:r>
      <w:r>
        <w:rPr>
          <w:rFonts w:hint="eastAsia" w:ascii="仿宋_GB2312" w:hAnsi="仿宋" w:eastAsia="仿宋_GB2312"/>
          <w:sz w:val="32"/>
          <w:szCs w:val="32"/>
        </w:rPr>
        <w:t>决算</w:t>
      </w:r>
      <w:r>
        <w:rPr>
          <w:rFonts w:hint="eastAsia" w:ascii="仿宋_GB2312" w:hAnsi="仿宋" w:eastAsia="仿宋_GB2312"/>
          <w:sz w:val="32"/>
          <w:szCs w:val="32"/>
          <w:lang w:val="en-US" w:eastAsia="zh-CN"/>
        </w:rPr>
        <w:t>支出318.6万元。</w:t>
      </w:r>
    </w:p>
    <w:p>
      <w:pPr>
        <w:widowControl/>
        <w:adjustRightInd w:val="0"/>
        <w:snapToGrid w:val="0"/>
        <w:spacing w:line="580" w:lineRule="exact"/>
        <w:ind w:left="420" w:leftChars="200"/>
        <w:contextualSpacing/>
        <w:jc w:val="left"/>
        <w:rPr>
          <w:rFonts w:ascii="仿宋_GB2312" w:eastAsia="仿宋_GB2312"/>
          <w:sz w:val="32"/>
          <w:szCs w:val="32"/>
        </w:rPr>
      </w:pPr>
      <w:r>
        <w:rPr>
          <w:rFonts w:hint="eastAsia" w:ascii="楷体_GB2312" w:eastAsia="楷体_GB2312"/>
          <w:b/>
          <w:sz w:val="32"/>
          <w:szCs w:val="32"/>
        </w:rPr>
        <w:t>（三）结余分配和结转结余情况。</w:t>
      </w:r>
      <w:r>
        <w:rPr>
          <w:rFonts w:hint="eastAsia" w:ascii="楷体_GB2312" w:hAnsi="宋体" w:eastAsia="楷体_GB2312" w:cs="宋体"/>
          <w:color w:val="000000"/>
          <w:kern w:val="0"/>
          <w:sz w:val="32"/>
          <w:szCs w:val="32"/>
          <w:shd w:val="clear" w:color="auto" w:fill="FFFFFF"/>
          <w:lang w:val="en-US" w:eastAsia="zh-CN"/>
        </w:rPr>
        <w:t>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黑体" w:hAnsi="黑体" w:eastAsia="黑体"/>
          <w:sz w:val="32"/>
          <w:szCs w:val="32"/>
        </w:rPr>
      </w:pPr>
      <w:r>
        <w:rPr>
          <w:rFonts w:hint="eastAsia" w:ascii="黑体" w:hAnsi="黑体" w:eastAsia="黑体"/>
          <w:sz w:val="32"/>
          <w:szCs w:val="32"/>
        </w:rPr>
        <w:t>三、部门预算绩效分析</w:t>
      </w:r>
    </w:p>
    <w:p>
      <w:pPr>
        <w:snapToGrid w:val="0"/>
        <w:spacing w:line="520" w:lineRule="exact"/>
        <w:ind w:firstLine="643" w:firstLineChars="200"/>
        <w:rPr>
          <w:rFonts w:hint="eastAsia" w:ascii="仿宋_GB2312" w:hAnsi="仿宋" w:eastAsia="仿宋_GB2312" w:cs="Times New Roman"/>
          <w:color w:val="auto"/>
          <w:sz w:val="32"/>
          <w:szCs w:val="32"/>
          <w:lang w:val="zh-CN" w:eastAsia="zh-CN"/>
        </w:rPr>
      </w:pPr>
      <w:r>
        <w:rPr>
          <w:rFonts w:hint="eastAsia" w:ascii="楷体_GB2312" w:eastAsia="楷体_GB2312"/>
          <w:b/>
          <w:sz w:val="32"/>
          <w:szCs w:val="32"/>
        </w:rPr>
        <w:t>（一）部门预算总体绩效分析。</w:t>
      </w:r>
      <w:r>
        <w:rPr>
          <w:rFonts w:hint="eastAsia" w:ascii="仿宋_GB2312" w:hAnsi="仿宋" w:eastAsia="仿宋_GB2312" w:cs="Times New Roman"/>
          <w:color w:val="auto"/>
          <w:sz w:val="32"/>
          <w:szCs w:val="32"/>
          <w:lang w:val="zh-CN" w:eastAsia="zh-CN"/>
        </w:rPr>
        <w:t>从</w:t>
      </w:r>
      <w:r>
        <w:rPr>
          <w:rFonts w:hint="eastAsia" w:ascii="仿宋_GB2312" w:hAnsi="仿宋" w:eastAsia="仿宋_GB2312" w:cs="Times New Roman"/>
          <w:color w:val="auto"/>
          <w:sz w:val="32"/>
          <w:szCs w:val="32"/>
          <w:lang w:val="en-US" w:eastAsia="zh-CN"/>
        </w:rPr>
        <w:t>总体</w:t>
      </w:r>
      <w:r>
        <w:rPr>
          <w:rFonts w:hint="eastAsia" w:ascii="仿宋_GB2312" w:hAnsi="仿宋" w:eastAsia="仿宋_GB2312" w:cs="Times New Roman"/>
          <w:color w:val="auto"/>
          <w:sz w:val="32"/>
          <w:szCs w:val="32"/>
          <w:lang w:val="zh-CN" w:eastAsia="zh-CN"/>
        </w:rPr>
        <w:t>情况来看</w:t>
      </w:r>
      <w:r>
        <w:rPr>
          <w:rFonts w:hint="eastAsia" w:ascii="仿宋_GB2312" w:hAnsi="仿宋" w:eastAsia="仿宋_GB2312" w:cs="Times New Roman"/>
          <w:color w:val="auto"/>
          <w:sz w:val="32"/>
          <w:szCs w:val="32"/>
          <w:lang w:val="en-US" w:eastAsia="zh-CN"/>
        </w:rPr>
        <w:t>马边彝族自治县红十字会按期完成了本年度的各项工作任务，履职能力良好</w:t>
      </w:r>
      <w:r>
        <w:rPr>
          <w:rFonts w:ascii="仿宋_GB2312" w:hAnsi="仿宋" w:eastAsia="仿宋_GB2312" w:cs="Times New Roman"/>
          <w:color w:val="auto"/>
          <w:sz w:val="32"/>
          <w:szCs w:val="32"/>
          <w:lang w:val="en-US" w:eastAsia="zh-CN"/>
        </w:rPr>
        <w:t>荣获2023年度全市红十字会先进集体称号，排全市第一位。</w:t>
      </w:r>
      <w:r>
        <w:rPr>
          <w:rFonts w:hint="eastAsia" w:ascii="仿宋_GB2312" w:hAnsi="仿宋" w:eastAsia="仿宋_GB2312" w:cs="Times New Roman"/>
          <w:color w:val="auto"/>
          <w:sz w:val="32"/>
          <w:szCs w:val="32"/>
          <w:lang w:val="zh-CN" w:eastAsia="zh-CN"/>
        </w:rPr>
        <w:t>初设定的各项绩效目标。保障单位所有人员工资开支，保质保量完成各班培训工作。</w:t>
      </w:r>
    </w:p>
    <w:p>
      <w:pPr>
        <w:snapToGrid w:val="0"/>
        <w:spacing w:line="520" w:lineRule="exact"/>
        <w:ind w:firstLine="640" w:firstLineChars="200"/>
        <w:rPr>
          <w:rFonts w:ascii="仿宋_GB2312" w:eastAsia="仿宋_GB2312"/>
          <w:sz w:val="32"/>
          <w:szCs w:val="32"/>
        </w:rPr>
      </w:pPr>
      <w:r>
        <w:rPr>
          <w:rFonts w:hint="eastAsia" w:ascii="仿宋_GB2312" w:hAnsi="仿宋" w:eastAsia="仿宋_GB2312" w:cs="Times New Roman"/>
          <w:color w:val="auto"/>
          <w:sz w:val="32"/>
          <w:szCs w:val="32"/>
          <w:lang w:val="zh-CN" w:eastAsia="zh-CN"/>
        </w:rPr>
        <w:t>做好了预算项目绩效目标及各项绩效指标的细化、量化工作，用好用活了各类财政资金。所有资金使用严格按审批程序办理、操作规范，会计核算结果真实、准确，各项支出严格按照各项规章制度执行，提高了财政资金的使用效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color w:val="000000"/>
          <w:kern w:val="0"/>
          <w:sz w:val="32"/>
          <w:szCs w:val="32"/>
          <w:shd w:val="clear" w:color="auto" w:fill="FFFFFF"/>
          <w:lang w:val="zh-CN"/>
        </w:rPr>
      </w:pPr>
      <w:r>
        <w:rPr>
          <w:rFonts w:hint="eastAsia" w:ascii="楷体_GB2312" w:hAnsi="楷体_GB2312" w:eastAsia="楷体_GB2312" w:cs="楷体_GB2312"/>
          <w:color w:val="000000"/>
          <w:kern w:val="0"/>
          <w:sz w:val="32"/>
          <w:szCs w:val="32"/>
          <w:shd w:val="clear" w:color="auto" w:fill="FFFFFF"/>
        </w:rPr>
        <w:t>1.</w:t>
      </w:r>
      <w:r>
        <w:rPr>
          <w:rFonts w:hint="eastAsia" w:ascii="楷体_GB2312" w:hAnsi="楷体_GB2312" w:eastAsia="楷体_GB2312" w:cs="楷体_GB2312"/>
          <w:color w:val="000000"/>
          <w:kern w:val="0"/>
          <w:sz w:val="32"/>
          <w:szCs w:val="32"/>
          <w:shd w:val="clear" w:color="auto" w:fill="FFFFFF"/>
          <w:lang w:val="zh-CN"/>
        </w:rPr>
        <w:t>履职</w:t>
      </w:r>
      <w:r>
        <w:rPr>
          <w:rFonts w:hint="eastAsia" w:ascii="楷体_GB2312" w:hAnsi="楷体_GB2312" w:eastAsia="楷体_GB2312" w:cs="楷体_GB2312"/>
          <w:color w:val="000000"/>
          <w:kern w:val="0"/>
          <w:sz w:val="32"/>
          <w:szCs w:val="32"/>
          <w:shd w:val="clear" w:color="auto" w:fill="FFFFFF"/>
        </w:rPr>
        <w:t>效能</w:t>
      </w:r>
      <w:r>
        <w:rPr>
          <w:rFonts w:hint="eastAsia" w:ascii="楷体_GB2312" w:hAnsi="楷体_GB2312" w:eastAsia="楷体_GB2312" w:cs="楷体_GB2312"/>
          <w:color w:val="000000"/>
          <w:kern w:val="0"/>
          <w:sz w:val="32"/>
          <w:szCs w:val="32"/>
          <w:shd w:val="clear" w:color="auto" w:fill="FFFFFF"/>
          <w:lang w:val="zh-CN"/>
        </w:rPr>
        <w:t>。</w:t>
      </w:r>
      <w:r>
        <w:rPr>
          <w:rFonts w:hint="eastAsia" w:ascii="仿宋_GB2312" w:hAnsi="仿宋_GB2312" w:eastAsia="仿宋_GB2312" w:cs="仿宋_GB2312"/>
          <w:color w:val="auto"/>
          <w:sz w:val="32"/>
          <w:szCs w:val="32"/>
          <w:lang w:val="en-US" w:eastAsia="zh-CN"/>
        </w:rPr>
        <w:t>全年开展4期红十字救护员培训，完成救护员培训268人，超年度目标任务34%；开展应急救护普及培训40期，完成普及培训2678人,超年度目标任务143.4%；年内已实现1名志愿者捐献造血干细胞的新突破，新增捐献人体器官志愿者登记24名，共有1348人参加无偿献血活动，献血量达52.8万毫升以上；</w:t>
      </w:r>
      <w:r>
        <w:rPr>
          <w:rFonts w:hint="eastAsia" w:ascii="仿宋_GB2312" w:hAnsi="仿宋_GB2312" w:eastAsia="仿宋_GB2312" w:cs="仿宋_GB2312"/>
          <w:sz w:val="32"/>
          <w:szCs w:val="32"/>
          <w:lang w:val="en-US" w:eastAsia="zh-CN"/>
        </w:rPr>
        <w:t>2023年新发展个人会员69人，团体会员7个。核心职能职责履行情况总体向好。完成了上级下达的各类工作目标任务。</w:t>
      </w:r>
    </w:p>
    <w:p>
      <w:pPr>
        <w:adjustRightInd w:val="0"/>
        <w:snapToGrid w:val="0"/>
        <w:spacing w:line="578"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预算管理。</w:t>
      </w:r>
      <w:r>
        <w:rPr>
          <w:rFonts w:hint="eastAsia" w:ascii="仿宋_GB2312" w:hAnsi="仿宋_GB2312" w:eastAsia="仿宋_GB2312" w:cs="仿宋_GB2312"/>
          <w:sz w:val="32"/>
          <w:szCs w:val="32"/>
          <w:lang w:val="en-US" w:eastAsia="zh-CN"/>
        </w:rPr>
        <w:t>部门预算编制合理，支出执行进度</w:t>
      </w:r>
      <w:r>
        <w:rPr>
          <w:rFonts w:hint="eastAsia" w:ascii="仿宋_GB2312" w:hAnsi="仿宋_GB2312" w:eastAsia="仿宋_GB2312" w:cs="仿宋_GB2312"/>
          <w:sz w:val="32"/>
          <w:szCs w:val="32"/>
          <w:lang w:val="en-US" w:eastAsia="zh-CN"/>
        </w:rPr>
        <w:t>95.16%，预算年终结余16.21万元，支出执行进度有待进一步加强。</w:t>
      </w:r>
    </w:p>
    <w:p>
      <w:pPr>
        <w:adjustRightInd w:val="0"/>
        <w:snapToGrid w:val="0"/>
        <w:spacing w:line="578"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财务管理。</w:t>
      </w:r>
      <w:r>
        <w:rPr>
          <w:rFonts w:hint="eastAsia" w:ascii="仿宋_GB2312" w:hAnsi="仿宋_GB2312" w:eastAsia="仿宋_GB2312" w:cs="仿宋_GB2312"/>
          <w:sz w:val="32"/>
          <w:szCs w:val="32"/>
          <w:lang w:val="en-US" w:eastAsia="zh-CN"/>
        </w:rPr>
        <w:t>部门财务</w:t>
      </w:r>
      <w:r>
        <w:rPr>
          <w:rFonts w:hint="eastAsia" w:ascii="仿宋_GB2312" w:hAnsi="仿宋_GB2312" w:eastAsia="仿宋_GB2312" w:cs="仿宋_GB2312"/>
          <w:sz w:val="32"/>
          <w:szCs w:val="32"/>
          <w:lang w:val="zh-CN"/>
        </w:rPr>
        <w:t>管理制度</w:t>
      </w:r>
      <w:r>
        <w:rPr>
          <w:rFonts w:hint="eastAsia" w:ascii="仿宋_GB2312" w:hAnsi="仿宋_GB2312" w:eastAsia="仿宋_GB2312" w:cs="仿宋_GB2312"/>
          <w:sz w:val="32"/>
          <w:szCs w:val="32"/>
          <w:lang w:val="en-US" w:eastAsia="zh-CN"/>
        </w:rPr>
        <w:t>建设进一步完善，实现了会计、出纳分岗设置，形成相互监督，资金使用方面总体上做到严格按照财经制度规范使用。</w:t>
      </w:r>
    </w:p>
    <w:p>
      <w:pPr>
        <w:adjustRightInd w:val="0"/>
        <w:snapToGrid w:val="0"/>
        <w:spacing w:line="578" w:lineRule="exact"/>
        <w:ind w:firstLine="640" w:firstLineChars="200"/>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4.</w:t>
      </w:r>
      <w:r>
        <w:rPr>
          <w:rFonts w:hint="eastAsia" w:ascii="仿宋_GB2312" w:hAnsi="仿宋_GB2312" w:eastAsia="仿宋_GB2312" w:cs="仿宋_GB2312"/>
          <w:color w:val="000000"/>
          <w:kern w:val="0"/>
          <w:sz w:val="32"/>
          <w:szCs w:val="32"/>
          <w:shd w:val="clear" w:color="auto" w:fill="FFFFFF"/>
          <w:lang w:val="zh-CN"/>
        </w:rPr>
        <w:t>资产管理。</w:t>
      </w:r>
      <w:r>
        <w:rPr>
          <w:rFonts w:hint="eastAsia" w:ascii="仿宋_GB2312" w:hAnsi="仿宋_GB2312" w:eastAsia="仿宋_GB2312" w:cs="仿宋_GB2312"/>
          <w:sz w:val="32"/>
          <w:szCs w:val="32"/>
          <w:lang w:val="en-US" w:eastAsia="zh-CN"/>
        </w:rPr>
        <w:t>部门资产</w:t>
      </w:r>
      <w:r>
        <w:rPr>
          <w:rFonts w:hint="eastAsia" w:ascii="仿宋_GB2312" w:hAnsi="仿宋_GB2312" w:eastAsia="仿宋_GB2312" w:cs="仿宋_GB2312"/>
          <w:sz w:val="32"/>
          <w:szCs w:val="32"/>
          <w:lang w:val="zh-CN"/>
        </w:rPr>
        <w:t>人均资产变化率</w:t>
      </w:r>
      <w:r>
        <w:rPr>
          <w:rFonts w:hint="eastAsia" w:ascii="仿宋_GB2312" w:hAnsi="仿宋_GB2312" w:eastAsia="仿宋_GB2312" w:cs="仿宋_GB2312"/>
          <w:sz w:val="32"/>
          <w:szCs w:val="32"/>
          <w:lang w:val="en-US" w:eastAsia="zh-CN"/>
        </w:rPr>
        <w:t>为0</w:t>
      </w:r>
      <w:r>
        <w:rPr>
          <w:rFonts w:hint="eastAsia" w:ascii="仿宋_GB2312" w:hAnsi="仿宋_GB2312" w:eastAsia="仿宋_GB2312" w:cs="仿宋_GB2312"/>
          <w:sz w:val="32"/>
          <w:szCs w:val="32"/>
          <w:lang w:val="zh-CN"/>
        </w:rPr>
        <w:t>、资产利用率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无需</w:t>
      </w:r>
      <w:r>
        <w:rPr>
          <w:rFonts w:hint="eastAsia" w:ascii="仿宋_GB2312" w:hAnsi="仿宋_GB2312" w:eastAsia="仿宋_GB2312" w:cs="仿宋_GB2312"/>
          <w:sz w:val="32"/>
          <w:szCs w:val="32"/>
          <w:lang w:val="zh-CN"/>
        </w:rPr>
        <w:t>盘活资产。</w:t>
      </w:r>
    </w:p>
    <w:p>
      <w:pPr>
        <w:adjustRightInd w:val="0"/>
        <w:snapToGrid w:val="0"/>
        <w:spacing w:line="578" w:lineRule="exact"/>
        <w:ind w:firstLine="640" w:firstLineChars="200"/>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5.</w:t>
      </w:r>
      <w:r>
        <w:rPr>
          <w:rFonts w:hint="eastAsia" w:ascii="仿宋_GB2312" w:hAnsi="仿宋_GB2312" w:eastAsia="仿宋_GB2312" w:cs="仿宋_GB2312"/>
          <w:color w:val="000000"/>
          <w:kern w:val="0"/>
          <w:sz w:val="32"/>
          <w:szCs w:val="32"/>
          <w:shd w:val="clear" w:color="auto" w:fill="FFFFFF"/>
          <w:lang w:val="zh-CN"/>
        </w:rPr>
        <w:t>采购管理。</w:t>
      </w:r>
      <w:r>
        <w:rPr>
          <w:rFonts w:hint="eastAsia" w:ascii="仿宋_GB2312" w:hAnsi="仿宋_GB2312" w:eastAsia="仿宋_GB2312" w:cs="仿宋_GB2312"/>
          <w:sz w:val="32"/>
          <w:szCs w:val="32"/>
          <w:lang w:val="en-US" w:eastAsia="zh-CN"/>
        </w:rPr>
        <w:t>部门全年未开展面向</w:t>
      </w:r>
      <w:r>
        <w:rPr>
          <w:rFonts w:hint="eastAsia" w:ascii="仿宋_GB2312" w:hAnsi="仿宋_GB2312" w:eastAsia="仿宋_GB2312" w:cs="仿宋_GB2312"/>
          <w:sz w:val="32"/>
          <w:szCs w:val="32"/>
          <w:lang w:val="zh-CN"/>
        </w:rPr>
        <w:t>中小企业的</w:t>
      </w:r>
      <w:r>
        <w:rPr>
          <w:rFonts w:hint="eastAsia" w:ascii="仿宋_GB2312" w:hAnsi="仿宋_GB2312" w:eastAsia="仿宋_GB2312" w:cs="仿宋_GB2312"/>
          <w:sz w:val="32"/>
          <w:szCs w:val="32"/>
          <w:lang w:val="en-US" w:eastAsia="zh-CN"/>
        </w:rPr>
        <w:t>政府采购活动</w:t>
      </w:r>
      <w:r>
        <w:rPr>
          <w:rFonts w:hint="eastAsia" w:ascii="仿宋_GB2312" w:hAnsi="仿宋_GB2312" w:eastAsia="仿宋_GB2312" w:cs="仿宋_GB2312"/>
          <w:sz w:val="32"/>
          <w:szCs w:val="32"/>
          <w:lang w:val="zh-CN"/>
        </w:rPr>
        <w:t>。</w:t>
      </w:r>
    </w:p>
    <w:p>
      <w:pPr>
        <w:ind w:firstLine="643" w:firstLineChars="200"/>
        <w:rPr>
          <w:rFonts w:eastAsia="仿宋_GB2312"/>
          <w:sz w:val="32"/>
          <w:szCs w:val="32"/>
          <w:lang w:val="zh-CN"/>
        </w:rPr>
      </w:pPr>
      <w:r>
        <w:rPr>
          <w:rFonts w:hint="eastAsia" w:ascii="楷体_GB2312" w:eastAsia="楷体_GB2312"/>
          <w:b/>
          <w:sz w:val="32"/>
          <w:szCs w:val="32"/>
        </w:rPr>
        <w:t>（二）部门预算项目绩效分析。</w:t>
      </w:r>
    </w:p>
    <w:p>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常年项目绩效分析。该类项目总数</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个，涉及预算总金额</w:t>
      </w:r>
      <w:r>
        <w:rPr>
          <w:rFonts w:hint="eastAsia" w:ascii="仿宋_GB2312" w:hAnsi="仿宋_GB2312" w:eastAsia="仿宋_GB2312" w:cs="仿宋_GB2312"/>
          <w:sz w:val="32"/>
          <w:szCs w:val="32"/>
          <w:lang w:val="en-US" w:eastAsia="zh-CN"/>
        </w:rPr>
        <w:t>23.76</w:t>
      </w:r>
      <w:r>
        <w:rPr>
          <w:rFonts w:hint="eastAsia" w:ascii="仿宋_GB2312" w:hAnsi="仿宋_GB2312" w:eastAsia="仿宋_GB2312" w:cs="仿宋_GB2312"/>
          <w:sz w:val="32"/>
          <w:szCs w:val="32"/>
          <w:lang w:val="zh-CN"/>
        </w:rPr>
        <w:t>万元，1—12月预算执行总体进度为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rPr>
        <w:t>%，其中：预算结余率大于10%的项目共计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rPr>
        <w:t>个。</w:t>
      </w:r>
    </w:p>
    <w:p>
      <w:pPr>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阶段（一次性）项目绩效分析。该类项目总数</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个，涉及预算总金额</w:t>
      </w:r>
      <w:r>
        <w:rPr>
          <w:rFonts w:hint="eastAsia" w:ascii="仿宋_GB2312" w:hAnsi="仿宋_GB2312" w:eastAsia="仿宋_GB2312" w:cs="仿宋_GB2312"/>
          <w:sz w:val="32"/>
          <w:szCs w:val="32"/>
          <w:lang w:val="en-US" w:eastAsia="zh-CN"/>
        </w:rPr>
        <w:t>221</w:t>
      </w:r>
      <w:r>
        <w:rPr>
          <w:rFonts w:hint="eastAsia" w:ascii="仿宋_GB2312" w:hAnsi="仿宋_GB2312" w:eastAsia="仿宋_GB2312" w:cs="仿宋_GB2312"/>
          <w:sz w:val="32"/>
          <w:szCs w:val="32"/>
          <w:lang w:val="zh-CN"/>
        </w:rPr>
        <w:t>万元，1—12月预算执行总体进度为</w:t>
      </w:r>
      <w:r>
        <w:rPr>
          <w:rFonts w:hint="eastAsia" w:ascii="仿宋_GB2312" w:hAnsi="仿宋_GB2312" w:eastAsia="仿宋_GB2312" w:cs="仿宋_GB2312"/>
          <w:sz w:val="32"/>
          <w:szCs w:val="32"/>
          <w:lang w:val="en-US" w:eastAsia="zh-CN"/>
        </w:rPr>
        <w:t>93.1</w:t>
      </w:r>
      <w:r>
        <w:rPr>
          <w:rFonts w:hint="eastAsia" w:ascii="仿宋_GB2312" w:hAnsi="仿宋_GB2312" w:eastAsia="仿宋_GB2312" w:cs="仿宋_GB2312"/>
          <w:sz w:val="32"/>
          <w:szCs w:val="32"/>
          <w:lang w:val="zh-CN"/>
        </w:rPr>
        <w:t>%，其中：预算结余率大于10%的项目共计</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个。</w:t>
      </w:r>
    </w:p>
    <w:p>
      <w:pPr>
        <w:ind w:firstLine="640" w:firstLineChars="200"/>
        <w:rPr>
          <w:rFonts w:eastAsia="仿宋_GB2312"/>
          <w:sz w:val="32"/>
          <w:szCs w:val="32"/>
          <w:lang w:val="zh-CN"/>
        </w:rPr>
      </w:pPr>
      <w:r>
        <w:rPr>
          <w:rFonts w:hint="eastAsia" w:ascii="楷体_GB2312" w:hAnsi="楷体_GB2312" w:eastAsia="楷体_GB2312" w:cs="楷体_GB2312"/>
          <w:color w:val="000000"/>
          <w:kern w:val="0"/>
          <w:sz w:val="32"/>
          <w:szCs w:val="32"/>
          <w:shd w:val="clear" w:color="auto" w:fill="FFFFFF"/>
        </w:rPr>
        <w:t>1.项目决策。</w:t>
      </w:r>
      <w:r>
        <w:rPr>
          <w:rFonts w:hint="eastAsia" w:eastAsia="仿宋_GB2312"/>
          <w:sz w:val="32"/>
          <w:szCs w:val="32"/>
          <w:lang w:val="en-US" w:eastAsia="zh-CN"/>
        </w:rPr>
        <w:t>项目编报计划后均通过党组会集体研究确定最终实施方案</w:t>
      </w:r>
      <w:r>
        <w:rPr>
          <w:rFonts w:hint="eastAsia" w:eastAsia="仿宋_GB2312"/>
          <w:sz w:val="32"/>
          <w:szCs w:val="32"/>
          <w:lang w:val="zh-CN"/>
        </w:rPr>
        <w:t>、目标设置</w:t>
      </w:r>
      <w:r>
        <w:rPr>
          <w:rFonts w:hint="eastAsia" w:eastAsia="仿宋_GB2312"/>
          <w:sz w:val="32"/>
          <w:szCs w:val="32"/>
          <w:lang w:val="en-US" w:eastAsia="zh-CN"/>
        </w:rPr>
        <w:t>贴合红十字会工作实际需要</w:t>
      </w:r>
      <w:r>
        <w:rPr>
          <w:rFonts w:hint="eastAsia" w:eastAsia="仿宋_GB2312"/>
          <w:sz w:val="32"/>
          <w:szCs w:val="32"/>
          <w:lang w:val="zh-CN"/>
        </w:rPr>
        <w:t>、项目入库</w:t>
      </w:r>
      <w:r>
        <w:rPr>
          <w:rFonts w:hint="eastAsia" w:eastAsia="仿宋_GB2312"/>
          <w:sz w:val="32"/>
          <w:szCs w:val="32"/>
          <w:lang w:val="en-US" w:eastAsia="zh-CN"/>
        </w:rPr>
        <w:t>及时准确</w:t>
      </w:r>
      <w:r>
        <w:rPr>
          <w:rFonts w:hint="eastAsia" w:eastAsia="仿宋_GB2312"/>
          <w:sz w:val="32"/>
          <w:szCs w:val="32"/>
          <w:lang w:val="zh-CN"/>
        </w:rPr>
        <w:t>。</w:t>
      </w:r>
    </w:p>
    <w:p>
      <w:pPr>
        <w:ind w:firstLine="640" w:firstLineChars="200"/>
        <w:rPr>
          <w:rFonts w:hint="default" w:eastAsia="仿宋_GB2312"/>
          <w:sz w:val="32"/>
          <w:szCs w:val="32"/>
          <w:lang w:val="en-US" w:eastAsia="zh-CN"/>
        </w:rPr>
      </w:pPr>
      <w:r>
        <w:rPr>
          <w:rFonts w:hint="eastAsia" w:ascii="楷体_GB2312" w:hAnsi="楷体_GB2312" w:eastAsia="楷体_GB2312" w:cs="楷体_GB2312"/>
          <w:color w:val="000000"/>
          <w:kern w:val="0"/>
          <w:sz w:val="32"/>
          <w:szCs w:val="32"/>
          <w:shd w:val="clear" w:color="auto" w:fill="FFFFFF"/>
        </w:rPr>
        <w:t>2.项目执行。</w:t>
      </w:r>
      <w:r>
        <w:rPr>
          <w:rFonts w:hint="eastAsia" w:eastAsia="仿宋_GB2312"/>
          <w:sz w:val="32"/>
          <w:szCs w:val="32"/>
          <w:lang w:val="en-US" w:eastAsia="zh-CN"/>
        </w:rPr>
        <w:t>项目资金执行进度达到年初预期水平，中期调整过一次。整体执行情况良好。</w:t>
      </w:r>
    </w:p>
    <w:p>
      <w:pPr>
        <w:ind w:firstLine="640" w:firstLineChars="200"/>
        <w:rPr>
          <w:rFonts w:eastAsia="仿宋_GB2312"/>
          <w:sz w:val="32"/>
          <w:szCs w:val="32"/>
          <w:lang w:val="zh-CN"/>
        </w:rPr>
      </w:pPr>
      <w:r>
        <w:rPr>
          <w:rFonts w:hint="eastAsia" w:ascii="楷体_GB2312" w:hAnsi="楷体_GB2312" w:eastAsia="楷体_GB2312" w:cs="楷体_GB2312"/>
          <w:color w:val="000000"/>
          <w:kern w:val="0"/>
          <w:sz w:val="32"/>
          <w:szCs w:val="32"/>
          <w:shd w:val="clear" w:color="auto" w:fill="FFFFFF"/>
        </w:rPr>
        <w:t>3.目标实现。</w:t>
      </w:r>
      <w:r>
        <w:rPr>
          <w:rFonts w:hint="eastAsia" w:eastAsia="仿宋_GB2312"/>
          <w:sz w:val="32"/>
          <w:szCs w:val="32"/>
          <w:lang w:val="en-US" w:eastAsia="zh-CN"/>
        </w:rPr>
        <w:t>项目实现了期初设想，自项目实施后打破我县无应急救护培训基地和景区救护站的历史。为开展应急救护培训普及提供有力保障。</w:t>
      </w:r>
    </w:p>
    <w:p>
      <w:pPr>
        <w:ind w:firstLine="643" w:firstLineChars="200"/>
        <w:rPr>
          <w:rFonts w:hint="eastAsia" w:ascii="楷体_GB2312" w:eastAsia="楷体_GB2312"/>
          <w:b/>
          <w:sz w:val="32"/>
          <w:szCs w:val="32"/>
        </w:rPr>
      </w:pPr>
      <w:r>
        <w:rPr>
          <w:rFonts w:hint="eastAsia" w:ascii="楷体_GB2312" w:eastAsia="楷体_GB2312"/>
          <w:b/>
          <w:sz w:val="32"/>
          <w:szCs w:val="32"/>
        </w:rPr>
        <w:t>（三）重点领域绩效分析。</w:t>
      </w:r>
      <w:r>
        <w:rPr>
          <w:rFonts w:hint="eastAsia" w:eastAsia="仿宋_GB2312"/>
          <w:sz w:val="32"/>
          <w:szCs w:val="32"/>
          <w:lang w:val="en-US" w:eastAsia="zh-CN"/>
        </w:rPr>
        <w:t>无</w:t>
      </w:r>
    </w:p>
    <w:p>
      <w:pPr>
        <w:ind w:firstLine="643" w:firstLineChars="200"/>
        <w:rPr>
          <w:rFonts w:eastAsia="仿宋_GB2312"/>
          <w:sz w:val="32"/>
          <w:szCs w:val="32"/>
          <w:lang w:val="zh-CN"/>
        </w:rPr>
      </w:pPr>
      <w:r>
        <w:rPr>
          <w:rFonts w:hint="eastAsia" w:ascii="楷体_GB2312" w:eastAsia="楷体_GB2312"/>
          <w:b/>
          <w:sz w:val="32"/>
          <w:szCs w:val="32"/>
        </w:rPr>
        <w:t>（四）绩效结果应用情况。</w:t>
      </w:r>
      <w:r>
        <w:rPr>
          <w:rFonts w:hint="eastAsia" w:ascii="仿宋_GB2312" w:hAnsi="宋体" w:eastAsia="仿宋_GB2312" w:cs="宋体"/>
          <w:color w:val="000000"/>
          <w:kern w:val="0"/>
          <w:sz w:val="32"/>
          <w:szCs w:val="32"/>
          <w:shd w:val="clear" w:color="auto" w:fill="FFFFFF"/>
          <w:lang w:val="en-US" w:eastAsia="zh-CN"/>
        </w:rPr>
        <w:t>本年度预算执行结果为下一年度更加合理、准确编报单位预算提供了有力依据，单位内控建设更加完备，年度绩效自评情况将在马边彝族自治县红十字会微信公众号上予以公开，接受社会各界监督。</w:t>
      </w:r>
    </w:p>
    <w:p>
      <w:pPr>
        <w:ind w:firstLine="640" w:firstLineChars="200"/>
        <w:rPr>
          <w:rFonts w:ascii="黑体" w:hAnsi="黑体" w:eastAsia="黑体"/>
          <w:sz w:val="32"/>
          <w:szCs w:val="32"/>
        </w:rPr>
      </w:pPr>
      <w:r>
        <w:rPr>
          <w:rFonts w:hint="eastAsia" w:ascii="黑体" w:hAnsi="黑体" w:eastAsia="黑体"/>
          <w:sz w:val="32"/>
          <w:szCs w:val="32"/>
        </w:rPr>
        <w:t>四、评价结论及建议</w:t>
      </w:r>
    </w:p>
    <w:p>
      <w:pPr>
        <w:widowControl/>
        <w:adjustRightInd w:val="0"/>
        <w:snapToGrid w:val="0"/>
        <w:spacing w:line="580"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en-US" w:eastAsia="zh-CN"/>
        </w:rPr>
      </w:pPr>
      <w:r>
        <w:rPr>
          <w:rFonts w:hint="eastAsia" w:ascii="楷体_GB2312" w:eastAsia="楷体_GB2312"/>
          <w:b/>
          <w:sz w:val="32"/>
          <w:szCs w:val="32"/>
        </w:rPr>
        <w:t>（一）评价结论。</w:t>
      </w:r>
      <w:r>
        <w:rPr>
          <w:rFonts w:hint="eastAsia" w:ascii="仿宋_GB2312" w:hAnsi="仿宋_GB2312" w:eastAsia="仿宋_GB2312" w:cs="仿宋_GB2312"/>
          <w:color w:val="000000"/>
          <w:kern w:val="0"/>
          <w:sz w:val="32"/>
          <w:szCs w:val="32"/>
          <w:shd w:val="clear" w:color="auto" w:fill="FFFFFF"/>
          <w:lang w:val="en-US" w:eastAsia="zh-CN"/>
        </w:rPr>
        <w:t>本年度预算执行绩效管理工作达到预期效果，自评得分99分，总体良好。</w:t>
      </w:r>
    </w:p>
    <w:p>
      <w:pPr>
        <w:keepNext w:val="0"/>
        <w:keepLines w:val="0"/>
        <w:pageBreakBefore w:val="0"/>
        <w:widowControl/>
        <w:kinsoku/>
        <w:wordWrap/>
        <w:overflowPunct/>
        <w:topLinePunct w:val="0"/>
        <w:autoSpaceDE/>
        <w:autoSpaceDN/>
        <w:bidi w:val="0"/>
        <w:adjustRightInd w:val="0"/>
        <w:snapToGrid w:val="0"/>
        <w:spacing w:line="580" w:lineRule="exact"/>
        <w:ind w:left="0"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楷体_GB2312" w:eastAsia="楷体_GB2312"/>
          <w:b/>
          <w:sz w:val="32"/>
          <w:szCs w:val="32"/>
        </w:rPr>
        <w:t>（二）存在问题。</w:t>
      </w:r>
      <w:r>
        <w:rPr>
          <w:rFonts w:hint="eastAsia" w:ascii="仿宋_GB2312" w:hAnsi="仿宋_GB2312" w:eastAsia="仿宋_GB2312" w:cs="仿宋_GB2312"/>
          <w:color w:val="000000"/>
          <w:kern w:val="0"/>
          <w:sz w:val="32"/>
          <w:szCs w:val="32"/>
          <w:shd w:val="clear" w:color="auto" w:fill="FFFFFF"/>
          <w:lang w:val="en-US" w:eastAsia="zh-CN"/>
        </w:rPr>
        <w:t>对特定项目的绩效监督工作有待进一步细化。</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楷体_GB2312" w:eastAsia="楷体_GB2312"/>
          <w:b/>
          <w:sz w:val="32"/>
          <w:szCs w:val="32"/>
        </w:rPr>
        <w:t>（三）改进建议。</w:t>
      </w:r>
      <w:r>
        <w:rPr>
          <w:rFonts w:hint="eastAsia" w:ascii="仿宋_GB2312" w:hAnsi="仿宋_GB2312" w:eastAsia="仿宋_GB2312" w:cs="仿宋_GB2312"/>
          <w:color w:val="auto"/>
          <w:sz w:val="32"/>
          <w:szCs w:val="32"/>
        </w:rPr>
        <w:t>加强财务人员的管理和业务知识的学习，定期对财务管理、预算执行情况进行分析，保证财务人员岗位稳定性，提高工作质量；进一步建立健全绩效管理制度，严格按照财政要求编制计划、绩效目标、跟踪管理、绩效评价、绩效报告。</w:t>
      </w:r>
    </w:p>
    <w:p>
      <w:pPr>
        <w:rPr>
          <w:rFonts w:eastAsia="仿宋_GB2312"/>
          <w:sz w:val="32"/>
          <w:szCs w:val="32"/>
          <w:lang w:val="zh-CN"/>
        </w:rPr>
      </w:pPr>
    </w:p>
    <w:p>
      <w:pPr>
        <w:ind w:firstLine="640" w:firstLineChars="200"/>
      </w:pPr>
      <w:r>
        <w:rPr>
          <w:rFonts w:hint="eastAsia" w:asciiTheme="minorEastAsia" w:hAnsiTheme="minorEastAsia" w:eastAsiaTheme="minorEastAsia"/>
          <w:sz w:val="32"/>
          <w:szCs w:val="32"/>
          <w:lang w:val="zh-CN"/>
        </w:rPr>
        <w:t>附表：</w:t>
      </w:r>
      <w:r>
        <w:rPr>
          <w:rFonts w:hint="eastAsia" w:asciiTheme="minorEastAsia" w:hAnsiTheme="minorEastAsia" w:eastAsiaTheme="minorEastAsia"/>
          <w:sz w:val="32"/>
          <w:szCs w:val="32"/>
        </w:rPr>
        <w:t>部门</w:t>
      </w:r>
      <w:r>
        <w:rPr>
          <w:rFonts w:hint="eastAsia" w:asciiTheme="minorEastAsia" w:hAnsiTheme="minorEastAsia" w:eastAsiaTheme="minorEastAsia"/>
          <w:sz w:val="32"/>
          <w:szCs w:val="32"/>
          <w:lang w:val="zh-CN"/>
        </w:rPr>
        <w:t>预算项目支出绩效自评表（2023年度）</w:t>
      </w:r>
    </w:p>
    <w:p>
      <w:pPr>
        <w:rPr>
          <w:rFonts w:ascii="黑体" w:hAnsi="黑体" w:eastAsia="黑体"/>
          <w:sz w:val="32"/>
          <w:szCs w:val="32"/>
        </w:rPr>
      </w:pPr>
      <w:r>
        <w:rPr>
          <w:rFonts w:hint="eastAsia" w:ascii="黑体" w:hAnsi="黑体" w:eastAsia="黑体"/>
          <w:sz w:val="32"/>
          <w:szCs w:val="32"/>
        </w:rPr>
        <w:t>附件2</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马边彝族自治县红十字会</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红十字应急救援和救护能力提升工程</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cs="方正小标宋简体"/>
          <w:sz w:val="44"/>
          <w:szCs w:val="44"/>
          <w:lang w:val="en-US" w:eastAsia="zh-CN"/>
        </w:rPr>
        <w:t>项目</w:t>
      </w:r>
      <w:r>
        <w:rPr>
          <w:rFonts w:hint="eastAsia" w:ascii="方正小标宋简体" w:hAnsi="方正小标宋简体" w:eastAsia="方正小标宋简体"/>
          <w:sz w:val="44"/>
          <w:szCs w:val="44"/>
        </w:rPr>
        <w:t>绩效评价报告</w:t>
      </w:r>
    </w:p>
    <w:p>
      <w:pPr>
        <w:rPr>
          <w:rFonts w:eastAsia="仿宋_GB2312"/>
          <w:sz w:val="32"/>
          <w:szCs w:val="32"/>
          <w:lang w:val="zh-CN"/>
        </w:rPr>
      </w:pPr>
    </w:p>
    <w:p>
      <w:pPr>
        <w:ind w:firstLine="640" w:firstLineChars="200"/>
        <w:rPr>
          <w:rFonts w:ascii="黑体" w:hAnsi="黑体" w:eastAsia="黑体"/>
          <w:sz w:val="32"/>
          <w:szCs w:val="32"/>
          <w:lang w:val="zh-CN"/>
        </w:rPr>
      </w:pPr>
      <w:r>
        <w:rPr>
          <w:rFonts w:hint="eastAsia" w:ascii="黑体" w:hAnsi="黑体" w:eastAsia="黑体"/>
          <w:sz w:val="32"/>
          <w:szCs w:val="32"/>
          <w:lang w:val="zh-CN"/>
        </w:rPr>
        <w:t>一、项目概况</w:t>
      </w:r>
    </w:p>
    <w:p>
      <w:pPr>
        <w:ind w:firstLine="643" w:firstLineChars="200"/>
        <w:rPr>
          <w:rFonts w:hint="eastAsia" w:ascii="仿宋_GB2312" w:hAnsi="仿宋_GB2312" w:eastAsia="仿宋_GB2312" w:cs="仿宋_GB2312"/>
          <w:b w:val="0"/>
          <w:bCs/>
          <w:sz w:val="32"/>
          <w:szCs w:val="32"/>
          <w:lang w:val="zh-CN"/>
        </w:rPr>
      </w:pPr>
      <w:r>
        <w:rPr>
          <w:rFonts w:hint="eastAsia" w:ascii="楷体_GB2312" w:eastAsia="楷体_GB2312"/>
          <w:b/>
          <w:sz w:val="32"/>
          <w:szCs w:val="32"/>
          <w:lang w:val="zh-CN"/>
        </w:rPr>
        <w:t>（一）设立背景及基本情况。</w:t>
      </w:r>
      <w:r>
        <w:rPr>
          <w:rFonts w:hint="eastAsia" w:ascii="仿宋_GB2312" w:hAnsi="仿宋_GB2312" w:eastAsia="仿宋_GB2312" w:cs="仿宋_GB2312"/>
          <w:b w:val="0"/>
          <w:bCs/>
          <w:sz w:val="32"/>
          <w:szCs w:val="32"/>
          <w:lang w:val="zh-CN"/>
        </w:rPr>
        <w:t>马边彝族自治县是小凉山地区，境内是山高坡陡，沟壑纵横，自然灾害频繁，同时，境内有两个地震带，也是全省地震监测区。县红十字会新独立运行时间不长，基层组织不完善，没有应急救援物资储备仓库和应急救护培训基地，县红十字会的应急救援和救护能力不强，群众对红十字会认识不够。按照《四川省红十字条例》，各级防灾减灾精神和红十字会改革方案要求，加强红十字会应急救护能力建设，确保人民群众生命健康和财产安全，具有十分重要的现实意义。</w:t>
      </w:r>
    </w:p>
    <w:p>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eastAsia="仿宋_GB2312"/>
          <w:sz w:val="32"/>
          <w:szCs w:val="32"/>
          <w:lang w:val="zh-CN"/>
        </w:rPr>
        <w:t>项目主要内容</w:t>
      </w:r>
      <w:r>
        <w:rPr>
          <w:rFonts w:hint="eastAsia" w:eastAsia="仿宋_GB2312"/>
          <w:sz w:val="32"/>
          <w:szCs w:val="32"/>
          <w:lang w:val="en-US" w:eastAsia="zh-CN"/>
        </w:rPr>
        <w:t>一是</w:t>
      </w:r>
      <w:r>
        <w:rPr>
          <w:rFonts w:hint="eastAsia" w:ascii="仿宋_GB2312" w:hAnsi="仿宋_GB2312" w:eastAsia="仿宋_GB2312" w:cs="仿宋_GB2312"/>
          <w:color w:val="auto"/>
          <w:sz w:val="32"/>
          <w:szCs w:val="32"/>
          <w:lang w:eastAsia="zh-CN"/>
        </w:rPr>
        <w:t>建设</w:t>
      </w:r>
      <w:r>
        <w:rPr>
          <w:rFonts w:hint="eastAsia" w:ascii="仿宋_GB2312" w:hAnsi="仿宋_GB2312" w:eastAsia="仿宋_GB2312" w:cs="仿宋_GB2312"/>
          <w:color w:val="auto"/>
          <w:sz w:val="32"/>
          <w:szCs w:val="32"/>
          <w:lang w:val="en-US" w:eastAsia="zh-CN"/>
        </w:rPr>
        <w:t>1个</w:t>
      </w:r>
      <w:r>
        <w:rPr>
          <w:rFonts w:hint="eastAsia" w:ascii="仿宋_GB2312" w:hAnsi="仿宋_GB2312" w:eastAsia="仿宋_GB2312" w:cs="仿宋_GB2312"/>
          <w:color w:val="auto"/>
          <w:sz w:val="32"/>
          <w:szCs w:val="32"/>
          <w:lang w:eastAsia="zh-CN"/>
        </w:rPr>
        <w:t>应急救护培训基地</w:t>
      </w:r>
      <w:r>
        <w:rPr>
          <w:rFonts w:hint="eastAsia" w:ascii="仿宋_GB2312" w:hAnsi="仿宋_GB2312" w:eastAsia="仿宋_GB2312" w:cs="仿宋_GB2312"/>
          <w:color w:val="auto"/>
          <w:sz w:val="32"/>
          <w:szCs w:val="32"/>
          <w:lang w:val="en-US" w:eastAsia="zh-CN"/>
        </w:rPr>
        <w:t>，二是公共场所配置 AED 及应急救护柜（一体机），三是建设 2 个红十字救护站。</w:t>
      </w:r>
    </w:p>
    <w:p>
      <w:pPr>
        <w:ind w:firstLine="643" w:firstLineChars="200"/>
        <w:rPr>
          <w:rFonts w:eastAsia="仿宋_GB2312"/>
          <w:sz w:val="32"/>
          <w:szCs w:val="32"/>
          <w:lang w:val="zh-CN"/>
        </w:rPr>
      </w:pPr>
      <w:r>
        <w:rPr>
          <w:rFonts w:hint="eastAsia" w:ascii="楷体_GB2312" w:eastAsia="楷体_GB2312"/>
          <w:b/>
          <w:sz w:val="32"/>
          <w:szCs w:val="32"/>
          <w:lang w:val="zh-CN"/>
        </w:rPr>
        <w:t>（二）实施目的及支持方向。</w:t>
      </w:r>
      <w:r>
        <w:rPr>
          <w:rFonts w:hint="eastAsia" w:eastAsia="仿宋_GB2312"/>
          <w:sz w:val="32"/>
          <w:szCs w:val="32"/>
          <w:lang w:val="zh-CN"/>
        </w:rPr>
        <w:t>项目资金</w:t>
      </w:r>
      <w:r>
        <w:rPr>
          <w:rFonts w:hint="eastAsia" w:eastAsia="仿宋_GB2312"/>
          <w:sz w:val="32"/>
          <w:szCs w:val="32"/>
          <w:lang w:val="en-US" w:eastAsia="zh-CN"/>
        </w:rPr>
        <w:t>来源于</w:t>
      </w:r>
      <w:r>
        <w:rPr>
          <w:rFonts w:hint="eastAsia" w:ascii="仿宋_GB2312" w:hAnsi="仿宋_GB2312" w:eastAsia="仿宋_GB2312" w:cs="仿宋_GB2312"/>
          <w:color w:val="auto"/>
          <w:kern w:val="2"/>
          <w:sz w:val="32"/>
          <w:szCs w:val="32"/>
          <w:lang w:val="en-US" w:eastAsia="zh-CN" w:bidi="ar-SA"/>
        </w:rPr>
        <w:t>2023年东西部协作项目</w:t>
      </w:r>
      <w:r>
        <w:rPr>
          <w:rFonts w:hint="eastAsia" w:ascii="仿宋_GB2312" w:hAnsi="仿宋_GB2312" w:eastAsia="仿宋_GB2312" w:cs="仿宋_GB2312"/>
          <w:color w:val="auto"/>
          <w:spacing w:val="-2"/>
          <w:sz w:val="32"/>
          <w:szCs w:val="32"/>
          <w:lang w:val="en-US" w:eastAsia="zh-CN"/>
        </w:rPr>
        <w:t>资金，</w:t>
      </w:r>
      <w:r>
        <w:rPr>
          <w:rFonts w:hint="eastAsia" w:eastAsia="仿宋_GB2312"/>
          <w:sz w:val="32"/>
          <w:szCs w:val="32"/>
          <w:lang w:val="zh-CN"/>
        </w:rPr>
        <w:t>管理办法</w:t>
      </w:r>
      <w:r>
        <w:rPr>
          <w:rFonts w:hint="eastAsia" w:eastAsia="仿宋_GB2312"/>
          <w:sz w:val="32"/>
          <w:szCs w:val="32"/>
          <w:lang w:val="en-US" w:eastAsia="zh-CN"/>
        </w:rPr>
        <w:t>参照</w:t>
      </w:r>
      <w:r>
        <w:rPr>
          <w:rFonts w:hint="eastAsia" w:ascii="仿宋_GB2312" w:hAnsi="仿宋_GB2312" w:eastAsia="仿宋_GB2312" w:cs="仿宋_GB2312"/>
          <w:color w:val="auto"/>
          <w:kern w:val="2"/>
          <w:sz w:val="32"/>
          <w:szCs w:val="32"/>
          <w:lang w:val="en-US" w:eastAsia="zh-CN" w:bidi="ar-SA"/>
        </w:rPr>
        <w:t>东西部协作项目</w:t>
      </w:r>
      <w:r>
        <w:rPr>
          <w:rFonts w:hint="eastAsia" w:ascii="仿宋_GB2312" w:hAnsi="仿宋_GB2312" w:eastAsia="仿宋_GB2312" w:cs="仿宋_GB2312"/>
          <w:color w:val="auto"/>
          <w:spacing w:val="-2"/>
          <w:sz w:val="32"/>
          <w:szCs w:val="32"/>
          <w:lang w:val="en-US" w:eastAsia="zh-CN"/>
        </w:rPr>
        <w:t>资金</w:t>
      </w:r>
      <w:r>
        <w:rPr>
          <w:rFonts w:hint="eastAsia" w:eastAsia="仿宋_GB2312"/>
          <w:sz w:val="32"/>
          <w:szCs w:val="32"/>
          <w:lang w:val="en-US" w:eastAsia="zh-CN"/>
        </w:rPr>
        <w:t>使用管理办法</w:t>
      </w:r>
      <w:r>
        <w:rPr>
          <w:rFonts w:hint="eastAsia" w:eastAsia="仿宋_GB2312"/>
          <w:sz w:val="32"/>
          <w:szCs w:val="32"/>
          <w:lang w:val="zh-CN"/>
        </w:rPr>
        <w:t>，该项目实施后通过应急救护培训，使人民群众在应对突发事件和自然灾害时，能快速救护自己和别人，减少人员的死亡，切实保障全县人民群众生命和财产安全。项主要工作任务</w:t>
      </w:r>
      <w:r>
        <w:rPr>
          <w:rFonts w:hint="eastAsia" w:ascii="仿宋_GB2312" w:hAnsi="仿宋_GB2312" w:eastAsia="仿宋_GB2312" w:cs="仿宋_GB2312"/>
          <w:sz w:val="32"/>
          <w:szCs w:val="32"/>
          <w:lang w:val="zh-CN"/>
        </w:rPr>
        <w:t>是</w:t>
      </w:r>
      <w:r>
        <w:rPr>
          <w:rFonts w:hint="eastAsia" w:ascii="仿宋_GB2312" w:hAnsi="仿宋_GB2312" w:eastAsia="仿宋_GB2312" w:cs="仿宋_GB2312"/>
          <w:sz w:val="32"/>
          <w:szCs w:val="32"/>
          <w:lang w:val="en-US" w:eastAsia="zh-CN"/>
        </w:rPr>
        <w:t>在9个</w:t>
      </w:r>
      <w:r>
        <w:rPr>
          <w:rFonts w:hint="eastAsia" w:ascii="Times New Roman" w:hAnsi="Times New Roman" w:eastAsia="仿宋_GB2312" w:cs="Times New Roman"/>
          <w:sz w:val="32"/>
          <w:szCs w:val="32"/>
          <w:lang w:val="en-US" w:eastAsia="zh-CN"/>
        </w:rPr>
        <w:t>月时</w:t>
      </w:r>
      <w:r>
        <w:rPr>
          <w:rFonts w:hint="eastAsia" w:eastAsia="仿宋_GB2312"/>
          <w:sz w:val="32"/>
          <w:szCs w:val="32"/>
          <w:lang w:val="en-US" w:eastAsia="zh-CN"/>
        </w:rPr>
        <w:t>间内完成项目工程类建设和货物类采购、安装和调试</w:t>
      </w:r>
      <w:r>
        <w:rPr>
          <w:rFonts w:hint="eastAsia" w:eastAsia="仿宋_GB2312"/>
          <w:sz w:val="32"/>
          <w:szCs w:val="32"/>
          <w:lang w:val="zh-CN"/>
        </w:rPr>
        <w:t>，项目支持</w:t>
      </w:r>
      <w:r>
        <w:rPr>
          <w:rFonts w:hint="eastAsia" w:eastAsia="仿宋_GB2312"/>
          <w:sz w:val="32"/>
          <w:szCs w:val="32"/>
          <w:lang w:val="en-US" w:eastAsia="zh-CN"/>
        </w:rPr>
        <w:t>应急救护</w:t>
      </w:r>
      <w:r>
        <w:rPr>
          <w:rFonts w:hint="eastAsia" w:eastAsia="仿宋_GB2312"/>
          <w:sz w:val="32"/>
          <w:szCs w:val="32"/>
          <w:lang w:val="zh-CN"/>
        </w:rPr>
        <w:t>方向。</w:t>
      </w:r>
    </w:p>
    <w:p>
      <w:pPr>
        <w:ind w:firstLine="643" w:firstLineChars="200"/>
        <w:rPr>
          <w:rFonts w:hint="eastAsia" w:ascii="仿宋_GB2312" w:hAnsi="仿宋_GB2312" w:eastAsia="仿宋_GB2312" w:cs="仿宋_GB2312"/>
          <w:sz w:val="32"/>
          <w:szCs w:val="32"/>
          <w:lang w:val="zh-CN"/>
        </w:rPr>
      </w:pPr>
      <w:r>
        <w:rPr>
          <w:rFonts w:hint="eastAsia" w:ascii="楷体_GB2312" w:eastAsia="楷体_GB2312"/>
          <w:b/>
          <w:sz w:val="32"/>
          <w:szCs w:val="32"/>
          <w:lang w:val="zh-CN"/>
        </w:rPr>
        <w:t>（三）预算安排及分配管理。</w:t>
      </w:r>
      <w:r>
        <w:rPr>
          <w:rFonts w:hint="eastAsia" w:ascii="仿宋_GB2312" w:hAnsi="仿宋_GB2312" w:eastAsia="仿宋_GB2312" w:cs="仿宋_GB2312"/>
          <w:sz w:val="32"/>
          <w:szCs w:val="32"/>
          <w:lang w:val="zh-CN"/>
        </w:rPr>
        <w:t>项目利用马边彝族自治县</w:t>
      </w:r>
    </w:p>
    <w:p>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碧桂园职业中学现有场地改建成一个标准的应急救护培训基地（一体化），资金概算150万元。此费用主要采购培训基地的培训器材、设备（系统）以及基地的培训装修等；</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lang w:val="zh-CN"/>
        </w:rPr>
        <w:t>人员密集公共场所配备50余</w:t>
      </w:r>
      <w:r>
        <w:rPr>
          <w:rFonts w:hint="eastAsia" w:ascii="仿宋_GB2312" w:hAnsi="仿宋_GB2312" w:eastAsia="仿宋_GB2312" w:cs="仿宋_GB2312"/>
          <w:sz w:val="32"/>
          <w:szCs w:val="32"/>
          <w:lang w:val="en-US" w:eastAsia="zh-CN"/>
        </w:rPr>
        <w:t>台</w:t>
      </w:r>
      <w:r>
        <w:rPr>
          <w:rFonts w:hint="eastAsia" w:ascii="仿宋_GB2312" w:hAnsi="仿宋_GB2312" w:eastAsia="仿宋_GB2312" w:cs="仿宋_GB2312"/>
          <w:sz w:val="32"/>
          <w:szCs w:val="32"/>
          <w:lang w:val="zh-CN"/>
        </w:rPr>
        <w:t>AED及应急救护柜（一体机），</w:t>
      </w:r>
    </w:p>
    <w:p>
      <w:pP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资金概算200万，主要用于采购AED及应急救护柜等，应急救护柜可容纳配备一台AED、一个急救包，具有显示功能；分别在雪口山漂流景区、烟峰镇大小凉山第一寨景区分别建设红十字救护站1个，每个救护站建设标准概算20万元，共计40万元。主要用于救护站修建、装修以及器材、设备等物资采购。</w:t>
      </w:r>
    </w:p>
    <w:p>
      <w:pPr>
        <w:numPr>
          <w:ilvl w:val="0"/>
          <w:numId w:val="4"/>
        </w:numPr>
        <w:ind w:firstLine="643" w:firstLineChars="200"/>
        <w:rPr>
          <w:rFonts w:hint="eastAsia" w:ascii="楷体_GB2312" w:eastAsia="楷体_GB2312"/>
          <w:b/>
          <w:sz w:val="32"/>
          <w:szCs w:val="32"/>
          <w:lang w:val="zh-CN"/>
        </w:rPr>
      </w:pPr>
      <w:r>
        <w:rPr>
          <w:rFonts w:hint="eastAsia" w:ascii="楷体_GB2312" w:eastAsia="楷体_GB2312"/>
          <w:b/>
          <w:sz w:val="32"/>
          <w:szCs w:val="32"/>
          <w:lang w:val="zh-CN"/>
        </w:rPr>
        <w:t>项目绩效目标设置。</w:t>
      </w:r>
      <w:r>
        <w:rPr>
          <w:rFonts w:hint="eastAsia" w:ascii="仿宋_GB2312" w:hAnsi="仿宋_GB2312" w:eastAsia="仿宋_GB2312" w:cs="仿宋_GB2312"/>
          <w:b w:val="0"/>
          <w:bCs w:val="0"/>
          <w:kern w:val="0"/>
          <w:position w:val="0"/>
          <w:sz w:val="32"/>
          <w:szCs w:val="32"/>
          <w:highlight w:val="none"/>
          <w:lang w:val="zh-CN" w:eastAsia="zh-CN" w:bidi="ar-SA"/>
        </w:rPr>
        <w:t>项目整体、区域和具体绩效目标设置</w:t>
      </w:r>
      <w:r>
        <w:rPr>
          <w:rFonts w:hint="eastAsia" w:ascii="仿宋_GB2312" w:hAnsi="仿宋_GB2312" w:eastAsia="仿宋_GB2312" w:cs="仿宋_GB2312"/>
          <w:b w:val="0"/>
          <w:bCs w:val="0"/>
          <w:kern w:val="0"/>
          <w:position w:val="0"/>
          <w:sz w:val="32"/>
          <w:szCs w:val="32"/>
          <w:highlight w:val="none"/>
          <w:lang w:val="en-US" w:eastAsia="zh-CN" w:bidi="ar-SA"/>
        </w:rPr>
        <w:t>如下图</w:t>
      </w:r>
      <w:r>
        <w:rPr>
          <w:rFonts w:hint="eastAsia" w:ascii="仿宋_GB2312" w:hAnsi="仿宋_GB2312" w:eastAsia="仿宋_GB2312" w:cs="仿宋_GB2312"/>
          <w:b w:val="0"/>
          <w:bCs w:val="0"/>
          <w:kern w:val="0"/>
          <w:position w:val="0"/>
          <w:sz w:val="32"/>
          <w:szCs w:val="32"/>
          <w:highlight w:val="none"/>
          <w:lang w:val="zh-CN" w:eastAsia="zh-CN" w:bidi="ar-SA"/>
        </w:rPr>
        <w:t>，项目</w:t>
      </w:r>
      <w:r>
        <w:rPr>
          <w:rFonts w:hint="eastAsia" w:ascii="仿宋_GB2312" w:hAnsi="仿宋_GB2312" w:eastAsia="仿宋_GB2312" w:cs="仿宋_GB2312"/>
          <w:b w:val="0"/>
          <w:bCs w:val="0"/>
          <w:kern w:val="0"/>
          <w:position w:val="0"/>
          <w:sz w:val="32"/>
          <w:szCs w:val="32"/>
          <w:highlight w:val="none"/>
          <w:lang w:val="en-US" w:eastAsia="zh-CN" w:bidi="ar-SA"/>
        </w:rPr>
        <w:t>已开展绩效</w:t>
      </w:r>
      <w:r>
        <w:rPr>
          <w:rFonts w:hint="eastAsia" w:ascii="仿宋_GB2312" w:hAnsi="仿宋_GB2312" w:eastAsia="仿宋_GB2312" w:cs="仿宋_GB2312"/>
          <w:b w:val="0"/>
          <w:bCs w:val="0"/>
          <w:kern w:val="0"/>
          <w:position w:val="0"/>
          <w:sz w:val="32"/>
          <w:szCs w:val="32"/>
          <w:highlight w:val="none"/>
          <w:lang w:val="zh-CN" w:eastAsia="zh-CN" w:bidi="ar-SA"/>
        </w:rPr>
        <w:t>自评工作。</w:t>
      </w:r>
    </w:p>
    <w:p>
      <w:pPr>
        <w:pStyle w:val="2"/>
        <w:widowControl w:val="0"/>
        <w:numPr>
          <w:numId w:val="0"/>
        </w:numPr>
        <w:spacing w:beforeLines="30"/>
        <w:jc w:val="both"/>
        <w:rPr>
          <w:lang w:val="zh-CN"/>
        </w:rPr>
      </w:pPr>
      <w:r>
        <w:drawing>
          <wp:inline distT="0" distB="0" distL="114300" distR="114300">
            <wp:extent cx="5270500" cy="3863975"/>
            <wp:effectExtent l="0" t="0" r="635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270500" cy="3863975"/>
                    </a:xfrm>
                    <a:prstGeom prst="rect">
                      <a:avLst/>
                    </a:prstGeom>
                    <a:noFill/>
                    <a:ln>
                      <a:noFill/>
                    </a:ln>
                  </pic:spPr>
                </pic:pic>
              </a:graphicData>
            </a:graphic>
          </wp:inline>
        </w:drawing>
      </w:r>
    </w:p>
    <w:p>
      <w:pPr>
        <w:ind w:firstLine="640" w:firstLineChars="200"/>
        <w:rPr>
          <w:rFonts w:ascii="黑体" w:hAnsi="黑体" w:eastAsia="黑体"/>
          <w:sz w:val="32"/>
          <w:szCs w:val="32"/>
          <w:lang w:val="zh-CN"/>
        </w:rPr>
      </w:pPr>
      <w:r>
        <w:rPr>
          <w:rFonts w:hint="eastAsia" w:ascii="黑体" w:hAnsi="黑体" w:eastAsia="黑体"/>
          <w:sz w:val="32"/>
          <w:szCs w:val="32"/>
          <w:lang w:val="zh-CN"/>
        </w:rPr>
        <w:t>二、评价实施</w:t>
      </w:r>
    </w:p>
    <w:p>
      <w:pPr>
        <w:ind w:firstLine="643" w:firstLineChars="200"/>
        <w:rPr>
          <w:rFonts w:eastAsia="仿宋_GB2312"/>
          <w:sz w:val="32"/>
          <w:szCs w:val="32"/>
          <w:lang w:val="zh-CN"/>
        </w:rPr>
      </w:pPr>
      <w:r>
        <w:rPr>
          <w:rFonts w:hint="eastAsia" w:ascii="楷体_GB2312" w:eastAsia="楷体_GB2312"/>
          <w:b/>
          <w:sz w:val="32"/>
          <w:szCs w:val="32"/>
          <w:lang w:val="zh-CN"/>
        </w:rPr>
        <w:t>（一）评价目的。</w:t>
      </w:r>
      <w:r>
        <w:rPr>
          <w:rFonts w:hint="eastAsia" w:eastAsia="仿宋_GB2312"/>
          <w:sz w:val="32"/>
          <w:szCs w:val="32"/>
          <w:lang w:val="zh-CN"/>
        </w:rPr>
        <w:t>通过项目绩效自评</w:t>
      </w:r>
      <w:r>
        <w:rPr>
          <w:rFonts w:hint="eastAsia" w:eastAsia="仿宋_GB2312"/>
          <w:sz w:val="32"/>
          <w:szCs w:val="32"/>
          <w:lang w:val="en-US" w:eastAsia="zh-CN"/>
        </w:rPr>
        <w:t>督促项目实施进度以及全过程追踪项目实施取得的成效，为下一年项目预算提供有力参考</w:t>
      </w:r>
      <w:r>
        <w:rPr>
          <w:rFonts w:hint="eastAsia" w:eastAsia="仿宋_GB2312"/>
          <w:sz w:val="32"/>
          <w:szCs w:val="32"/>
          <w:lang w:val="zh-CN"/>
        </w:rPr>
        <w:t>。</w:t>
      </w:r>
    </w:p>
    <w:p>
      <w:pPr>
        <w:ind w:firstLine="643" w:firstLineChars="200"/>
        <w:rPr>
          <w:rFonts w:eastAsia="仿宋_GB2312"/>
          <w:sz w:val="32"/>
          <w:szCs w:val="32"/>
          <w:lang w:val="zh-CN"/>
        </w:rPr>
      </w:pPr>
      <w:r>
        <w:rPr>
          <w:rFonts w:hint="eastAsia" w:ascii="楷体_GB2312" w:eastAsia="楷体_GB2312"/>
          <w:b/>
          <w:sz w:val="32"/>
          <w:szCs w:val="32"/>
          <w:lang w:val="zh-CN"/>
        </w:rPr>
        <w:t>（二）预设问题及评价重点。</w:t>
      </w:r>
      <w:r>
        <w:rPr>
          <w:rFonts w:hint="eastAsia" w:ascii="仿宋_GB2312" w:hAnsi="仿宋_GB2312" w:eastAsia="仿宋_GB2312" w:cs="仿宋_GB2312"/>
          <w:b w:val="0"/>
          <w:bCs/>
          <w:sz w:val="32"/>
          <w:szCs w:val="32"/>
          <w:lang w:val="en-US" w:eastAsia="zh-CN"/>
        </w:rPr>
        <w:t>项目实际使用资金205.79万元，其中工程类项目61.29万元、货物类项目144.5万元。每笔资金支出前都经过党组会讨论研究后才按照东西部协作资金使用管理办法依规支出。资金使用效率良好，</w:t>
      </w:r>
      <w:r>
        <w:rPr>
          <w:rFonts w:hint="eastAsia" w:eastAsia="仿宋_GB2312"/>
          <w:sz w:val="32"/>
          <w:szCs w:val="32"/>
          <w:lang w:val="zh-CN"/>
        </w:rPr>
        <w:t>实施效果</w:t>
      </w:r>
      <w:r>
        <w:rPr>
          <w:rFonts w:hint="eastAsia" w:eastAsia="仿宋_GB2312"/>
          <w:sz w:val="32"/>
          <w:szCs w:val="32"/>
          <w:lang w:val="en-US" w:eastAsia="zh-CN"/>
        </w:rPr>
        <w:t>达到预期</w:t>
      </w:r>
      <w:r>
        <w:rPr>
          <w:rFonts w:hint="eastAsia" w:eastAsia="仿宋_GB2312"/>
          <w:sz w:val="32"/>
          <w:szCs w:val="32"/>
          <w:lang w:val="zh-CN"/>
        </w:rPr>
        <w:t>。</w:t>
      </w:r>
    </w:p>
    <w:p>
      <w:pPr>
        <w:ind w:firstLine="643" w:firstLineChars="200"/>
        <w:rPr>
          <w:rFonts w:hint="eastAsia" w:eastAsia="楷体_GB2312"/>
          <w:sz w:val="32"/>
          <w:szCs w:val="32"/>
          <w:lang w:val="zh-CN" w:eastAsia="zh-CN"/>
        </w:rPr>
      </w:pPr>
      <w:r>
        <w:rPr>
          <w:rFonts w:hint="eastAsia" w:ascii="楷体_GB2312" w:eastAsia="楷体_GB2312"/>
          <w:b/>
          <w:sz w:val="32"/>
          <w:szCs w:val="32"/>
          <w:lang w:val="zh-CN"/>
        </w:rPr>
        <w:t>（三）评价选点。</w:t>
      </w:r>
      <w:r>
        <w:rPr>
          <w:rFonts w:hint="eastAsia" w:eastAsia="仿宋_GB2312"/>
          <w:sz w:val="32"/>
          <w:szCs w:val="32"/>
          <w:lang w:val="en-US" w:eastAsia="zh-CN"/>
        </w:rPr>
        <w:t>无</w:t>
      </w:r>
    </w:p>
    <w:p>
      <w:pPr>
        <w:ind w:firstLine="643" w:firstLineChars="200"/>
        <w:rPr>
          <w:rFonts w:eastAsia="仿宋_GB2312"/>
          <w:sz w:val="32"/>
          <w:szCs w:val="32"/>
          <w:lang w:val="zh-CN"/>
        </w:rPr>
      </w:pPr>
      <w:r>
        <w:rPr>
          <w:rFonts w:hint="eastAsia" w:ascii="楷体_GB2312" w:eastAsia="楷体_GB2312"/>
          <w:b/>
          <w:sz w:val="32"/>
          <w:szCs w:val="32"/>
          <w:lang w:val="zh-CN"/>
        </w:rPr>
        <w:t>（四）评价方法。</w:t>
      </w:r>
      <w:r>
        <w:rPr>
          <w:rFonts w:hint="eastAsia" w:eastAsia="仿宋_GB2312"/>
          <w:sz w:val="32"/>
          <w:szCs w:val="32"/>
          <w:lang w:val="zh-CN"/>
        </w:rPr>
        <w:t>成本效益分析法、实地勘察法。</w:t>
      </w:r>
    </w:p>
    <w:p>
      <w:pPr>
        <w:ind w:firstLine="643" w:firstLineChars="200"/>
        <w:rPr>
          <w:rFonts w:hint="default" w:eastAsia="楷体_GB2312"/>
          <w:sz w:val="32"/>
          <w:szCs w:val="32"/>
          <w:lang w:val="en-US" w:eastAsia="zh-CN"/>
        </w:rPr>
      </w:pPr>
      <w:r>
        <w:rPr>
          <w:rFonts w:hint="eastAsia" w:ascii="楷体_GB2312" w:eastAsia="楷体_GB2312"/>
          <w:b/>
          <w:sz w:val="32"/>
          <w:szCs w:val="32"/>
          <w:lang w:val="zh-CN"/>
        </w:rPr>
        <w:t>（五）评价组织。</w:t>
      </w:r>
      <w:r>
        <w:rPr>
          <w:rFonts w:hint="eastAsia" w:ascii="Times New Roman" w:hAnsi="Times New Roman" w:eastAsia="仿宋_GB2312" w:cs="Times New Roman"/>
          <w:sz w:val="32"/>
          <w:szCs w:val="32"/>
          <w:lang w:val="en-US" w:eastAsia="zh-CN"/>
        </w:rPr>
        <w:t>副会长</w:t>
      </w:r>
      <w:r>
        <w:rPr>
          <w:rFonts w:hint="eastAsia" w:eastAsia="仿宋_GB2312"/>
          <w:sz w:val="32"/>
          <w:szCs w:val="32"/>
          <w:lang w:val="en-US" w:eastAsia="zh-CN"/>
        </w:rPr>
        <w:t>张强同志任组长，负责总揽各类绩效评价工作，办公室主任苏华和办公室工作人员阿左杨梅任绩效评价组成员，具体负责各类项目绩效评价工作。</w:t>
      </w:r>
    </w:p>
    <w:p>
      <w:pPr>
        <w:ind w:firstLine="640" w:firstLineChars="200"/>
        <w:rPr>
          <w:rFonts w:ascii="黑体" w:hAnsi="黑体" w:eastAsia="黑体"/>
          <w:sz w:val="32"/>
          <w:szCs w:val="32"/>
          <w:lang w:val="zh-CN"/>
        </w:rPr>
      </w:pPr>
      <w:r>
        <w:rPr>
          <w:rFonts w:hint="eastAsia" w:ascii="黑体" w:hAnsi="黑体" w:eastAsia="黑体"/>
          <w:sz w:val="32"/>
          <w:szCs w:val="32"/>
          <w:lang w:val="zh-CN"/>
        </w:rPr>
        <w:t>三、绩效分析</w:t>
      </w:r>
    </w:p>
    <w:p>
      <w:pPr>
        <w:ind w:firstLine="643" w:firstLineChars="200"/>
        <w:rPr>
          <w:rFonts w:ascii="楷体_GB2312" w:eastAsia="楷体_GB2312"/>
          <w:b/>
          <w:sz w:val="32"/>
          <w:szCs w:val="32"/>
          <w:lang w:val="zh-CN"/>
        </w:rPr>
      </w:pPr>
      <w:r>
        <w:rPr>
          <w:rFonts w:hint="eastAsia" w:ascii="楷体_GB2312" w:eastAsia="楷体_GB2312"/>
          <w:b/>
          <w:sz w:val="32"/>
          <w:szCs w:val="32"/>
          <w:lang w:val="zh-CN"/>
        </w:rPr>
        <w:t>（一）通用指标绩效分析。</w:t>
      </w:r>
    </w:p>
    <w:p>
      <w:pPr>
        <w:ind w:firstLine="640" w:firstLineChars="200"/>
        <w:rPr>
          <w:rFonts w:eastAsia="仿宋_GB2312"/>
          <w:sz w:val="32"/>
          <w:szCs w:val="32"/>
          <w:lang w:val="zh-CN"/>
        </w:rPr>
      </w:pPr>
      <w:r>
        <w:rPr>
          <w:rFonts w:hint="eastAsia" w:ascii="楷体_GB2312" w:eastAsia="楷体_GB2312"/>
          <w:sz w:val="32"/>
          <w:szCs w:val="32"/>
          <w:lang w:val="zh-CN"/>
        </w:rPr>
        <w:t>1.项目决策。</w:t>
      </w:r>
      <w:r>
        <w:rPr>
          <w:rFonts w:hint="eastAsia" w:eastAsia="仿宋_GB2312"/>
          <w:sz w:val="32"/>
          <w:szCs w:val="32"/>
          <w:lang w:val="en-US" w:eastAsia="zh-CN"/>
        </w:rPr>
        <w:t>项目涉及</w:t>
      </w:r>
      <w:r>
        <w:rPr>
          <w:rFonts w:hint="eastAsia" w:eastAsia="仿宋_GB2312"/>
          <w:sz w:val="32"/>
          <w:szCs w:val="32"/>
          <w:lang w:val="zh-CN"/>
        </w:rPr>
        <w:t>决策的</w:t>
      </w:r>
      <w:r>
        <w:rPr>
          <w:rFonts w:hint="eastAsia" w:eastAsia="仿宋_GB2312"/>
          <w:sz w:val="32"/>
          <w:szCs w:val="32"/>
          <w:lang w:val="en-US" w:eastAsia="zh-CN"/>
        </w:rPr>
        <w:t>每一步都是经过党组会集体研究讨论后实施，项目</w:t>
      </w:r>
      <w:r>
        <w:rPr>
          <w:rFonts w:hint="eastAsia" w:eastAsia="仿宋_GB2312"/>
          <w:sz w:val="32"/>
          <w:szCs w:val="32"/>
          <w:lang w:val="zh-CN"/>
        </w:rPr>
        <w:t>规划</w:t>
      </w:r>
      <w:r>
        <w:rPr>
          <w:rFonts w:hint="eastAsia" w:eastAsia="仿宋_GB2312"/>
          <w:sz w:val="32"/>
          <w:szCs w:val="32"/>
          <w:lang w:val="en-US" w:eastAsia="zh-CN"/>
        </w:rPr>
        <w:t>之初经过了住建、卫健、乡镇人民政府等多方</w:t>
      </w:r>
      <w:r>
        <w:rPr>
          <w:rFonts w:hint="eastAsia" w:eastAsia="仿宋_GB2312"/>
          <w:sz w:val="32"/>
          <w:szCs w:val="32"/>
          <w:lang w:val="zh-CN"/>
        </w:rPr>
        <w:t>论证，</w:t>
      </w:r>
      <w:r>
        <w:rPr>
          <w:rFonts w:hint="eastAsia" w:eastAsia="仿宋_GB2312"/>
          <w:sz w:val="32"/>
          <w:szCs w:val="32"/>
          <w:lang w:val="en-US" w:eastAsia="zh-CN"/>
        </w:rPr>
        <w:t>确保项目规划切实可行，</w:t>
      </w:r>
      <w:r>
        <w:rPr>
          <w:rFonts w:hint="eastAsia" w:eastAsia="仿宋_GB2312"/>
          <w:sz w:val="32"/>
          <w:szCs w:val="32"/>
          <w:lang w:val="zh-CN"/>
        </w:rPr>
        <w:t>资金</w:t>
      </w:r>
      <w:r>
        <w:rPr>
          <w:rFonts w:hint="eastAsia" w:eastAsia="仿宋_GB2312"/>
          <w:sz w:val="32"/>
          <w:szCs w:val="32"/>
          <w:lang w:val="en-US" w:eastAsia="zh-CN"/>
        </w:rPr>
        <w:t>保证专款专用</w:t>
      </w:r>
      <w:r>
        <w:rPr>
          <w:rFonts w:hint="eastAsia" w:eastAsia="仿宋_GB2312"/>
          <w:sz w:val="32"/>
          <w:szCs w:val="32"/>
          <w:lang w:val="zh-CN"/>
        </w:rPr>
        <w:t>。</w:t>
      </w:r>
    </w:p>
    <w:p>
      <w:pPr>
        <w:ind w:firstLine="640" w:firstLineChars="200"/>
        <w:rPr>
          <w:rFonts w:eastAsia="仿宋_GB2312"/>
          <w:sz w:val="32"/>
          <w:szCs w:val="32"/>
          <w:lang w:val="zh-CN"/>
        </w:rPr>
      </w:pPr>
      <w:r>
        <w:rPr>
          <w:rFonts w:hint="eastAsia" w:ascii="楷体_GB2312" w:eastAsia="楷体_GB2312"/>
          <w:sz w:val="32"/>
          <w:szCs w:val="32"/>
          <w:lang w:val="zh-CN"/>
        </w:rPr>
        <w:t>2.项目管理。</w:t>
      </w:r>
      <w:r>
        <w:rPr>
          <w:rFonts w:hint="eastAsia" w:eastAsia="仿宋_GB2312"/>
          <w:sz w:val="32"/>
          <w:szCs w:val="32"/>
          <w:lang w:val="zh-CN"/>
        </w:rPr>
        <w:t>制</w:t>
      </w:r>
      <w:r>
        <w:rPr>
          <w:rFonts w:hint="eastAsia" w:eastAsia="仿宋_GB2312"/>
          <w:sz w:val="32"/>
          <w:szCs w:val="32"/>
          <w:lang w:val="en-US" w:eastAsia="zh-CN"/>
        </w:rPr>
        <w:t>定基地和救护站相关使用管理</w:t>
      </w:r>
      <w:r>
        <w:rPr>
          <w:rFonts w:hint="eastAsia" w:eastAsia="仿宋_GB2312"/>
          <w:sz w:val="32"/>
          <w:szCs w:val="32"/>
          <w:lang w:val="zh-CN"/>
        </w:rPr>
        <w:t>办法，</w:t>
      </w:r>
      <w:r>
        <w:rPr>
          <w:rFonts w:hint="eastAsia" w:eastAsia="仿宋_GB2312"/>
          <w:sz w:val="32"/>
          <w:szCs w:val="32"/>
          <w:lang w:val="en-US" w:eastAsia="zh-CN"/>
        </w:rPr>
        <w:t>明确设备归受益单位所有，县红十字会进行业务指导，后续场地设备使用频率等绩效监管指标</w:t>
      </w:r>
      <w:r>
        <w:rPr>
          <w:rFonts w:hint="eastAsia" w:eastAsia="仿宋_GB2312"/>
          <w:sz w:val="32"/>
          <w:szCs w:val="32"/>
          <w:lang w:val="zh-CN"/>
        </w:rPr>
        <w:t>。</w:t>
      </w:r>
    </w:p>
    <w:p>
      <w:pPr>
        <w:ind w:firstLine="640" w:firstLineChars="200"/>
        <w:rPr>
          <w:rFonts w:hint="eastAsia" w:eastAsia="仿宋_GB2312"/>
          <w:sz w:val="32"/>
          <w:szCs w:val="32"/>
          <w:lang w:val="en-US" w:eastAsia="zh-CN"/>
        </w:rPr>
      </w:pPr>
      <w:r>
        <w:rPr>
          <w:rFonts w:hint="eastAsia" w:ascii="楷体_GB2312" w:eastAsia="楷体_GB2312"/>
          <w:sz w:val="32"/>
          <w:szCs w:val="32"/>
          <w:lang w:val="zh-CN"/>
        </w:rPr>
        <w:t>3.项目实施。</w:t>
      </w:r>
      <w:r>
        <w:rPr>
          <w:rFonts w:hint="eastAsia" w:eastAsia="仿宋_GB2312"/>
          <w:sz w:val="32"/>
          <w:szCs w:val="32"/>
          <w:lang w:val="zh-CN"/>
        </w:rPr>
        <w:t>项目实际使用资金</w:t>
      </w:r>
      <w:r>
        <w:rPr>
          <w:rFonts w:hint="eastAsia" w:ascii="仿宋_GB2312" w:hAnsi="仿宋_GB2312" w:eastAsia="仿宋_GB2312" w:cs="仿宋_GB2312"/>
          <w:sz w:val="32"/>
          <w:szCs w:val="32"/>
          <w:lang w:val="zh-CN"/>
        </w:rPr>
        <w:t>205.79万</w:t>
      </w:r>
      <w:r>
        <w:rPr>
          <w:rFonts w:hint="eastAsia" w:eastAsia="仿宋_GB2312"/>
          <w:sz w:val="32"/>
          <w:szCs w:val="32"/>
          <w:lang w:val="zh-CN"/>
        </w:rPr>
        <w:t>元，预算执行</w:t>
      </w:r>
      <w:r>
        <w:rPr>
          <w:rFonts w:hint="eastAsia" w:eastAsia="仿宋_GB2312"/>
          <w:sz w:val="32"/>
          <w:szCs w:val="32"/>
          <w:lang w:val="en-US" w:eastAsia="zh-CN"/>
        </w:rPr>
        <w:t>率</w:t>
      </w:r>
      <w:r>
        <w:rPr>
          <w:rFonts w:hint="eastAsia" w:ascii="仿宋_GB2312" w:hAnsi="仿宋_GB2312" w:eastAsia="仿宋_GB2312" w:cs="仿宋_GB2312"/>
          <w:sz w:val="32"/>
          <w:szCs w:val="32"/>
          <w:lang w:val="en-US" w:eastAsia="zh-CN"/>
        </w:rPr>
        <w:t>达93.1%，</w:t>
      </w:r>
      <w:r>
        <w:rPr>
          <w:rFonts w:hint="eastAsia" w:ascii="仿宋_GB2312" w:hAnsi="仿宋_GB2312" w:eastAsia="仿宋_GB2312" w:cs="仿宋_GB2312"/>
          <w:sz w:val="32"/>
          <w:szCs w:val="32"/>
          <w:lang w:val="zh-CN"/>
        </w:rPr>
        <w:t>资金</w:t>
      </w:r>
      <w:r>
        <w:rPr>
          <w:rFonts w:hint="eastAsia" w:eastAsia="仿宋_GB2312"/>
          <w:sz w:val="32"/>
          <w:szCs w:val="32"/>
          <w:lang w:val="zh-CN"/>
        </w:rPr>
        <w:t>使用</w:t>
      </w:r>
      <w:r>
        <w:rPr>
          <w:rFonts w:hint="eastAsia" w:eastAsia="仿宋_GB2312"/>
          <w:sz w:val="32"/>
          <w:szCs w:val="32"/>
          <w:lang w:val="en-US" w:eastAsia="zh-CN"/>
        </w:rPr>
        <w:t>保证了专款专用。</w:t>
      </w:r>
    </w:p>
    <w:p>
      <w:pPr>
        <w:ind w:firstLine="640" w:firstLineChars="200"/>
        <w:rPr>
          <w:rFonts w:eastAsia="仿宋_GB2312"/>
          <w:sz w:val="32"/>
          <w:szCs w:val="32"/>
          <w:lang w:val="zh-CN"/>
        </w:rPr>
      </w:pPr>
      <w:r>
        <w:rPr>
          <w:rFonts w:hint="eastAsia" w:ascii="楷体_GB2312" w:eastAsia="楷体_GB2312"/>
          <w:sz w:val="32"/>
          <w:szCs w:val="32"/>
          <w:lang w:val="zh-CN"/>
        </w:rPr>
        <w:t>4.项目结果。</w:t>
      </w:r>
      <w:r>
        <w:rPr>
          <w:rFonts w:hint="eastAsia" w:eastAsia="仿宋_GB2312"/>
          <w:sz w:val="32"/>
          <w:szCs w:val="32"/>
          <w:lang w:val="en-US" w:eastAsia="zh-CN"/>
        </w:rPr>
        <w:t>项目按期完成建设工作，达到预期效果</w:t>
      </w:r>
      <w:r>
        <w:rPr>
          <w:rFonts w:hint="eastAsia" w:eastAsia="仿宋_GB2312"/>
          <w:sz w:val="32"/>
          <w:szCs w:val="32"/>
          <w:lang w:val="zh-CN"/>
        </w:rPr>
        <w:t>。</w:t>
      </w:r>
    </w:p>
    <w:p>
      <w:pPr>
        <w:ind w:firstLine="643" w:firstLineChars="200"/>
        <w:rPr>
          <w:rFonts w:eastAsia="仿宋_GB2312"/>
          <w:sz w:val="32"/>
          <w:szCs w:val="32"/>
          <w:lang w:val="zh-CN"/>
        </w:rPr>
      </w:pPr>
      <w:r>
        <w:rPr>
          <w:rFonts w:hint="eastAsia" w:ascii="楷体_GB2312" w:eastAsia="楷体_GB2312"/>
          <w:b/>
          <w:sz w:val="32"/>
          <w:szCs w:val="32"/>
          <w:lang w:val="zh-CN"/>
        </w:rPr>
        <w:t>（二）专用指标绩效分析。</w:t>
      </w:r>
    </w:p>
    <w:p>
      <w:pPr>
        <w:ind w:firstLine="640" w:firstLineChars="200"/>
        <w:rPr>
          <w:rFonts w:hint="eastAsia" w:eastAsia="仿宋_GB2312"/>
          <w:sz w:val="32"/>
          <w:szCs w:val="32"/>
          <w:lang w:val="en-US" w:eastAsia="zh-CN"/>
        </w:rPr>
      </w:pPr>
      <w:r>
        <w:rPr>
          <w:rFonts w:hint="eastAsia" w:ascii="楷体_GB2312" w:eastAsia="楷体_GB2312"/>
          <w:sz w:val="32"/>
          <w:szCs w:val="32"/>
          <w:lang w:val="zh-CN"/>
        </w:rPr>
        <w:t>1.产业发展。</w:t>
      </w:r>
      <w:r>
        <w:rPr>
          <w:rFonts w:hint="eastAsia" w:eastAsia="仿宋_GB2312"/>
          <w:sz w:val="32"/>
          <w:szCs w:val="32"/>
          <w:lang w:val="en-US" w:eastAsia="zh-CN"/>
        </w:rPr>
        <w:t>不涉及</w:t>
      </w:r>
    </w:p>
    <w:p>
      <w:pPr>
        <w:ind w:firstLine="640" w:firstLineChars="200"/>
        <w:rPr>
          <w:rFonts w:hint="default" w:eastAsia="仿宋_GB2312"/>
          <w:sz w:val="32"/>
          <w:szCs w:val="32"/>
          <w:lang w:val="en-US" w:eastAsia="zh-CN"/>
        </w:rPr>
      </w:pPr>
      <w:r>
        <w:rPr>
          <w:rFonts w:hint="eastAsia" w:ascii="楷体_GB2312" w:eastAsia="楷体_GB2312"/>
          <w:sz w:val="32"/>
          <w:szCs w:val="32"/>
          <w:lang w:val="zh-CN"/>
        </w:rPr>
        <w:t>2.民生保障。</w:t>
      </w:r>
      <w:r>
        <w:rPr>
          <w:rFonts w:hint="eastAsia" w:eastAsia="仿宋_GB2312"/>
          <w:sz w:val="32"/>
          <w:szCs w:val="32"/>
          <w:lang w:val="zh-CN"/>
        </w:rPr>
        <w:t>该项目实施后</w:t>
      </w:r>
      <w:r>
        <w:rPr>
          <w:rFonts w:hint="eastAsia" w:eastAsia="仿宋_GB2312"/>
          <w:sz w:val="32"/>
          <w:szCs w:val="32"/>
          <w:lang w:val="en-US" w:eastAsia="zh-CN"/>
        </w:rPr>
        <w:t>会</w:t>
      </w:r>
      <w:r>
        <w:rPr>
          <w:rFonts w:hint="eastAsia" w:eastAsia="仿宋_GB2312"/>
          <w:sz w:val="32"/>
          <w:szCs w:val="32"/>
          <w:lang w:val="zh-CN"/>
        </w:rPr>
        <w:t>产生社会效益：通过应急培训，使人民群众在应对突发事件和自然灾害时，能快速救护自己和别人，减少人员的死亡。</w:t>
      </w:r>
      <w:r>
        <w:rPr>
          <w:rFonts w:hint="eastAsia" w:eastAsia="仿宋_GB2312"/>
          <w:sz w:val="32"/>
          <w:szCs w:val="32"/>
          <w:lang w:val="en-US" w:eastAsia="zh-CN"/>
        </w:rPr>
        <w:t>群众满意度比较高，实用性比较强。</w:t>
      </w:r>
    </w:p>
    <w:p>
      <w:pPr>
        <w:ind w:firstLine="640" w:firstLineChars="200"/>
        <w:rPr>
          <w:rFonts w:hint="eastAsia" w:eastAsia="仿宋_GB2312"/>
          <w:sz w:val="32"/>
          <w:szCs w:val="32"/>
          <w:lang w:val="en-US" w:eastAsia="zh-CN"/>
        </w:rPr>
      </w:pPr>
      <w:r>
        <w:rPr>
          <w:rFonts w:hint="eastAsia" w:ascii="楷体_GB2312" w:eastAsia="楷体_GB2312"/>
          <w:sz w:val="32"/>
          <w:szCs w:val="32"/>
          <w:lang w:val="zh-CN"/>
        </w:rPr>
        <w:t>3.基础设施。</w:t>
      </w:r>
      <w:r>
        <w:rPr>
          <w:rFonts w:hint="eastAsia" w:eastAsia="仿宋_GB2312"/>
          <w:sz w:val="32"/>
          <w:szCs w:val="32"/>
          <w:lang w:val="en-US" w:eastAsia="zh-CN"/>
        </w:rPr>
        <w:t>不涉及</w:t>
      </w:r>
    </w:p>
    <w:p>
      <w:pPr>
        <w:ind w:firstLine="640" w:firstLineChars="200"/>
        <w:rPr>
          <w:rFonts w:hint="eastAsia" w:eastAsia="楷体_GB2312"/>
          <w:sz w:val="32"/>
          <w:szCs w:val="32"/>
          <w:lang w:val="en-US" w:eastAsia="zh-CN"/>
        </w:rPr>
      </w:pPr>
      <w:r>
        <w:rPr>
          <w:rFonts w:hint="eastAsia" w:ascii="楷体_GB2312" w:eastAsia="楷体_GB2312"/>
          <w:sz w:val="32"/>
          <w:szCs w:val="32"/>
          <w:lang w:val="zh-CN"/>
        </w:rPr>
        <w:t>4.行政运转。</w:t>
      </w:r>
      <w:r>
        <w:rPr>
          <w:rFonts w:hint="eastAsia" w:eastAsia="仿宋_GB2312"/>
          <w:sz w:val="32"/>
          <w:szCs w:val="32"/>
          <w:lang w:val="en-US" w:eastAsia="zh-CN"/>
        </w:rPr>
        <w:t>不涉及</w:t>
      </w:r>
    </w:p>
    <w:p>
      <w:pPr>
        <w:ind w:firstLine="643" w:firstLineChars="200"/>
        <w:rPr>
          <w:rFonts w:hint="eastAsia" w:eastAsia="楷体_GB2312"/>
          <w:sz w:val="32"/>
          <w:szCs w:val="32"/>
          <w:lang w:val="en-US" w:eastAsia="zh-CN"/>
        </w:rPr>
      </w:pPr>
      <w:r>
        <w:rPr>
          <w:rFonts w:hint="eastAsia" w:ascii="楷体_GB2312" w:eastAsia="楷体_GB2312"/>
          <w:b/>
          <w:sz w:val="32"/>
          <w:szCs w:val="32"/>
          <w:lang w:val="zh-CN"/>
        </w:rPr>
        <w:t>（三）个性指标绩效分析。</w:t>
      </w:r>
      <w:r>
        <w:rPr>
          <w:rFonts w:hint="eastAsia" w:eastAsia="仿宋_GB2312"/>
          <w:sz w:val="32"/>
          <w:szCs w:val="32"/>
          <w:lang w:val="en-US" w:eastAsia="zh-CN"/>
        </w:rPr>
        <w:t>无</w:t>
      </w:r>
    </w:p>
    <w:p>
      <w:pPr>
        <w:ind w:firstLine="640" w:firstLineChars="200"/>
        <w:rPr>
          <w:rFonts w:ascii="黑体" w:hAnsi="黑体" w:eastAsia="黑体"/>
          <w:sz w:val="32"/>
          <w:szCs w:val="32"/>
          <w:lang w:val="zh-CN"/>
        </w:rPr>
      </w:pPr>
      <w:r>
        <w:rPr>
          <w:rFonts w:hint="eastAsia" w:ascii="黑体" w:hAnsi="黑体" w:eastAsia="黑体"/>
          <w:sz w:val="32"/>
          <w:szCs w:val="32"/>
          <w:lang w:val="zh-CN"/>
        </w:rPr>
        <w:t>四、评价结论</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该项目绩效自评总分为98.4分，项目实施进度达到预期，资金使用执行率达到预期，总体来说项目实施很有必要性。提高了当地居民的应急救护水平和自救互救能力。</w:t>
      </w:r>
    </w:p>
    <w:p>
      <w:pPr>
        <w:ind w:firstLine="640" w:firstLineChars="200"/>
        <w:rPr>
          <w:rFonts w:ascii="黑体" w:hAnsi="黑体" w:eastAsia="黑体"/>
          <w:sz w:val="32"/>
          <w:szCs w:val="32"/>
          <w:lang w:val="zh-CN"/>
        </w:rPr>
      </w:pPr>
      <w:r>
        <w:rPr>
          <w:rFonts w:hint="eastAsia" w:ascii="黑体" w:hAnsi="黑体" w:eastAsia="黑体"/>
          <w:sz w:val="32"/>
          <w:szCs w:val="32"/>
          <w:lang w:val="zh-CN"/>
        </w:rPr>
        <w:t>五、存在主要问题</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存在的主要问题是项目期初计划在人员密集公共场所配备50余台AED及应急救护柜（一体机），资金概算200万人民币，但因外部原因最终只配备了4台，未能满足群众需求；项目资金结余15.21万元未能发挥最大作用，结转到下一年，造成资金利用实效浪费。</w:t>
      </w:r>
    </w:p>
    <w:p>
      <w:pPr>
        <w:ind w:firstLine="640" w:firstLineChars="200"/>
        <w:rPr>
          <w:rFonts w:ascii="黑体" w:hAnsi="黑体" w:eastAsia="黑体"/>
          <w:sz w:val="32"/>
          <w:szCs w:val="32"/>
          <w:lang w:val="zh-CN"/>
        </w:rPr>
      </w:pPr>
      <w:r>
        <w:rPr>
          <w:rFonts w:hint="eastAsia" w:ascii="黑体" w:hAnsi="黑体" w:eastAsia="黑体"/>
          <w:sz w:val="32"/>
          <w:szCs w:val="32"/>
          <w:lang w:val="zh-CN"/>
        </w:rPr>
        <w:t>六、改进建议</w:t>
      </w:r>
    </w:p>
    <w:p>
      <w:pPr>
        <w:ind w:firstLine="640" w:firstLineChars="200"/>
        <w:rPr>
          <w:rFonts w:hint="default" w:eastAsia="仿宋_GB2312"/>
          <w:sz w:val="32"/>
          <w:szCs w:val="32"/>
          <w:lang w:val="en-US" w:eastAsia="zh-CN"/>
        </w:rPr>
      </w:pPr>
      <w:r>
        <w:rPr>
          <w:rFonts w:hint="eastAsia" w:eastAsia="仿宋_GB2312"/>
          <w:sz w:val="32"/>
          <w:szCs w:val="32"/>
          <w:lang w:val="en-US" w:eastAsia="zh-CN"/>
        </w:rPr>
        <w:t>针对</w:t>
      </w:r>
      <w:r>
        <w:rPr>
          <w:rFonts w:hint="eastAsia" w:ascii="仿宋_GB2312" w:hAnsi="仿宋_GB2312" w:eastAsia="仿宋_GB2312" w:cs="仿宋_GB2312"/>
          <w:sz w:val="32"/>
          <w:szCs w:val="32"/>
          <w:lang w:val="en-US" w:eastAsia="zh-CN"/>
        </w:rPr>
        <w:t>AED及应急救护柜（一体机）配备不足的问题，将在下一年继续多方争取资金，尽早将人员密集公共场所全覆盖。项目结余资金将在下一年主动对接县东西协作办收回指标。</w:t>
      </w:r>
    </w:p>
    <w:p>
      <w:pPr>
        <w:pStyle w:val="4"/>
        <w:jc w:val="center"/>
        <w:rPr>
          <w:rFonts w:ascii="黑体" w:hAnsi="黑体" w:eastAsia="黑体"/>
        </w:rPr>
      </w:pPr>
      <w:bookmarkStart w:id="102" w:name="_Toc840"/>
      <w:bookmarkStart w:id="103" w:name="_Toc10837"/>
      <w:bookmarkStart w:id="104" w:name="_Toc2580"/>
      <w:r>
        <w:rPr>
          <w:rFonts w:hint="eastAsia" w:ascii="黑体" w:hAnsi="黑体" w:eastAsia="黑体"/>
        </w:rPr>
        <w:t>第五部分 附表</w:t>
      </w:r>
      <w:bookmarkEnd w:id="102"/>
      <w:bookmarkEnd w:id="103"/>
      <w:bookmarkEnd w:id="104"/>
    </w:p>
    <w:p>
      <w:pPr>
        <w:rPr>
          <w:rFonts w:ascii="仿宋" w:hAnsi="仿宋" w:eastAsia="仿宋"/>
          <w:sz w:val="32"/>
          <w:szCs w:val="32"/>
        </w:rPr>
      </w:pPr>
      <w:r>
        <w:rPr>
          <w:rFonts w:hint="eastAsia" w:ascii="仿宋" w:hAnsi="仿宋" w:eastAsia="仿宋"/>
          <w:sz w:val="32"/>
          <w:szCs w:val="32"/>
        </w:rPr>
        <w:t>一、收入支出决算总表</w:t>
      </w:r>
    </w:p>
    <w:p>
      <w:pPr>
        <w:rPr>
          <w:rFonts w:ascii="仿宋" w:hAnsi="仿宋" w:eastAsia="仿宋"/>
          <w:sz w:val="32"/>
          <w:szCs w:val="32"/>
        </w:rPr>
      </w:pPr>
      <w:r>
        <w:rPr>
          <w:rFonts w:hint="eastAsia" w:ascii="仿宋" w:hAnsi="仿宋" w:eastAsia="仿宋"/>
          <w:sz w:val="32"/>
          <w:szCs w:val="32"/>
        </w:rPr>
        <w:t>二、收入决算表</w:t>
      </w:r>
    </w:p>
    <w:p>
      <w:pPr>
        <w:rPr>
          <w:rFonts w:ascii="仿宋" w:hAnsi="仿宋" w:eastAsia="仿宋"/>
          <w:sz w:val="32"/>
          <w:szCs w:val="32"/>
        </w:rPr>
      </w:pPr>
      <w:r>
        <w:rPr>
          <w:rFonts w:hint="eastAsia" w:ascii="仿宋" w:hAnsi="仿宋" w:eastAsia="仿宋"/>
          <w:sz w:val="32"/>
          <w:szCs w:val="32"/>
        </w:rPr>
        <w:t>三、支出决算表</w:t>
      </w:r>
    </w:p>
    <w:p>
      <w:pPr>
        <w:rPr>
          <w:rFonts w:ascii="仿宋" w:hAnsi="仿宋" w:eastAsia="仿宋"/>
          <w:sz w:val="32"/>
          <w:szCs w:val="32"/>
        </w:rPr>
      </w:pPr>
      <w:r>
        <w:rPr>
          <w:rFonts w:hint="eastAsia" w:ascii="仿宋" w:hAnsi="仿宋" w:eastAsia="仿宋"/>
          <w:sz w:val="32"/>
          <w:szCs w:val="32"/>
        </w:rPr>
        <w:t>四、财政拨款收入支出决算总表</w:t>
      </w:r>
    </w:p>
    <w:p>
      <w:pPr>
        <w:rPr>
          <w:rFonts w:ascii="仿宋" w:hAnsi="仿宋" w:eastAsia="仿宋"/>
          <w:sz w:val="32"/>
          <w:szCs w:val="32"/>
        </w:rPr>
      </w:pPr>
      <w:r>
        <w:rPr>
          <w:rFonts w:hint="eastAsia" w:ascii="仿宋" w:hAnsi="仿宋" w:eastAsia="仿宋"/>
          <w:sz w:val="32"/>
          <w:szCs w:val="32"/>
        </w:rPr>
        <w:t>五、财政拨款支出决算明细表</w:t>
      </w:r>
    </w:p>
    <w:p>
      <w:pPr>
        <w:rPr>
          <w:rFonts w:ascii="仿宋" w:hAnsi="仿宋" w:eastAsia="仿宋"/>
          <w:sz w:val="32"/>
          <w:szCs w:val="32"/>
        </w:rPr>
      </w:pPr>
      <w:r>
        <w:rPr>
          <w:rFonts w:hint="eastAsia" w:ascii="仿宋" w:hAnsi="仿宋" w:eastAsia="仿宋"/>
          <w:sz w:val="32"/>
          <w:szCs w:val="32"/>
        </w:rPr>
        <w:t>六、一般公共预算财政拨款支出决算表</w:t>
      </w:r>
    </w:p>
    <w:p>
      <w:pPr>
        <w:rPr>
          <w:rFonts w:ascii="仿宋" w:hAnsi="仿宋" w:eastAsia="仿宋"/>
          <w:sz w:val="32"/>
          <w:szCs w:val="32"/>
        </w:rPr>
      </w:pPr>
      <w:r>
        <w:rPr>
          <w:rFonts w:hint="eastAsia" w:ascii="仿宋" w:hAnsi="仿宋" w:eastAsia="仿宋"/>
          <w:sz w:val="32"/>
          <w:szCs w:val="32"/>
        </w:rPr>
        <w:t>七、一般公共预算财政拨款支出决算明细表</w:t>
      </w:r>
    </w:p>
    <w:p>
      <w:pPr>
        <w:rPr>
          <w:rFonts w:ascii="仿宋" w:hAnsi="仿宋" w:eastAsia="仿宋"/>
          <w:sz w:val="32"/>
          <w:szCs w:val="32"/>
        </w:rPr>
      </w:pPr>
      <w:r>
        <w:rPr>
          <w:rFonts w:hint="eastAsia" w:ascii="仿宋" w:hAnsi="仿宋" w:eastAsia="仿宋"/>
          <w:sz w:val="32"/>
          <w:szCs w:val="32"/>
        </w:rPr>
        <w:t>八、一般公共预算财政拨款基本支出决算表</w:t>
      </w:r>
    </w:p>
    <w:p>
      <w:pPr>
        <w:rPr>
          <w:rFonts w:ascii="仿宋" w:hAnsi="仿宋" w:eastAsia="仿宋"/>
          <w:sz w:val="32"/>
          <w:szCs w:val="32"/>
        </w:rPr>
      </w:pPr>
      <w:r>
        <w:rPr>
          <w:rFonts w:hint="eastAsia" w:ascii="仿宋" w:hAnsi="仿宋" w:eastAsia="仿宋"/>
          <w:sz w:val="32"/>
          <w:szCs w:val="32"/>
        </w:rPr>
        <w:t>九、一般公共预算财政拨款项目支出决算表</w:t>
      </w:r>
    </w:p>
    <w:p>
      <w:pPr>
        <w:rPr>
          <w:rFonts w:ascii="仿宋" w:hAnsi="仿宋" w:eastAsia="仿宋"/>
          <w:sz w:val="32"/>
          <w:szCs w:val="32"/>
        </w:rPr>
      </w:pPr>
      <w:r>
        <w:rPr>
          <w:rFonts w:hint="eastAsia" w:ascii="仿宋" w:hAnsi="仿宋" w:eastAsia="仿宋"/>
          <w:sz w:val="32"/>
          <w:szCs w:val="32"/>
        </w:rPr>
        <w:t>十、政府性基金预算财政拨款收入支出决算表</w:t>
      </w:r>
    </w:p>
    <w:p>
      <w:pPr>
        <w:rPr>
          <w:rFonts w:ascii="仿宋" w:hAnsi="仿宋" w:eastAsia="仿宋"/>
          <w:sz w:val="32"/>
          <w:szCs w:val="32"/>
        </w:rPr>
      </w:pPr>
      <w:r>
        <w:rPr>
          <w:rFonts w:hint="eastAsia" w:ascii="仿宋" w:hAnsi="仿宋" w:eastAsia="仿宋"/>
          <w:sz w:val="32"/>
          <w:szCs w:val="32"/>
        </w:rPr>
        <w:t>十一、国有资本经营预算财政拨款收入支出决算表</w:t>
      </w:r>
    </w:p>
    <w:p>
      <w:pPr>
        <w:rPr>
          <w:rFonts w:ascii="仿宋" w:hAnsi="仿宋" w:eastAsia="仿宋"/>
          <w:sz w:val="32"/>
          <w:szCs w:val="32"/>
        </w:rPr>
      </w:pPr>
      <w:r>
        <w:rPr>
          <w:rFonts w:hint="eastAsia" w:ascii="仿宋" w:hAnsi="仿宋" w:eastAsia="仿宋"/>
          <w:sz w:val="32"/>
          <w:szCs w:val="32"/>
        </w:rPr>
        <w:t>十二、国有资本经营预算财政拨款支出决算表</w:t>
      </w:r>
    </w:p>
    <w:p>
      <w:pPr>
        <w:rPr>
          <w:rFonts w:ascii="仿宋" w:hAnsi="仿宋" w:eastAsia="仿宋"/>
          <w:sz w:val="32"/>
          <w:szCs w:val="32"/>
        </w:rPr>
      </w:pPr>
      <w:r>
        <w:rPr>
          <w:rFonts w:hint="eastAsia" w:ascii="仿宋" w:hAnsi="仿宋" w:eastAsia="仿宋"/>
          <w:sz w:val="32"/>
          <w:szCs w:val="32"/>
        </w:rPr>
        <w:t>十三、财政拨款“三公”经费支出决算表</w:t>
      </w:r>
    </w:p>
    <w:sectPr>
      <w:footerReference r:id="rId5" w:type="first"/>
      <w:footerReference r:id="rId4"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-104775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inside;mso-position-horizontal-relative:margin;mso-wrap-style:none;z-index:251659264;mso-width-relative:page;mso-height-relative:page;" filled="f" stroked="f" coordsize="21600,21600" o:gfxdata="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-104775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5pt;height:144pt;width:144pt;mso-position-horizontal:inside;mso-position-horizontal-relative:margin;mso-wrap-style:none;z-index:251660288;mso-width-relative:page;mso-height-relative:page;" filled="f" stroked="f" coordsize="21600,21600" o:gfxdata="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4EBF25E"/>
    <w:multiLevelType w:val="singleLevel"/>
    <w:tmpl w:val="D4EBF25E"/>
    <w:lvl w:ilvl="0" w:tentative="0">
      <w:start w:val="4"/>
      <w:numFmt w:val="chineseCounting"/>
      <w:suff w:val="nothing"/>
      <w:lvlText w:val="（%1）"/>
      <w:lvlJc w:val="left"/>
      <w:rPr>
        <w:rFonts w:hint="eastAsia"/>
      </w:rPr>
    </w:lvl>
  </w:abstractNum>
  <w:abstractNum w:abstractNumId="2">
    <w:nsid w:val="0E3917BB"/>
    <w:multiLevelType w:val="singleLevel"/>
    <w:tmpl w:val="0E3917BB"/>
    <w:lvl w:ilvl="0" w:tentative="0">
      <w:start w:val="1"/>
      <w:numFmt w:val="chineseCounting"/>
      <w:suff w:val="nothing"/>
      <w:lvlText w:val="%1、"/>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8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2DC1"/>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66AE1"/>
    <w:rsid w:val="00E82267"/>
    <w:rsid w:val="00E853CE"/>
    <w:rsid w:val="00E867B6"/>
    <w:rsid w:val="00EA010F"/>
    <w:rsid w:val="00EB0810"/>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5975B8"/>
    <w:rsid w:val="01AF3287"/>
    <w:rsid w:val="022433E1"/>
    <w:rsid w:val="026A40A6"/>
    <w:rsid w:val="027F3138"/>
    <w:rsid w:val="0285372F"/>
    <w:rsid w:val="02C64B84"/>
    <w:rsid w:val="02FEBE30"/>
    <w:rsid w:val="036F8141"/>
    <w:rsid w:val="03B920E1"/>
    <w:rsid w:val="044E2F98"/>
    <w:rsid w:val="05992EF8"/>
    <w:rsid w:val="05AF1BEA"/>
    <w:rsid w:val="066E0107"/>
    <w:rsid w:val="068B5E43"/>
    <w:rsid w:val="073A79E4"/>
    <w:rsid w:val="079779E5"/>
    <w:rsid w:val="07996F6E"/>
    <w:rsid w:val="079D0427"/>
    <w:rsid w:val="07DFD8BA"/>
    <w:rsid w:val="088A6BF2"/>
    <w:rsid w:val="088A6D8A"/>
    <w:rsid w:val="0A2032A3"/>
    <w:rsid w:val="0B6A1C39"/>
    <w:rsid w:val="0B9A5E4A"/>
    <w:rsid w:val="0C4429E6"/>
    <w:rsid w:val="0D35B1ED"/>
    <w:rsid w:val="0DAD3802"/>
    <w:rsid w:val="0E7341B1"/>
    <w:rsid w:val="0E7ED1F5"/>
    <w:rsid w:val="0F98263C"/>
    <w:rsid w:val="101860EC"/>
    <w:rsid w:val="10440845"/>
    <w:rsid w:val="10C055FF"/>
    <w:rsid w:val="1105512A"/>
    <w:rsid w:val="116F2385"/>
    <w:rsid w:val="118107EC"/>
    <w:rsid w:val="118C48A1"/>
    <w:rsid w:val="12936729"/>
    <w:rsid w:val="129F0A82"/>
    <w:rsid w:val="12E81E14"/>
    <w:rsid w:val="13D50BC4"/>
    <w:rsid w:val="13DA5F68"/>
    <w:rsid w:val="13F5616D"/>
    <w:rsid w:val="16121C9E"/>
    <w:rsid w:val="161D65E5"/>
    <w:rsid w:val="16807881"/>
    <w:rsid w:val="16BB723D"/>
    <w:rsid w:val="17F9714D"/>
    <w:rsid w:val="1918F934"/>
    <w:rsid w:val="19C656FD"/>
    <w:rsid w:val="19EB7A11"/>
    <w:rsid w:val="1A3522AB"/>
    <w:rsid w:val="1A4C396F"/>
    <w:rsid w:val="1A570C6A"/>
    <w:rsid w:val="1AC970D8"/>
    <w:rsid w:val="1B261E9B"/>
    <w:rsid w:val="1B2D28CE"/>
    <w:rsid w:val="1BA10843"/>
    <w:rsid w:val="1BC45F81"/>
    <w:rsid w:val="1BE8440E"/>
    <w:rsid w:val="1C62466E"/>
    <w:rsid w:val="1C7865B4"/>
    <w:rsid w:val="1D155CEE"/>
    <w:rsid w:val="1D7021DF"/>
    <w:rsid w:val="1D811183"/>
    <w:rsid w:val="1DFBC4B3"/>
    <w:rsid w:val="1E0D28FB"/>
    <w:rsid w:val="1E4C0585"/>
    <w:rsid w:val="1E740ACF"/>
    <w:rsid w:val="1EC57E4B"/>
    <w:rsid w:val="1F19C781"/>
    <w:rsid w:val="1F33FCE5"/>
    <w:rsid w:val="1F4C1887"/>
    <w:rsid w:val="1F7F7398"/>
    <w:rsid w:val="1FD2DB6F"/>
    <w:rsid w:val="1FF35744"/>
    <w:rsid w:val="1FF6BC77"/>
    <w:rsid w:val="1FF9236D"/>
    <w:rsid w:val="20362051"/>
    <w:rsid w:val="2193543D"/>
    <w:rsid w:val="21B01079"/>
    <w:rsid w:val="21B36D41"/>
    <w:rsid w:val="2333840E"/>
    <w:rsid w:val="23860B96"/>
    <w:rsid w:val="23890E2B"/>
    <w:rsid w:val="23B95BB4"/>
    <w:rsid w:val="240371BF"/>
    <w:rsid w:val="24326CB5"/>
    <w:rsid w:val="248A0FBB"/>
    <w:rsid w:val="24950675"/>
    <w:rsid w:val="24A72F33"/>
    <w:rsid w:val="24BE75A1"/>
    <w:rsid w:val="24E62F57"/>
    <w:rsid w:val="257C638F"/>
    <w:rsid w:val="25A1665C"/>
    <w:rsid w:val="25AC3BE9"/>
    <w:rsid w:val="279E4843"/>
    <w:rsid w:val="289A79CE"/>
    <w:rsid w:val="28CB7050"/>
    <w:rsid w:val="29FD04D3"/>
    <w:rsid w:val="2A9B28E4"/>
    <w:rsid w:val="2B357F27"/>
    <w:rsid w:val="2BFF7BC6"/>
    <w:rsid w:val="2C086AF3"/>
    <w:rsid w:val="2C58010E"/>
    <w:rsid w:val="2C8A61B5"/>
    <w:rsid w:val="2CD59C95"/>
    <w:rsid w:val="2DF04E50"/>
    <w:rsid w:val="2E1C6599"/>
    <w:rsid w:val="2EFD05E5"/>
    <w:rsid w:val="2F040D46"/>
    <w:rsid w:val="2F4F95CE"/>
    <w:rsid w:val="2F6B2CD9"/>
    <w:rsid w:val="2FACAFDD"/>
    <w:rsid w:val="2FAE5751"/>
    <w:rsid w:val="2FB1A395"/>
    <w:rsid w:val="2FCF0B76"/>
    <w:rsid w:val="2FD9A7D8"/>
    <w:rsid w:val="30024D5E"/>
    <w:rsid w:val="3010347C"/>
    <w:rsid w:val="30744DDB"/>
    <w:rsid w:val="319F7F4E"/>
    <w:rsid w:val="32B11FF0"/>
    <w:rsid w:val="3304709D"/>
    <w:rsid w:val="33E8764C"/>
    <w:rsid w:val="34CF0829"/>
    <w:rsid w:val="36AA5135"/>
    <w:rsid w:val="36BE0DA7"/>
    <w:rsid w:val="376B6AA6"/>
    <w:rsid w:val="376D39B2"/>
    <w:rsid w:val="37E16F03"/>
    <w:rsid w:val="37F53A3B"/>
    <w:rsid w:val="387178F2"/>
    <w:rsid w:val="38900957"/>
    <w:rsid w:val="38D469F0"/>
    <w:rsid w:val="38F30DD8"/>
    <w:rsid w:val="38F78389"/>
    <w:rsid w:val="397BAF1F"/>
    <w:rsid w:val="399C02BB"/>
    <w:rsid w:val="39E7B272"/>
    <w:rsid w:val="39F7642F"/>
    <w:rsid w:val="39FF7B37"/>
    <w:rsid w:val="3A6266D5"/>
    <w:rsid w:val="3AA15A03"/>
    <w:rsid w:val="3AB79AF3"/>
    <w:rsid w:val="3AFDCB77"/>
    <w:rsid w:val="3B7EF35A"/>
    <w:rsid w:val="3B835CE4"/>
    <w:rsid w:val="3B9C58BD"/>
    <w:rsid w:val="3B9FDB6C"/>
    <w:rsid w:val="3BF5BC2F"/>
    <w:rsid w:val="3BF7C23A"/>
    <w:rsid w:val="3BFF223E"/>
    <w:rsid w:val="3C6EC0A1"/>
    <w:rsid w:val="3CDB0824"/>
    <w:rsid w:val="3CEBA265"/>
    <w:rsid w:val="3D642857"/>
    <w:rsid w:val="3D6A7F9F"/>
    <w:rsid w:val="3D7E7F4D"/>
    <w:rsid w:val="3D98207C"/>
    <w:rsid w:val="3D9CF30A"/>
    <w:rsid w:val="3DAC0467"/>
    <w:rsid w:val="3DFF5A3E"/>
    <w:rsid w:val="3E270E61"/>
    <w:rsid w:val="3E78745D"/>
    <w:rsid w:val="3E8E46AE"/>
    <w:rsid w:val="3EEE77E9"/>
    <w:rsid w:val="3F394AF5"/>
    <w:rsid w:val="3FBE5714"/>
    <w:rsid w:val="3FDD8615"/>
    <w:rsid w:val="3FDFB2FF"/>
    <w:rsid w:val="3FE70893"/>
    <w:rsid w:val="3FE94C7B"/>
    <w:rsid w:val="3FEA3D69"/>
    <w:rsid w:val="3FF4CAE0"/>
    <w:rsid w:val="3FF75FAF"/>
    <w:rsid w:val="3FF7B227"/>
    <w:rsid w:val="400A35E6"/>
    <w:rsid w:val="412B5C00"/>
    <w:rsid w:val="416E3107"/>
    <w:rsid w:val="41F51012"/>
    <w:rsid w:val="4234205E"/>
    <w:rsid w:val="427B0878"/>
    <w:rsid w:val="42A26C2F"/>
    <w:rsid w:val="43742570"/>
    <w:rsid w:val="4391088D"/>
    <w:rsid w:val="4481499B"/>
    <w:rsid w:val="44E268DA"/>
    <w:rsid w:val="455919BF"/>
    <w:rsid w:val="457F4F6B"/>
    <w:rsid w:val="45C13E7D"/>
    <w:rsid w:val="4681792F"/>
    <w:rsid w:val="46D6368B"/>
    <w:rsid w:val="4737FB58"/>
    <w:rsid w:val="475D61AA"/>
    <w:rsid w:val="47ECCB02"/>
    <w:rsid w:val="47FA6A3F"/>
    <w:rsid w:val="48463047"/>
    <w:rsid w:val="486C7051"/>
    <w:rsid w:val="489763FE"/>
    <w:rsid w:val="48BD57B1"/>
    <w:rsid w:val="49381661"/>
    <w:rsid w:val="49D7AE48"/>
    <w:rsid w:val="4A0216DF"/>
    <w:rsid w:val="4A3F6C7E"/>
    <w:rsid w:val="4A627F82"/>
    <w:rsid w:val="4AEC7B0A"/>
    <w:rsid w:val="4B0E749A"/>
    <w:rsid w:val="4B4F25DA"/>
    <w:rsid w:val="4B5901A1"/>
    <w:rsid w:val="4B7F7297"/>
    <w:rsid w:val="4B94229B"/>
    <w:rsid w:val="4BBB4781"/>
    <w:rsid w:val="4BD709A5"/>
    <w:rsid w:val="4BDD9BFF"/>
    <w:rsid w:val="4BE068DB"/>
    <w:rsid w:val="4BEC5028"/>
    <w:rsid w:val="4C007DDF"/>
    <w:rsid w:val="4CF03E18"/>
    <w:rsid w:val="4D367DDB"/>
    <w:rsid w:val="4D467587"/>
    <w:rsid w:val="4D577224"/>
    <w:rsid w:val="4D6821EA"/>
    <w:rsid w:val="4DBF1CEB"/>
    <w:rsid w:val="4DBF6A6B"/>
    <w:rsid w:val="4DF6A672"/>
    <w:rsid w:val="4EAB630A"/>
    <w:rsid w:val="4ECE2238"/>
    <w:rsid w:val="4F1E3186"/>
    <w:rsid w:val="4F7D0E43"/>
    <w:rsid w:val="4F7EA413"/>
    <w:rsid w:val="4FAB812F"/>
    <w:rsid w:val="4FE9BD67"/>
    <w:rsid w:val="4FEE4C07"/>
    <w:rsid w:val="4FF22093"/>
    <w:rsid w:val="4FFB052F"/>
    <w:rsid w:val="522B31AA"/>
    <w:rsid w:val="525D0EDC"/>
    <w:rsid w:val="5261175A"/>
    <w:rsid w:val="53442729"/>
    <w:rsid w:val="537E6D0A"/>
    <w:rsid w:val="53A14440"/>
    <w:rsid w:val="53AB6B88"/>
    <w:rsid w:val="53B3679B"/>
    <w:rsid w:val="53F74C96"/>
    <w:rsid w:val="5583522D"/>
    <w:rsid w:val="56806EFB"/>
    <w:rsid w:val="571A0392"/>
    <w:rsid w:val="57BD3DD4"/>
    <w:rsid w:val="57F9CD1E"/>
    <w:rsid w:val="586E091C"/>
    <w:rsid w:val="592901A3"/>
    <w:rsid w:val="596E4C51"/>
    <w:rsid w:val="59701D78"/>
    <w:rsid w:val="59C53E78"/>
    <w:rsid w:val="5A4A2A25"/>
    <w:rsid w:val="5AF92295"/>
    <w:rsid w:val="5AF9D8E9"/>
    <w:rsid w:val="5BDD38BD"/>
    <w:rsid w:val="5BDD79E6"/>
    <w:rsid w:val="5BEFC772"/>
    <w:rsid w:val="5BFF5DFC"/>
    <w:rsid w:val="5CD71FC4"/>
    <w:rsid w:val="5D1F11B5"/>
    <w:rsid w:val="5D3647F9"/>
    <w:rsid w:val="5DA644D4"/>
    <w:rsid w:val="5DAE1B18"/>
    <w:rsid w:val="5DAE48FD"/>
    <w:rsid w:val="5DE7D9E5"/>
    <w:rsid w:val="5ECEC941"/>
    <w:rsid w:val="5EFF8FC6"/>
    <w:rsid w:val="5F347C2D"/>
    <w:rsid w:val="5F5BA39A"/>
    <w:rsid w:val="5F7745D5"/>
    <w:rsid w:val="5F7D3B79"/>
    <w:rsid w:val="5F7F4610"/>
    <w:rsid w:val="5FBF9FF3"/>
    <w:rsid w:val="5FCD4E2C"/>
    <w:rsid w:val="5FEF394A"/>
    <w:rsid w:val="5FF67715"/>
    <w:rsid w:val="607A4225"/>
    <w:rsid w:val="60CC5811"/>
    <w:rsid w:val="61CA71D5"/>
    <w:rsid w:val="61D811B4"/>
    <w:rsid w:val="627EE9EA"/>
    <w:rsid w:val="62CC256C"/>
    <w:rsid w:val="63183A98"/>
    <w:rsid w:val="63197802"/>
    <w:rsid w:val="636C0C8A"/>
    <w:rsid w:val="63B23AA5"/>
    <w:rsid w:val="647F5392"/>
    <w:rsid w:val="64E322C4"/>
    <w:rsid w:val="65BE3F76"/>
    <w:rsid w:val="65FB93B9"/>
    <w:rsid w:val="66324421"/>
    <w:rsid w:val="6633C463"/>
    <w:rsid w:val="66FA0AA6"/>
    <w:rsid w:val="67D55B77"/>
    <w:rsid w:val="67EE7F84"/>
    <w:rsid w:val="680E6BDD"/>
    <w:rsid w:val="68275340"/>
    <w:rsid w:val="686F5F53"/>
    <w:rsid w:val="68DA65F1"/>
    <w:rsid w:val="68F22D98"/>
    <w:rsid w:val="6A7547A7"/>
    <w:rsid w:val="6AFFCEAF"/>
    <w:rsid w:val="6B96E9E6"/>
    <w:rsid w:val="6BCE57B5"/>
    <w:rsid w:val="6BFEA4DB"/>
    <w:rsid w:val="6BFFB662"/>
    <w:rsid w:val="6C4A05C8"/>
    <w:rsid w:val="6CBB1AB9"/>
    <w:rsid w:val="6CE3136F"/>
    <w:rsid w:val="6CFF4FB8"/>
    <w:rsid w:val="6D6BD6E0"/>
    <w:rsid w:val="6D77E73C"/>
    <w:rsid w:val="6DBF5E93"/>
    <w:rsid w:val="6DFF077E"/>
    <w:rsid w:val="6E7E3605"/>
    <w:rsid w:val="6E7FDCC7"/>
    <w:rsid w:val="6EAD2ECB"/>
    <w:rsid w:val="6ED6A62E"/>
    <w:rsid w:val="6EE00B15"/>
    <w:rsid w:val="6EE737B2"/>
    <w:rsid w:val="6EEB2329"/>
    <w:rsid w:val="6EECE67A"/>
    <w:rsid w:val="6F6F90A8"/>
    <w:rsid w:val="6F6FB3EB"/>
    <w:rsid w:val="6F8731EA"/>
    <w:rsid w:val="6FBC2ADD"/>
    <w:rsid w:val="6FD57C00"/>
    <w:rsid w:val="6FED2871"/>
    <w:rsid w:val="6FEFFFD8"/>
    <w:rsid w:val="6FF5CC65"/>
    <w:rsid w:val="6FFB47EC"/>
    <w:rsid w:val="6FFF034A"/>
    <w:rsid w:val="712A28F1"/>
    <w:rsid w:val="713E063A"/>
    <w:rsid w:val="715C0E4B"/>
    <w:rsid w:val="71FFD401"/>
    <w:rsid w:val="72233669"/>
    <w:rsid w:val="72734D90"/>
    <w:rsid w:val="7332FE48"/>
    <w:rsid w:val="73AD73D5"/>
    <w:rsid w:val="73B6EB34"/>
    <w:rsid w:val="73B95679"/>
    <w:rsid w:val="73FA497D"/>
    <w:rsid w:val="744731E5"/>
    <w:rsid w:val="74AE37EF"/>
    <w:rsid w:val="74BBD01D"/>
    <w:rsid w:val="74ED5379"/>
    <w:rsid w:val="75060B69"/>
    <w:rsid w:val="75DEEEC2"/>
    <w:rsid w:val="767F479D"/>
    <w:rsid w:val="76E3355F"/>
    <w:rsid w:val="76F742AF"/>
    <w:rsid w:val="76F7BE7D"/>
    <w:rsid w:val="76FF5125"/>
    <w:rsid w:val="773570D3"/>
    <w:rsid w:val="77597F31"/>
    <w:rsid w:val="776F6FFA"/>
    <w:rsid w:val="7777A522"/>
    <w:rsid w:val="77858688"/>
    <w:rsid w:val="778769C8"/>
    <w:rsid w:val="77CB741A"/>
    <w:rsid w:val="77D7BE3A"/>
    <w:rsid w:val="77DC22F5"/>
    <w:rsid w:val="797E3A6C"/>
    <w:rsid w:val="79CF70E2"/>
    <w:rsid w:val="79D7FD79"/>
    <w:rsid w:val="79E75806"/>
    <w:rsid w:val="79EE5BA4"/>
    <w:rsid w:val="7A641148"/>
    <w:rsid w:val="7A6F8BF5"/>
    <w:rsid w:val="7A894339"/>
    <w:rsid w:val="7ACF82B5"/>
    <w:rsid w:val="7AFF28C9"/>
    <w:rsid w:val="7AFF72A0"/>
    <w:rsid w:val="7AFF7572"/>
    <w:rsid w:val="7B6C7DFB"/>
    <w:rsid w:val="7B7D76A7"/>
    <w:rsid w:val="7B8A15AD"/>
    <w:rsid w:val="7BAE2FE2"/>
    <w:rsid w:val="7BAF6951"/>
    <w:rsid w:val="7BBFBED0"/>
    <w:rsid w:val="7BC3E394"/>
    <w:rsid w:val="7BF3FE4C"/>
    <w:rsid w:val="7BFB5035"/>
    <w:rsid w:val="7BFDE17E"/>
    <w:rsid w:val="7C8362D5"/>
    <w:rsid w:val="7CBFC87B"/>
    <w:rsid w:val="7CFE0F48"/>
    <w:rsid w:val="7D3DE31C"/>
    <w:rsid w:val="7D7EC23E"/>
    <w:rsid w:val="7D7F8A13"/>
    <w:rsid w:val="7DBBCB01"/>
    <w:rsid w:val="7DC765D0"/>
    <w:rsid w:val="7DD75C10"/>
    <w:rsid w:val="7DDB0EE0"/>
    <w:rsid w:val="7DFA183B"/>
    <w:rsid w:val="7DFF51D8"/>
    <w:rsid w:val="7E634199"/>
    <w:rsid w:val="7E782B57"/>
    <w:rsid w:val="7E8ADEBF"/>
    <w:rsid w:val="7E9F7934"/>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7"/>
    <w:qFormat/>
    <w:uiPriority w:val="99"/>
    <w:pPr>
      <w:spacing w:beforeLines="30"/>
    </w:pPr>
    <w:rPr>
      <w:rFonts w:ascii="仿宋_GB2312" w:eastAsia="仿宋_GB2312"/>
      <w:kern w:val="0"/>
      <w:sz w:val="30"/>
    </w:rPr>
  </w:style>
  <w:style w:type="paragraph" w:styleId="3">
    <w:name w:val="index 8"/>
    <w:basedOn w:val="1"/>
    <w:next w:val="1"/>
    <w:qFormat/>
    <w:uiPriority w:val="99"/>
    <w:pPr>
      <w:ind w:left="2940"/>
    </w:p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3"/>
    <w:semiHidden/>
    <w:unhideWhenUsed/>
    <w:qFormat/>
    <w:uiPriority w:val="99"/>
    <w:rPr>
      <w:sz w:val="18"/>
      <w:szCs w:val="18"/>
    </w:rPr>
  </w:style>
  <w:style w:type="paragraph" w:styleId="10">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Title"/>
    <w:basedOn w:val="1"/>
    <w:next w:val="1"/>
    <w:qFormat/>
    <w:uiPriority w:val="0"/>
    <w:pPr>
      <w:spacing w:before="240" w:after="60"/>
      <w:jc w:val="center"/>
      <w:outlineLvl w:val="0"/>
    </w:pPr>
    <w:rPr>
      <w:rFonts w:ascii="Cambria" w:hAnsi="Cambria" w:eastAsia="宋体"/>
      <w:b/>
      <w:bCs/>
      <w:szCs w:val="32"/>
    </w:r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BodyText"/>
    <w:basedOn w:val="1"/>
    <w:qFormat/>
    <w:uiPriority w:val="0"/>
    <w:pPr>
      <w:spacing w:before="100" w:beforeAutospacing="1" w:after="120" w:line="240" w:lineRule="auto"/>
      <w:jc w:val="both"/>
    </w:pPr>
    <w:rPr>
      <w:rFonts w:ascii="仿宋_GB2312" w:eastAsia="仿宋_GB2312"/>
      <w:kern w:val="2"/>
      <w:sz w:val="30"/>
      <w:szCs w:val="30"/>
      <w:lang w:val="en-US" w:eastAsia="zh-CN" w:bidi="ar-SA"/>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字符"/>
    <w:link w:val="11"/>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字符"/>
    <w:link w:val="10"/>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字符"/>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7"/>
    <w:link w:val="4"/>
    <w:qFormat/>
    <w:uiPriority w:val="9"/>
    <w:rPr>
      <w:rFonts w:ascii="Times New Roman" w:hAnsi="Times New Roman"/>
      <w:b/>
      <w:bCs/>
      <w:kern w:val="44"/>
      <w:sz w:val="44"/>
      <w:szCs w:val="44"/>
    </w:rPr>
  </w:style>
  <w:style w:type="character" w:customStyle="1" w:styleId="31">
    <w:name w:val="标题 2 字符"/>
    <w:basedOn w:val="17"/>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7"/>
    <w:link w:val="9"/>
    <w:semiHidden/>
    <w:qFormat/>
    <w:uiPriority w:val="99"/>
    <w:rPr>
      <w:rFonts w:ascii="Times New Roman" w:hAnsi="Times New Roman"/>
      <w:kern w:val="2"/>
      <w:sz w:val="18"/>
      <w:szCs w:val="18"/>
    </w:rPr>
  </w:style>
  <w:style w:type="character" w:customStyle="1" w:styleId="34">
    <w:name w:val="标题 3 字符"/>
    <w:basedOn w:val="17"/>
    <w:link w:val="6"/>
    <w:qFormat/>
    <w:uiPriority w:val="9"/>
    <w:rPr>
      <w:rFonts w:ascii="Times New Roman" w:hAnsi="Times New Roman"/>
      <w:b/>
      <w:bCs/>
      <w:kern w:val="2"/>
      <w:sz w:val="32"/>
      <w:szCs w:val="32"/>
    </w:rPr>
  </w:style>
  <w:style w:type="paragraph" w:customStyle="1" w:styleId="35">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character" w:customStyle="1" w:styleId="37">
    <w:name w:val="标题 2 Char"/>
    <w:basedOn w:val="17"/>
    <w:link w:val="5"/>
    <w:qFormat/>
    <w:uiPriority w:val="9"/>
    <w:rPr>
      <w:rFonts w:ascii="Cambria" w:hAnsi="Cambria" w:eastAsia="宋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3&#24180;&#20915;&#31639;&#20844;&#24320;\&#20915;&#31639;&#20844;&#24320;&#22270;&#34920;&#27169;&#29256;.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3&#24180;&#20915;&#31639;&#20844;&#24320;\&#20915;&#31639;&#20844;&#24320;&#22270;&#34920;&#27169;&#29256;.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3&#24180;&#20915;&#31639;&#20844;&#24320;\&#20915;&#31639;&#20844;&#24320;&#22270;&#34920;&#27169;&#2925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none" spc="0" normalizeH="0" baseline="0">
                <a:solidFill>
                  <a:schemeClr val="dk1">
                    <a:lumMod val="50000"/>
                    <a:lumOff val="50000"/>
                  </a:schemeClr>
                </a:solidFill>
                <a:latin typeface="+mj-lt"/>
                <a:ea typeface="+mj-ea"/>
                <a:cs typeface="+mj-cs"/>
              </a:defRPr>
            </a:pPr>
            <a:r>
              <a:rPr lang="en-US" altLang="zh-CN">
                <a:latin typeface="黑体" panose="02010609060101010101" charset="-122"/>
                <a:ea typeface="黑体" panose="02010609060101010101" charset="-122"/>
              </a:rPr>
              <a:t>2023</a:t>
            </a:r>
            <a:r>
              <a:rPr altLang="en-US">
                <a:latin typeface="黑体" panose="02010609060101010101" charset="-122"/>
                <a:ea typeface="黑体" panose="02010609060101010101" charset="-122"/>
              </a:rPr>
              <a:t>年度</a:t>
            </a:r>
            <a:r>
              <a:rPr>
                <a:latin typeface="黑体" panose="02010609060101010101" charset="-122"/>
                <a:ea typeface="黑体" panose="02010609060101010101" charset="-122"/>
              </a:rPr>
              <a:t>收、支决算总计变动情况图</a:t>
            </a:r>
            <a:endParaRPr>
              <a:latin typeface="黑体" panose="02010609060101010101" charset="-122"/>
              <a:ea typeface="黑体" panose="02010609060101010101" charset="-122"/>
            </a:endParaRPr>
          </a:p>
        </c:rich>
      </c:tx>
      <c:layout>
        <c:manualLayout>
          <c:xMode val="edge"/>
          <c:yMode val="edge"/>
          <c:x val="0.189341479972845"/>
          <c:y val="0.0286685071140369"/>
        </c:manualLayout>
      </c:layout>
      <c:overlay val="0"/>
      <c:spPr>
        <a:noFill/>
        <a:ln>
          <a:noFill/>
        </a:ln>
        <a:effectLst/>
      </c:spPr>
    </c:title>
    <c:autoTitleDeleted val="0"/>
    <c:plotArea>
      <c:layout>
        <c:manualLayout>
          <c:layoutTarget val="inner"/>
          <c:xMode val="edge"/>
          <c:yMode val="edge"/>
          <c:x val="0.0962118126272913"/>
          <c:y val="0.17923125929072"/>
          <c:w val="0.896999321113374"/>
          <c:h val="0.725291994053939"/>
        </c:manualLayout>
      </c:layout>
      <c:barChart>
        <c:barDir val="col"/>
        <c:grouping val="clustered"/>
        <c:varyColors val="0"/>
        <c:ser>
          <c:idx val="0"/>
          <c:order val="0"/>
          <c:tx>
            <c:strRef>
              <c:f>[工作簿1]Sheet1!$B$2</c:f>
              <c:strCache>
                <c:ptCount val="1"/>
                <c:pt idx="0">
                  <c:v>金额（万元）</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lumMod val="75000"/>
                            <a:lumOff val="25000"/>
                          </a:schemeClr>
                        </a:solidFill>
                        <a:latin typeface="+mn-lt"/>
                        <a:ea typeface="+mn-ea"/>
                        <a:cs typeface="+mn-cs"/>
                      </a:defRPr>
                    </a:pPr>
                    <a:r>
                      <a:t>74.89万元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lumMod val="75000"/>
                            <a:lumOff val="25000"/>
                          </a:schemeClr>
                        </a:solidFill>
                        <a:latin typeface="+mn-lt"/>
                        <a:ea typeface="+mn-ea"/>
                        <a:cs typeface="+mn-cs"/>
                      </a:defRPr>
                    </a:pPr>
                    <a:r>
                      <a:t>318.6万元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[工作簿1]Sheet1!$A$3:$A$4</c:f>
              <c:strCache>
                <c:ptCount val="2"/>
                <c:pt idx="0">
                  <c:v>2022年度</c:v>
                </c:pt>
                <c:pt idx="1">
                  <c:v>2023年度</c:v>
                </c:pt>
              </c:strCache>
            </c:strRef>
          </c:cat>
          <c:val>
            <c:numRef>
              <c:f>[工作簿1]Sheet1!$B$3:$B$4</c:f>
              <c:numCache>
                <c:formatCode>General</c:formatCode>
                <c:ptCount val="2"/>
                <c:pt idx="0">
                  <c:v>74.89</c:v>
                </c:pt>
                <c:pt idx="1">
                  <c:v>318.6</c:v>
                </c:pt>
              </c:numCache>
            </c:numRef>
          </c:val>
        </c:ser>
        <c:dLbls>
          <c:showLegendKey val="0"/>
          <c:showVal val="1"/>
          <c:showCatName val="0"/>
          <c:showSerName val="0"/>
          <c:showPercent val="0"/>
          <c:showBubbleSize val="0"/>
        </c:dLbls>
        <c:gapWidth val="267"/>
        <c:overlap val="-43"/>
        <c:axId val="628210025"/>
        <c:axId val="766371039"/>
      </c:barChart>
      <c:catAx>
        <c:axId val="628210025"/>
        <c:scaling>
          <c:orientation val="minMax"/>
        </c:scaling>
        <c:delete val="0"/>
        <c:axPos val="b"/>
        <c:majorGridlines>
          <c:spPr>
            <a:ln w="9525" cap="flat" cmpd="sng" algn="ctr">
              <a:solidFill>
                <a:schemeClr val="dk1">
                  <a:lumMod val="15000"/>
                  <a:lumOff val="85000"/>
                </a:schemeClr>
              </a:solidFill>
              <a:round/>
            </a:ln>
            <a:effectLst/>
          </c:spPr>
        </c:majorGridlines>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dk1">
                    <a:lumMod val="65000"/>
                    <a:lumOff val="35000"/>
                  </a:schemeClr>
                </a:solidFill>
                <a:latin typeface="+mn-lt"/>
                <a:ea typeface="+mn-ea"/>
                <a:cs typeface="+mn-cs"/>
              </a:defRPr>
            </a:pPr>
          </a:p>
        </c:txPr>
        <c:crossAx val="766371039"/>
        <c:crosses val="autoZero"/>
        <c:auto val="1"/>
        <c:lblAlgn val="ctr"/>
        <c:lblOffset val="100"/>
        <c:noMultiLvlLbl val="0"/>
      </c:catAx>
      <c:valAx>
        <c:axId val="766371039"/>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2821002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b="1"/>
              <a:t>2023</a:t>
            </a:r>
            <a:r>
              <a:rPr altLang="en-US" sz="1600" b="1"/>
              <a:t>年度收入决算结构图</a:t>
            </a:r>
            <a:endParaRPr sz="1600" b="1"/>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[工作簿1]Sheet1!$B$19</c:f>
              <c:strCache>
                <c:ptCount val="1"/>
                <c:pt idx="0">
                  <c:v>金额（万元）</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294.84</a:t>
                    </a:r>
                    <a:r>
                      <a:rPr altLang="en-US"/>
                      <a:t>万元，占比</a:t>
                    </a:r>
                    <a:r>
                      <a:t>93%</a:t>
                    </a:r>
                  </a:p>
                </c:rich>
              </c:tx>
              <c:dLblPos val="inEnd"/>
              <c:showLegendKey val="0"/>
              <c:showVal val="0"/>
              <c:showCatName val="0"/>
              <c:showSerName val="0"/>
              <c:showPercent val="1"/>
              <c:showBubbleSize val="0"/>
              <c:extLst>
                <c:ext xmlns:c15="http://schemas.microsoft.com/office/drawing/2012/chart" uri="{CE6537A1-D6FC-4f65-9D91-7224C49458BB}">
                  <c15:layout>
                    <c:manualLayout>
                      <c:w val="0.154305555555556"/>
                      <c:h val="0.19"/>
                    </c:manualLayout>
                  </c15:layout>
                </c:ext>
              </c:extLst>
            </c:dLbl>
            <c:dLbl>
              <c:idx val="1"/>
              <c:layout>
                <c:manualLayout>
                  <c:x val="0.0480509712064787"/>
                  <c:y val="0.061402606727273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23.76</a:t>
                    </a:r>
                    <a:r>
                      <a:rPr altLang="en-US"/>
                      <a:t>万元，占比</a:t>
                    </a:r>
                    <a:r>
                      <a:t>7%</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71805555555556"/>
                      <c:h val="0.15558139534883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[工作簿1]Sheet1!$A$20:$A$21</c:f>
              <c:strCache>
                <c:ptCount val="2"/>
                <c:pt idx="0">
                  <c:v>一般公共预算财政拨款收入</c:v>
                </c:pt>
                <c:pt idx="1">
                  <c:v>政府性基金预算财政拨款收入</c:v>
                </c:pt>
              </c:strCache>
            </c:strRef>
          </c:cat>
          <c:val>
            <c:numRef>
              <c:f>[工作簿1]Sheet1!$B$20:$B$21</c:f>
              <c:numCache>
                <c:formatCode>General</c:formatCode>
                <c:ptCount val="2"/>
                <c:pt idx="0">
                  <c:v>294.84</c:v>
                </c:pt>
                <c:pt idx="1">
                  <c:v>23.76</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b="1">
                <a:latin typeface="黑体" panose="02010609060101010101" charset="-122"/>
                <a:ea typeface="黑体" panose="02010609060101010101" charset="-122"/>
                <a:cs typeface="黑体" panose="02010609060101010101" charset="-122"/>
              </a:rPr>
              <a:t>2023</a:t>
            </a:r>
            <a:r>
              <a:rPr altLang="en-US" sz="1600" b="1">
                <a:latin typeface="黑体" panose="02010609060101010101" charset="-122"/>
                <a:ea typeface="黑体" panose="02010609060101010101" charset="-122"/>
                <a:cs typeface="黑体" panose="02010609060101010101" charset="-122"/>
              </a:rPr>
              <a:t>年度支出决算结构图</a:t>
            </a:r>
            <a:endParaRPr lang="en-US" altLang="zh-CN" sz="1600" b="1">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54654844838505"/>
          <c:y val="0.155260469867211"/>
          <c:w val="0.460734642178594"/>
          <c:h val="0.720463057541709"/>
        </c:manualLayout>
      </c:layout>
      <c:pie3DChart>
        <c:varyColors val="1"/>
        <c:ser>
          <c:idx val="0"/>
          <c:order val="0"/>
          <c:tx>
            <c:strRef>
              <c:f>[工作簿1]Sheet1!$B$33</c:f>
              <c:strCache>
                <c:ptCount val="1"/>
                <c:pt idx="0">
                  <c:v>金额（万元）</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manualLayout>
                  <c:x val="-0.120334599957779"/>
                  <c:y val="0.062355658198614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89.05万元，占比27.95%</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4545070719865"/>
                  <c:y val="-0.21078208191891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229.55万元，占比72.0</a:t>
                    </a:r>
                    <a:r>
                      <a:rPr lang="en-US" altLang="zh-CN"/>
                      <a:t>5</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[工作簿1]Sheet1!$A$34:$A$35</c:f>
              <c:strCache>
                <c:ptCount val="2"/>
                <c:pt idx="0">
                  <c:v>基本支出</c:v>
                </c:pt>
                <c:pt idx="1">
                  <c:v>项目支出</c:v>
                </c:pt>
              </c:strCache>
            </c:strRef>
          </c:cat>
          <c:val>
            <c:numRef>
              <c:f>[工作簿1]Sheet1!$B$34:$B$35</c:f>
              <c:numCache>
                <c:formatCode>General</c:formatCode>
                <c:ptCount val="2"/>
                <c:pt idx="0">
                  <c:v>89.05</c:v>
                </c:pt>
                <c:pt idx="1">
                  <c:v>229.55</c:v>
                </c:pt>
              </c:numCache>
            </c:numRef>
          </c:val>
        </c:ser>
        <c:dLbls>
          <c:showLegendKey val="0"/>
          <c:showVal val="1"/>
          <c:showCatName val="0"/>
          <c:showSerName val="0"/>
          <c:showPercent val="0"/>
          <c:showBubbleSize val="0"/>
        </c:dLbls>
      </c:pie3DChart>
      <c:spPr>
        <a:noFill/>
        <a:ln>
          <a:noFill/>
        </a:ln>
        <a:effectLst/>
      </c:spPr>
    </c:plotArea>
    <c:legend>
      <c:legendPos val="b"/>
      <c:layout>
        <c:manualLayout>
          <c:xMode val="edge"/>
          <c:yMode val="edge"/>
          <c:x val="0.793065231158961"/>
          <c:y val="0.241273729332517"/>
          <c:w val="0.170994300189994"/>
          <c:h val="0.3521126760563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黑体" panose="02010609060101010101" charset="-122"/>
                <a:ea typeface="黑体" panose="02010609060101010101" charset="-122"/>
              </a:rPr>
              <a:t>财政拨款收、支决算总计变动情况</a:t>
            </a:r>
            <a:r>
              <a:t>  </a:t>
            </a:r>
          </a:p>
        </c:rich>
      </c:tx>
      <c:layout/>
      <c:overlay val="0"/>
      <c:spPr>
        <a:noFill/>
        <a:ln>
          <a:noFill/>
        </a:ln>
        <a:effectLst/>
      </c:spPr>
    </c:title>
    <c:autoTitleDeleted val="0"/>
    <c:plotArea>
      <c:layout/>
      <c:barChart>
        <c:barDir val="col"/>
        <c:grouping val="stacked"/>
        <c:varyColors val="0"/>
        <c:ser>
          <c:idx val="0"/>
          <c:order val="0"/>
          <c:tx>
            <c:strRef>
              <c:f>[工作簿1]Sheet1!$B$49</c:f>
              <c:strCache>
                <c:ptCount val="1"/>
                <c:pt idx="0">
                  <c:v>财政拨款收、支决算总计变动情况 </c:v>
                </c:pt>
              </c:strCache>
            </c:strRef>
          </c:tx>
          <c:spPr>
            <a:solidFill>
              <a:schemeClr val="accent1"/>
            </a:solidFill>
            <a:ln>
              <a:noFill/>
            </a:ln>
            <a:effectLst/>
          </c:spPr>
          <c:invertIfNegative val="0"/>
          <c:dLbls>
            <c:dLbl>
              <c:idx val="0"/>
              <c:layout>
                <c:manualLayout>
                  <c:x val="-0.0145833333333333"/>
                  <c:y val="-0.088122605363984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318.6万元</a:t>
                    </a:r>
                  </a:p>
                </c:rich>
              </c:tx>
              <c:dLblPos val="inEnd"/>
              <c:showLegendKey val="0"/>
              <c:showVal val="1"/>
              <c:showCatName val="0"/>
              <c:showSerName val="0"/>
              <c:showPercent val="0"/>
              <c:showBubbleSize val="0"/>
              <c:extLst>
                <c:ext xmlns:c15="http://schemas.microsoft.com/office/drawing/2012/chart" uri="{CE6537A1-D6FC-4f65-9D91-7224C49458BB}">
                  <c15:layout>
                    <c:manualLayout>
                      <c:w val="0.129583333333333"/>
                      <c:h val="0.0799489144316731"/>
                    </c:manualLayout>
                  </c15:layout>
                </c:ext>
              </c:extLst>
            </c:dLbl>
            <c:dLbl>
              <c:idx val="1"/>
              <c:layout>
                <c:manualLayout>
                  <c:x val="-0.00416666666666667"/>
                  <c:y val="-0.13793103448275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74.89万元</a:t>
                    </a:r>
                  </a:p>
                </c:rich>
              </c:tx>
              <c:dLblPos val="inEnd"/>
              <c:showLegendKey val="0"/>
              <c:showVal val="1"/>
              <c:showCatName val="0"/>
              <c:showSerName val="0"/>
              <c:showPercent val="0"/>
              <c:showBubbleSize val="0"/>
              <c:extLst>
                <c:ext xmlns:c15="http://schemas.microsoft.com/office/drawing/2012/chart" uri="{CE6537A1-D6FC-4f65-9D91-7224C49458BB}">
                  <c15:layout>
                    <c:manualLayout>
                      <c:w val="0.150277777777778"/>
                      <c:h val="0.136143039591315"/>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[工作簿1]Sheet1!$A$50:$A$51</c:f>
              <c:strCache>
                <c:ptCount val="2"/>
                <c:pt idx="0">
                  <c:v>2023年度财政拨款收、支总计</c:v>
                </c:pt>
                <c:pt idx="1">
                  <c:v>2022年度财政拨款收、支总计</c:v>
                </c:pt>
              </c:strCache>
            </c:strRef>
          </c:cat>
          <c:val>
            <c:numRef>
              <c:f>[工作簿1]Sheet1!$B$50:$B$51</c:f>
              <c:numCache>
                <c:formatCode>General</c:formatCode>
                <c:ptCount val="2"/>
                <c:pt idx="0">
                  <c:v>318.6</c:v>
                </c:pt>
                <c:pt idx="1">
                  <c:v>74.89</c:v>
                </c:pt>
              </c:numCache>
            </c:numRef>
          </c:val>
        </c:ser>
        <c:dLbls>
          <c:showLegendKey val="0"/>
          <c:showVal val="1"/>
          <c:showCatName val="0"/>
          <c:showSerName val="0"/>
          <c:showPercent val="0"/>
          <c:showBubbleSize val="0"/>
        </c:dLbls>
        <c:gapWidth val="150"/>
        <c:overlap val="100"/>
        <c:axId val="344073004"/>
        <c:axId val="803807813"/>
      </c:barChart>
      <c:catAx>
        <c:axId val="3440730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807813"/>
        <c:crosses val="autoZero"/>
        <c:auto val="1"/>
        <c:lblAlgn val="ctr"/>
        <c:lblOffset val="100"/>
        <c:noMultiLvlLbl val="0"/>
      </c:catAx>
      <c:valAx>
        <c:axId val="80380781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0730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黑体" panose="02010609060101010101" charset="-122"/>
                <a:ea typeface="黑体" panose="02010609060101010101" charset="-122"/>
              </a:rPr>
              <a:t>一般公共预算财政拨款支出决算变动情况</a:t>
            </a:r>
            <a:endParaRPr sz="1600">
              <a:latin typeface="黑体" panose="02010609060101010101" charset="-122"/>
              <a:ea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[决算公开图表模版.xlsx]Sheet1!$B$62</c:f>
              <c:strCache>
                <c:ptCount val="1"/>
                <c:pt idx="0">
                  <c:v>一般公共预算财政拨款支出决算变动情况</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74.89万元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294.84万元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[决算公开图表模版.xlsx]Sheet1!$A$63:$A$64</c:f>
              <c:strCache>
                <c:ptCount val="2"/>
                <c:pt idx="0">
                  <c:v>2022年度一般公共预算财政拨款支出决算</c:v>
                </c:pt>
                <c:pt idx="1">
                  <c:v>2023年度一般公共预算财政拨款支出决算</c:v>
                </c:pt>
              </c:strCache>
            </c:strRef>
          </c:cat>
          <c:val>
            <c:numRef>
              <c:f>[决算公开图表模版.xlsx]Sheet1!$B$63:$B$64</c:f>
              <c:numCache>
                <c:formatCode>General</c:formatCode>
                <c:ptCount val="2"/>
                <c:pt idx="0">
                  <c:v>74.89</c:v>
                </c:pt>
                <c:pt idx="1">
                  <c:v>294.84</c:v>
                </c:pt>
              </c:numCache>
            </c:numRef>
          </c:val>
        </c:ser>
        <c:dLbls>
          <c:showLegendKey val="0"/>
          <c:showVal val="1"/>
          <c:showCatName val="0"/>
          <c:showSerName val="0"/>
          <c:showPercent val="0"/>
          <c:showBubbleSize val="0"/>
        </c:dLbls>
        <c:gapWidth val="219"/>
        <c:overlap val="-27"/>
        <c:axId val="807091177"/>
        <c:axId val="371257905"/>
      </c:barChart>
      <c:catAx>
        <c:axId val="8070911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1257905"/>
        <c:crosses val="autoZero"/>
        <c:auto val="1"/>
        <c:lblAlgn val="ctr"/>
        <c:lblOffset val="100"/>
        <c:noMultiLvlLbl val="0"/>
      </c:catAx>
      <c:valAx>
        <c:axId val="3712579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0911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一般公共预算财政拨款支出决算</a:t>
            </a:r>
            <a:endParaRPr sz="1600" b="1"/>
          </a:p>
        </c:rich>
      </c:tx>
      <c:layout/>
      <c:overlay val="0"/>
      <c:spPr>
        <a:noFill/>
        <a:ln>
          <a:noFill/>
        </a:ln>
        <a:effectLst/>
      </c:spPr>
    </c:title>
    <c:autoTitleDeleted val="0"/>
    <c:plotArea>
      <c:layout/>
      <c:doughnutChart>
        <c:varyColors val="1"/>
        <c:ser>
          <c:idx val="0"/>
          <c:order val="0"/>
          <c:tx>
            <c:strRef>
              <c:f>[决算公开图表模版.xlsx]Sheet1!$B$80</c:f>
              <c:strCache>
                <c:ptCount val="1"/>
                <c:pt idx="0">
                  <c:v>一般公共预算财政拨款支出决算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14583333333333"/>
                  <c:y val="0.0138888888888889"/>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79.18万元，占</a:t>
                    </a:r>
                    <a:r>
                      <a:rPr lang="en-US" altLang="zh-CN">
                        <a:ln w="6350" cmpd="sng">
                          <a:noFill/>
                          <a:prstDash val="solid"/>
                        </a:ln>
                      </a:rPr>
                      <a:t>26.9%</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309444444444444"/>
                      <c:h val="0.114351851851852"/>
                    </c:manualLayout>
                  </c15:layout>
                </c:ext>
              </c:extLst>
            </c:dLbl>
            <c:dLbl>
              <c:idx val="1"/>
              <c:layout>
                <c:manualLayout>
                  <c:x val="0.127058317563551"/>
                  <c:y val="0.0208333333333333"/>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2.43万元，占</a:t>
                    </a:r>
                    <a:r>
                      <a:rPr lang="en-US" altLang="zh-CN">
                        <a:ln w="6350" cmpd="sng">
                          <a:noFill/>
                          <a:prstDash val="solid"/>
                        </a:ln>
                      </a:rPr>
                      <a:t>0.8%</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312222222222222"/>
                      <c:h val="0.114351851851852"/>
                    </c:manualLayout>
                  </c15:layout>
                </c:ext>
              </c:extLst>
            </c:dLbl>
            <c:dLbl>
              <c:idx val="2"/>
              <c:layout>
                <c:manualLayout>
                  <c:x val="-0.1125"/>
                  <c:y val="0.0173611111111111"/>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205.79万元，占</a:t>
                    </a:r>
                    <a:r>
                      <a:rPr lang="en-US" altLang="zh-CN">
                        <a:ln w="6350" cmpd="sng">
                          <a:noFill/>
                          <a:prstDash val="solid"/>
                        </a:ln>
                      </a:rPr>
                      <a:t>69.8%</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3075"/>
                      <c:h val="0.114351851851852"/>
                    </c:manualLayout>
                  </c15:layout>
                </c:ext>
              </c:extLst>
            </c:dLbl>
            <c:dLbl>
              <c:idx val="3"/>
              <c:layout>
                <c:manualLayout>
                  <c:x val="0.00833333333333333"/>
                  <c:y val="-0.03125"/>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7.44万元，占</a:t>
                    </a:r>
                    <a:r>
                      <a:rPr lang="en-US" altLang="zh-CN">
                        <a:ln w="6350" cmpd="sng">
                          <a:noFill/>
                          <a:prstDash val="solid"/>
                        </a:ln>
                      </a:rPr>
                      <a:t>2.5%</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286805555555556"/>
                      <c:h val="0.114351851851852"/>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ln w="6350" cmpd="sng">
                      <a:noFill/>
                      <a:prstDash val="solid"/>
                    </a:ln>
                    <a:solidFill>
                      <a:schemeClr val="tx1">
                        <a:lumMod val="75000"/>
                        <a:lumOff val="25000"/>
                      </a:schemeClr>
                    </a:solidFill>
                    <a:latin typeface="+mn-lt"/>
                    <a:ea typeface="+mn-ea"/>
                    <a:cs typeface="+mn-cs"/>
                  </a:defRPr>
                </a:pPr>
              </a:p>
            </c:txP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[决算公开图表模版.xlsx]Sheet1!$A$81:$A$84</c:f>
              <c:strCache>
                <c:ptCount val="4"/>
                <c:pt idx="0">
                  <c:v>社会保障和就业支出</c:v>
                </c:pt>
                <c:pt idx="1">
                  <c:v>卫生健康支出</c:v>
                </c:pt>
                <c:pt idx="2">
                  <c:v>农林水支出</c:v>
                </c:pt>
                <c:pt idx="3">
                  <c:v>住房保障支出</c:v>
                </c:pt>
              </c:strCache>
            </c:strRef>
          </c:cat>
          <c:val>
            <c:numRef>
              <c:f>[决算公开图表模版.xlsx]Sheet1!$B$81:$B$84</c:f>
              <c:numCache>
                <c:formatCode>General</c:formatCode>
                <c:ptCount val="4"/>
                <c:pt idx="0">
                  <c:v>79.18</c:v>
                </c:pt>
                <c:pt idx="1">
                  <c:v>2.43</c:v>
                </c:pt>
                <c:pt idx="2">
                  <c:v>205.79</c:v>
                </c:pt>
                <c:pt idx="3">
                  <c:v>7.44</c:v>
                </c:pt>
              </c:numCache>
            </c:numRef>
          </c:val>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黑体" panose="02010609060101010101" charset="-122"/>
                <a:ea typeface="黑体" panose="02010609060101010101" charset="-122"/>
                <a:cs typeface="黑体" panose="02010609060101010101" charset="-122"/>
              </a:rPr>
              <a:t>“三公”经费财政拨款支出结构图</a:t>
            </a:r>
            <a:endParaRPr sz="1600">
              <a:latin typeface="黑体" panose="02010609060101010101" charset="-122"/>
              <a:ea typeface="黑体" panose="02010609060101010101" charset="-122"/>
              <a:cs typeface="黑体" panose="02010609060101010101" charset="-122"/>
            </a:endParaRPr>
          </a:p>
        </c:rich>
      </c:tx>
      <c:layout>
        <c:manualLayout>
          <c:xMode val="edge"/>
          <c:yMode val="edge"/>
          <c:x val="0.169305555555556"/>
          <c:y val="0.0520833333333334"/>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680555555555555"/>
          <c:y val="0.180555555555556"/>
          <c:w val="0.588888888888889"/>
          <c:h val="0.761574074074074"/>
        </c:manualLayout>
      </c:layout>
      <c:pie3DChart>
        <c:varyColors val="1"/>
        <c:ser>
          <c:idx val="0"/>
          <c:order val="0"/>
          <c:tx>
            <c:strRef>
              <c:f>[决算公开图表模版.xlsx]Sheet1!$B$95</c:f>
              <c:strCache>
                <c:ptCount val="1"/>
                <c:pt idx="0">
                  <c:v>“三公”经费财政拨款支出结构图</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Lbls>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0.2</a:t>
                    </a:r>
                    <a:r>
                      <a:rPr altLang="en-US"/>
                      <a:t>万元，占</a:t>
                    </a:r>
                    <a:r>
                      <a:t>100%</a:t>
                    </a:r>
                  </a:p>
                </c:rich>
              </c:tx>
              <c:dLblPos val="inEnd"/>
              <c:showLegendKey val="0"/>
              <c:showVal val="0"/>
              <c:showCatName val="0"/>
              <c:showSerName val="0"/>
              <c:showPercent val="1"/>
              <c:showBubbleSize val="0"/>
              <c:extLst>
                <c:ext xmlns:c15="http://schemas.microsoft.com/office/drawing/2012/chart" uri="{CE6537A1-D6FC-4f65-9D91-7224C49458BB}">
                  <c15:layout>
                    <c:manualLayout>
                      <c:w val="0.2525"/>
                      <c:h val="0.114351851851852"/>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[决算公开图表模版.xlsx]Sheet1!$A$96:$A$98</c:f>
              <c:strCache>
                <c:ptCount val="3"/>
                <c:pt idx="0">
                  <c:v>因公出国（境）费支出</c:v>
                </c:pt>
                <c:pt idx="1">
                  <c:v>公务用车购置及运行维护费支出</c:v>
                </c:pt>
                <c:pt idx="2">
                  <c:v>公务接待费支出</c:v>
                </c:pt>
              </c:strCache>
            </c:strRef>
          </c:cat>
          <c:val>
            <c:numRef>
              <c:f>[决算公开图表模版.xlsx]Sheet1!$B$96:$B$98</c:f>
              <c:numCache>
                <c:formatCode>General</c:formatCode>
                <c:ptCount val="3"/>
                <c:pt idx="0">
                  <c:v>0</c:v>
                </c:pt>
                <c:pt idx="1">
                  <c:v>0</c:v>
                </c:pt>
                <c:pt idx="2">
                  <c:v>0.2</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1535</Words>
  <Characters>8751</Characters>
  <Lines>72</Lines>
  <Paragraphs>20</Paragraphs>
  <TotalTime>8</TotalTime>
  <ScaleCrop>false</ScaleCrop>
  <LinksUpToDate>false</LinksUpToDate>
  <CharactersWithSpaces>10266</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珠帘</cp:lastModifiedBy>
  <cp:lastPrinted>2024-10-23T08:33:15Z</cp:lastPrinted>
  <dcterms:modified xsi:type="dcterms:W3CDTF">2024-10-23T09:39:00Z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