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ascii="方正小标宋简体" w:hAnsi="宋体" w:eastAsia="方正小标宋简体"/>
          <w:sz w:val="72"/>
          <w:szCs w:val="72"/>
        </w:rPr>
      </w:pPr>
      <w:bookmarkStart w:id="0" w:name="_Toc15377425"/>
      <w:bookmarkStart w:id="1" w:name="_Toc15377193"/>
      <w:bookmarkStart w:id="2" w:name="_Toc15378441"/>
      <w:bookmarkStart w:id="3" w:name="_Toc15396475"/>
      <w:bookmarkStart w:id="4" w:name="_Toc15396597"/>
      <w:bookmarkStart w:id="5" w:name="_Toc15306267"/>
    </w:p>
    <w:p>
      <w:pPr>
        <w:pStyle w:val="5"/>
        <w:spacing w:before="93"/>
      </w:pPr>
    </w:p>
    <w:p>
      <w:pPr>
        <w:spacing w:line="600" w:lineRule="exact"/>
        <w:jc w:val="center"/>
        <w:outlineLvl w:val="0"/>
        <w:rPr>
          <w:rFonts w:ascii="方正小标宋简体" w:hAnsi="宋体" w:eastAsia="方正小标宋简体"/>
          <w:sz w:val="72"/>
          <w:szCs w:val="72"/>
        </w:rPr>
      </w:pPr>
    </w:p>
    <w:p>
      <w:pPr>
        <w:spacing w:line="600" w:lineRule="exact"/>
        <w:jc w:val="center"/>
        <w:outlineLvl w:val="0"/>
        <w:rPr>
          <w:rFonts w:ascii="方正小标宋简体" w:hAnsi="宋体" w:eastAsia="方正小标宋简体"/>
          <w:sz w:val="72"/>
          <w:szCs w:val="72"/>
        </w:rPr>
      </w:pPr>
    </w:p>
    <w:p>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2023年度</w:t>
      </w:r>
      <w:bookmarkEnd w:id="0"/>
      <w:bookmarkEnd w:id="1"/>
      <w:bookmarkEnd w:id="2"/>
      <w:bookmarkEnd w:id="3"/>
      <w:bookmarkEnd w:id="4"/>
    </w:p>
    <w:p>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6" w:name="_Toc15377194"/>
      <w:bookmarkStart w:id="7" w:name="_Toc15378442"/>
      <w:bookmarkStart w:id="8" w:name="_Toc15396598"/>
      <w:bookmarkStart w:id="9" w:name="_Toc15396476"/>
      <w:bookmarkStart w:id="10" w:name="_Toc15377426"/>
      <w:r>
        <w:rPr>
          <w:rFonts w:hint="eastAsia" w:ascii="方正小标宋简体" w:hAnsi="方正小标宋简体" w:eastAsia="方正小标宋简体" w:cs="方正小标宋简体"/>
          <w:sz w:val="72"/>
          <w:szCs w:val="72"/>
        </w:rPr>
        <w:t>四川省</w:t>
      </w:r>
      <w:bookmarkEnd w:id="5"/>
      <w:bookmarkStart w:id="11" w:name="_Toc15306268"/>
      <w:r>
        <w:rPr>
          <w:rFonts w:hint="eastAsia" w:ascii="方正小标宋简体" w:hAnsi="方正小标宋简体" w:eastAsia="方正小标宋简体" w:cs="方正小标宋简体"/>
          <w:sz w:val="72"/>
          <w:szCs w:val="72"/>
          <w:lang w:val="en-US" w:eastAsia="zh-CN"/>
        </w:rPr>
        <w:t>荣丁镇</w:t>
      </w:r>
      <w:r>
        <w:rPr>
          <w:rFonts w:hint="eastAsia" w:ascii="方正小标宋简体" w:hAnsi="方正小标宋简体" w:eastAsia="方正小标宋简体" w:cs="方正小标宋简体"/>
          <w:sz w:val="72"/>
          <w:szCs w:val="72"/>
        </w:rPr>
        <w:t>部门决算</w:t>
      </w:r>
      <w:bookmarkEnd w:id="6"/>
      <w:bookmarkEnd w:id="7"/>
      <w:bookmarkEnd w:id="8"/>
      <w:bookmarkEnd w:id="9"/>
      <w:bookmarkEnd w:id="10"/>
      <w:bookmarkEnd w:id="11"/>
    </w:p>
    <w:p>
      <w:pPr>
        <w:adjustRightInd w:val="0"/>
        <w:snapToGrid w:val="0"/>
        <w:spacing w:line="360" w:lineRule="auto"/>
        <w:jc w:val="center"/>
        <w:outlineLvl w:val="0"/>
        <w:rPr>
          <w:rFonts w:ascii="方正小标宋简体" w:hAnsi="宋体" w:eastAsia="方正小标宋简体"/>
          <w:sz w:val="52"/>
          <w:szCs w:val="52"/>
        </w:rPr>
      </w:pPr>
      <w:r>
        <w:rPr>
          <w:rFonts w:hint="eastAsia" w:ascii="方正小标宋简体" w:hAnsi="宋体" w:eastAsia="方正小标宋简体"/>
          <w:sz w:val="52"/>
          <w:szCs w:val="52"/>
        </w:rPr>
        <w:t>(部门公开范本)</w:t>
      </w:r>
    </w:p>
    <w:p>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pPr>
        <w:widowControl/>
        <w:jc w:val="center"/>
        <w:rPr>
          <w:rFonts w:ascii="黑体" w:hAnsi="黑体" w:eastAsia="黑体" w:cstheme="minorBidi"/>
          <w:sz w:val="28"/>
          <w:szCs w:val="28"/>
        </w:rPr>
      </w:pPr>
    </w:p>
    <w:p>
      <w:pPr>
        <w:pStyle w:val="11"/>
      </w:pPr>
      <w:r>
        <w:rPr>
          <w:rFonts w:hint="eastAsia"/>
        </w:rPr>
        <w:t>公开时间：2023年8月  日</w:t>
      </w:r>
    </w:p>
    <w:p/>
    <w:p>
      <w:pPr>
        <w:pStyle w:val="11"/>
        <w:adjustRightInd w:val="0"/>
        <w:snapToGrid w:val="0"/>
        <w:spacing w:before="0" w:line="440" w:lineRule="exact"/>
        <w:jc w:val="left"/>
        <w:rPr>
          <w:rFonts w:cstheme="minorBidi"/>
          <w:sz w:val="24"/>
          <w:szCs w:val="24"/>
        </w:rPr>
      </w:pPr>
      <w:r>
        <w:rPr>
          <w:rFonts w:hint="eastAsia"/>
          <w:sz w:val="24"/>
        </w:rPr>
        <w:t>第一部分</w:t>
      </w:r>
      <w:r>
        <w:rPr>
          <w:sz w:val="24"/>
        </w:rPr>
        <w:t xml:space="preserve"> </w:t>
      </w:r>
      <w:r>
        <w:rPr>
          <w:rFonts w:hint="eastAsia"/>
          <w:sz w:val="24"/>
        </w:rPr>
        <w:t>部门概况</w:t>
      </w:r>
    </w:p>
    <w:p>
      <w:pPr>
        <w:pStyle w:val="12"/>
        <w:adjustRightInd w:val="0"/>
        <w:snapToGrid w:val="0"/>
        <w:spacing w:line="440" w:lineRule="exact"/>
        <w:jc w:val="left"/>
        <w:rPr>
          <w:rFonts w:ascii="仿宋" w:hAnsi="仿宋" w:eastAsia="仿宋"/>
          <w:sz w:val="24"/>
        </w:rPr>
      </w:pPr>
      <w:r>
        <w:rPr>
          <w:rFonts w:hint="eastAsia"/>
          <w:sz w:val="24"/>
        </w:rPr>
        <w:t>一、部门职责</w:t>
      </w:r>
    </w:p>
    <w:p>
      <w:pPr>
        <w:pStyle w:val="12"/>
        <w:adjustRightInd w:val="0"/>
        <w:snapToGrid w:val="0"/>
        <w:spacing w:line="440" w:lineRule="exact"/>
        <w:jc w:val="left"/>
        <w:rPr>
          <w:rFonts w:ascii="仿宋" w:hAnsi="仿宋" w:eastAsia="仿宋" w:cstheme="minorBidi"/>
          <w:sz w:val="24"/>
        </w:rPr>
      </w:pPr>
      <w:r>
        <w:rPr>
          <w:rFonts w:hint="eastAsia"/>
          <w:sz w:val="24"/>
        </w:rPr>
        <w:t>二、机构设置</w:t>
      </w:r>
    </w:p>
    <w:p>
      <w:pPr>
        <w:pStyle w:val="11"/>
        <w:adjustRightInd w:val="0"/>
        <w:snapToGrid w:val="0"/>
        <w:spacing w:before="0" w:line="440" w:lineRule="exact"/>
        <w:jc w:val="left"/>
        <w:rPr>
          <w:sz w:val="24"/>
          <w:szCs w:val="24"/>
        </w:rPr>
      </w:pPr>
      <w:r>
        <w:rPr>
          <w:rFonts w:hint="eastAsia"/>
          <w:sz w:val="24"/>
        </w:rPr>
        <w:t>第二部分 2023年度部门决算情况说明</w:t>
      </w:r>
    </w:p>
    <w:p>
      <w:pPr>
        <w:pStyle w:val="12"/>
        <w:adjustRightInd w:val="0"/>
        <w:snapToGrid w:val="0"/>
        <w:spacing w:line="440" w:lineRule="exact"/>
        <w:jc w:val="left"/>
        <w:rPr>
          <w:rFonts w:ascii="仿宋" w:hAnsi="仿宋" w:eastAsia="仿宋" w:cstheme="minorBidi"/>
          <w:sz w:val="24"/>
        </w:rPr>
      </w:pPr>
      <w:r>
        <w:rPr>
          <w:rFonts w:hint="eastAsia"/>
          <w:sz w:val="24"/>
        </w:rPr>
        <w:t>一、收入支出决算总体情况说明</w:t>
      </w:r>
    </w:p>
    <w:p>
      <w:pPr>
        <w:pStyle w:val="12"/>
        <w:adjustRightInd w:val="0"/>
        <w:snapToGrid w:val="0"/>
        <w:spacing w:line="440" w:lineRule="exact"/>
        <w:jc w:val="left"/>
        <w:rPr>
          <w:rFonts w:ascii="仿宋" w:hAnsi="仿宋" w:eastAsia="仿宋" w:cstheme="minorBidi"/>
          <w:sz w:val="24"/>
        </w:rPr>
      </w:pPr>
      <w:r>
        <w:rPr>
          <w:rFonts w:hint="eastAsia"/>
          <w:sz w:val="24"/>
        </w:rPr>
        <w:t>二、收入决算情况说明</w:t>
      </w:r>
    </w:p>
    <w:p>
      <w:pPr>
        <w:pStyle w:val="12"/>
        <w:adjustRightInd w:val="0"/>
        <w:snapToGrid w:val="0"/>
        <w:spacing w:line="440" w:lineRule="exact"/>
        <w:jc w:val="left"/>
        <w:rPr>
          <w:rFonts w:ascii="仿宋" w:hAnsi="仿宋" w:eastAsia="仿宋" w:cstheme="minorBidi"/>
          <w:sz w:val="24"/>
        </w:rPr>
      </w:pPr>
      <w:r>
        <w:rPr>
          <w:rFonts w:hint="eastAsia"/>
          <w:sz w:val="24"/>
        </w:rPr>
        <w:t>三、支出决算情况说明</w:t>
      </w:r>
    </w:p>
    <w:p>
      <w:pPr>
        <w:pStyle w:val="12"/>
        <w:adjustRightInd w:val="0"/>
        <w:snapToGrid w:val="0"/>
        <w:spacing w:line="440" w:lineRule="exact"/>
        <w:jc w:val="left"/>
        <w:rPr>
          <w:rFonts w:ascii="仿宋" w:hAnsi="仿宋" w:eastAsia="仿宋" w:cstheme="minorBidi"/>
          <w:sz w:val="24"/>
        </w:rPr>
      </w:pPr>
      <w:r>
        <w:rPr>
          <w:rFonts w:hint="eastAsia"/>
          <w:sz w:val="24"/>
        </w:rPr>
        <w:t>四、财政拨款收入支出决算总体情况说明</w:t>
      </w:r>
    </w:p>
    <w:p>
      <w:pPr>
        <w:pStyle w:val="12"/>
        <w:adjustRightInd w:val="0"/>
        <w:snapToGrid w:val="0"/>
        <w:spacing w:line="440" w:lineRule="exact"/>
        <w:jc w:val="left"/>
        <w:rPr>
          <w:rFonts w:ascii="仿宋" w:hAnsi="仿宋" w:eastAsia="仿宋" w:cstheme="minorBidi"/>
          <w:sz w:val="24"/>
        </w:rPr>
      </w:pPr>
      <w:r>
        <w:rPr>
          <w:rFonts w:hint="eastAsia"/>
          <w:sz w:val="24"/>
        </w:rPr>
        <w:t>五、一般公共预算财政拨款支出决算情况说明</w:t>
      </w:r>
    </w:p>
    <w:p>
      <w:pPr>
        <w:pStyle w:val="12"/>
        <w:adjustRightInd w:val="0"/>
        <w:snapToGrid w:val="0"/>
        <w:spacing w:line="440" w:lineRule="exact"/>
        <w:jc w:val="left"/>
        <w:rPr>
          <w:rFonts w:ascii="仿宋" w:hAnsi="仿宋" w:eastAsia="仿宋" w:cstheme="minorBidi"/>
          <w:sz w:val="24"/>
        </w:rPr>
      </w:pPr>
      <w:r>
        <w:rPr>
          <w:rFonts w:hint="eastAsia"/>
          <w:sz w:val="24"/>
        </w:rPr>
        <w:t>六、一般公共预算财政拨款基本支出决算情况说明</w:t>
      </w:r>
    </w:p>
    <w:p>
      <w:pPr>
        <w:pStyle w:val="12"/>
        <w:adjustRightInd w:val="0"/>
        <w:snapToGrid w:val="0"/>
        <w:spacing w:line="440" w:lineRule="exact"/>
        <w:jc w:val="left"/>
        <w:rPr>
          <w:rFonts w:ascii="仿宋" w:hAnsi="仿宋" w:eastAsia="仿宋" w:cstheme="minorBidi"/>
          <w:sz w:val="24"/>
        </w:rPr>
      </w:pPr>
      <w:r>
        <w:rPr>
          <w:rFonts w:hint="eastAsia"/>
          <w:sz w:val="24"/>
        </w:rPr>
        <w:t>七、财政拨款“三公”经费支出决算情况说明</w:t>
      </w:r>
    </w:p>
    <w:p>
      <w:pPr>
        <w:pStyle w:val="12"/>
        <w:adjustRightInd w:val="0"/>
        <w:snapToGrid w:val="0"/>
        <w:spacing w:line="440" w:lineRule="exact"/>
        <w:jc w:val="left"/>
        <w:rPr>
          <w:rFonts w:ascii="仿宋" w:hAnsi="仿宋" w:eastAsia="仿宋" w:cstheme="minorBidi"/>
          <w:sz w:val="24"/>
        </w:rPr>
      </w:pPr>
      <w:r>
        <w:rPr>
          <w:rFonts w:hint="eastAsia"/>
          <w:sz w:val="24"/>
        </w:rPr>
        <w:t>八、政府性基金预算支出决算情况说明</w:t>
      </w:r>
    </w:p>
    <w:p>
      <w:pPr>
        <w:pStyle w:val="12"/>
        <w:adjustRightInd w:val="0"/>
        <w:snapToGrid w:val="0"/>
        <w:spacing w:line="440" w:lineRule="exact"/>
        <w:ind w:leftChars="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九、国有资本经营预算支出决算情况说明</w:t>
      </w:r>
    </w:p>
    <w:p>
      <w:pPr>
        <w:adjustRightInd w:val="0"/>
        <w:snapToGrid w:val="0"/>
        <w:spacing w:line="440" w:lineRule="exact"/>
        <w:ind w:firstLine="420" w:firstLineChars="175"/>
        <w:jc w:val="left"/>
        <w:rPr>
          <w:rFonts w:asciiTheme="minorEastAsia" w:hAnsiTheme="minorEastAsia" w:eastAsiaTheme="minorEastAsia" w:cstheme="minorEastAsia"/>
          <w:sz w:val="24"/>
        </w:rPr>
      </w:pPr>
      <w:r>
        <w:rPr>
          <w:rStyle w:val="18"/>
          <w:rFonts w:hint="eastAsia" w:asciiTheme="minorEastAsia" w:hAnsiTheme="minorEastAsia" w:eastAsiaTheme="minorEastAsia" w:cstheme="minorEastAsia"/>
          <w:color w:val="auto"/>
          <w:sz w:val="24"/>
          <w:u w:val="none"/>
        </w:rPr>
        <w:t>十、</w:t>
      </w:r>
      <w:r>
        <w:rPr>
          <w:rFonts w:hint="eastAsia" w:asciiTheme="minorEastAsia" w:hAnsiTheme="minorEastAsia" w:eastAsiaTheme="minorEastAsia" w:cstheme="minorEastAsia"/>
          <w:sz w:val="24"/>
        </w:rPr>
        <w:t>其他重要事项的情况说明</w:t>
      </w:r>
      <w:r>
        <w:rPr>
          <w:rFonts w:hint="eastAsia" w:asciiTheme="minorEastAsia" w:hAnsiTheme="minorEastAsia" w:eastAsiaTheme="minorEastAsia" w:cstheme="minorEastAsia"/>
          <w:sz w:val="24"/>
        </w:rPr>
        <w:tab/>
      </w:r>
    </w:p>
    <w:p>
      <w:pPr>
        <w:pStyle w:val="11"/>
        <w:adjustRightInd w:val="0"/>
        <w:snapToGrid w:val="0"/>
        <w:spacing w:before="0" w:line="440" w:lineRule="exact"/>
        <w:jc w:val="left"/>
        <w:rPr>
          <w:rFonts w:cstheme="minorBidi"/>
          <w:sz w:val="24"/>
          <w:szCs w:val="24"/>
        </w:rPr>
      </w:pPr>
      <w:r>
        <w:rPr>
          <w:rFonts w:hint="eastAsia"/>
          <w:sz w:val="24"/>
        </w:rPr>
        <w:t>第三部分</w:t>
      </w:r>
      <w:r>
        <w:rPr>
          <w:sz w:val="24"/>
        </w:rPr>
        <w:t xml:space="preserve"> </w:t>
      </w:r>
      <w:r>
        <w:rPr>
          <w:rFonts w:hint="eastAsia"/>
          <w:sz w:val="24"/>
        </w:rPr>
        <w:t>名词解释</w:t>
      </w:r>
    </w:p>
    <w:p>
      <w:pPr>
        <w:pStyle w:val="11"/>
        <w:adjustRightInd w:val="0"/>
        <w:snapToGrid w:val="0"/>
        <w:spacing w:before="0" w:line="440" w:lineRule="exact"/>
        <w:jc w:val="left"/>
        <w:rPr>
          <w:rFonts w:cstheme="minorBidi"/>
          <w:sz w:val="24"/>
          <w:szCs w:val="24"/>
        </w:rPr>
      </w:pPr>
      <w:r>
        <w:rPr>
          <w:rFonts w:hint="eastAsia"/>
          <w:sz w:val="24"/>
        </w:rPr>
        <w:t>第四部分</w:t>
      </w:r>
      <w:r>
        <w:rPr>
          <w:sz w:val="24"/>
        </w:rPr>
        <w:t xml:space="preserve"> </w:t>
      </w:r>
      <w:r>
        <w:rPr>
          <w:rFonts w:hint="eastAsia"/>
          <w:sz w:val="24"/>
        </w:rPr>
        <w:t>附件</w:t>
      </w:r>
    </w:p>
    <w:p>
      <w:pPr>
        <w:pStyle w:val="11"/>
        <w:adjustRightInd w:val="0"/>
        <w:snapToGrid w:val="0"/>
        <w:spacing w:before="0" w:line="440" w:lineRule="exact"/>
        <w:jc w:val="left"/>
        <w:rPr>
          <w:rFonts w:cstheme="minorBidi"/>
          <w:sz w:val="24"/>
          <w:szCs w:val="24"/>
        </w:rPr>
      </w:pPr>
      <w:r>
        <w:rPr>
          <w:rFonts w:hint="eastAsia"/>
          <w:sz w:val="24"/>
        </w:rPr>
        <w:t>第五部分</w:t>
      </w:r>
      <w:r>
        <w:rPr>
          <w:sz w:val="24"/>
        </w:rPr>
        <w:t xml:space="preserve"> </w:t>
      </w:r>
      <w:r>
        <w:rPr>
          <w:rFonts w:hint="eastAsia"/>
          <w:sz w:val="24"/>
        </w:rPr>
        <w:t>附表</w:t>
      </w:r>
    </w:p>
    <w:p>
      <w:pPr>
        <w:pStyle w:val="12"/>
        <w:adjustRightInd w:val="0"/>
        <w:snapToGrid w:val="0"/>
        <w:spacing w:line="440" w:lineRule="exact"/>
        <w:jc w:val="left"/>
        <w:rPr>
          <w:sz w:val="24"/>
        </w:rPr>
      </w:pPr>
      <w:r>
        <w:rPr>
          <w:rFonts w:hint="eastAsia"/>
          <w:sz w:val="24"/>
        </w:rPr>
        <w:t>一、收入支出决算总表</w:t>
      </w:r>
    </w:p>
    <w:p>
      <w:pPr>
        <w:pStyle w:val="12"/>
        <w:adjustRightInd w:val="0"/>
        <w:snapToGrid w:val="0"/>
        <w:spacing w:line="440" w:lineRule="exact"/>
        <w:jc w:val="left"/>
        <w:rPr>
          <w:sz w:val="24"/>
        </w:rPr>
      </w:pPr>
      <w:r>
        <w:rPr>
          <w:rFonts w:hint="eastAsia"/>
          <w:sz w:val="24"/>
        </w:rPr>
        <w:t>二、收入决算表</w:t>
      </w:r>
    </w:p>
    <w:p>
      <w:pPr>
        <w:pStyle w:val="12"/>
        <w:adjustRightInd w:val="0"/>
        <w:snapToGrid w:val="0"/>
        <w:spacing w:line="440" w:lineRule="exact"/>
        <w:jc w:val="left"/>
        <w:rPr>
          <w:sz w:val="24"/>
        </w:rPr>
      </w:pPr>
      <w:r>
        <w:rPr>
          <w:rFonts w:hint="eastAsia"/>
          <w:sz w:val="24"/>
        </w:rPr>
        <w:t>三、支出决算表</w:t>
      </w:r>
    </w:p>
    <w:p>
      <w:pPr>
        <w:pStyle w:val="12"/>
        <w:adjustRightInd w:val="0"/>
        <w:snapToGrid w:val="0"/>
        <w:spacing w:line="440" w:lineRule="exact"/>
        <w:jc w:val="left"/>
        <w:rPr>
          <w:sz w:val="24"/>
        </w:rPr>
      </w:pPr>
      <w:r>
        <w:rPr>
          <w:rFonts w:hint="eastAsia"/>
          <w:sz w:val="24"/>
        </w:rPr>
        <w:t>四、财政拨款收入支出决算总表</w:t>
      </w:r>
    </w:p>
    <w:p>
      <w:pPr>
        <w:pStyle w:val="12"/>
        <w:adjustRightInd w:val="0"/>
        <w:snapToGrid w:val="0"/>
        <w:spacing w:line="440" w:lineRule="exact"/>
        <w:jc w:val="left"/>
        <w:rPr>
          <w:sz w:val="24"/>
        </w:rPr>
      </w:pPr>
      <w:r>
        <w:rPr>
          <w:rFonts w:hint="eastAsia"/>
          <w:sz w:val="24"/>
        </w:rPr>
        <w:t>五、财政拨款支出决算明细表</w:t>
      </w:r>
    </w:p>
    <w:p>
      <w:pPr>
        <w:pStyle w:val="12"/>
        <w:adjustRightInd w:val="0"/>
        <w:snapToGrid w:val="0"/>
        <w:spacing w:line="440" w:lineRule="exact"/>
        <w:jc w:val="left"/>
        <w:rPr>
          <w:sz w:val="24"/>
        </w:rPr>
      </w:pPr>
      <w:r>
        <w:rPr>
          <w:rFonts w:hint="eastAsia"/>
          <w:sz w:val="24"/>
        </w:rPr>
        <w:t>六、一般公共预算财政拨款支出决算表</w:t>
      </w:r>
    </w:p>
    <w:p>
      <w:pPr>
        <w:pStyle w:val="12"/>
        <w:adjustRightInd w:val="0"/>
        <w:snapToGrid w:val="0"/>
        <w:spacing w:line="440" w:lineRule="exact"/>
        <w:jc w:val="left"/>
        <w:rPr>
          <w:sz w:val="24"/>
        </w:rPr>
      </w:pPr>
      <w:r>
        <w:rPr>
          <w:rFonts w:hint="eastAsia"/>
          <w:sz w:val="24"/>
        </w:rPr>
        <w:t>七、一般公共预算财政拨款支出决算明细表</w:t>
      </w:r>
    </w:p>
    <w:p>
      <w:pPr>
        <w:pStyle w:val="12"/>
        <w:adjustRightInd w:val="0"/>
        <w:snapToGrid w:val="0"/>
        <w:spacing w:line="440" w:lineRule="exact"/>
        <w:jc w:val="left"/>
        <w:rPr>
          <w:sz w:val="24"/>
        </w:rPr>
      </w:pPr>
      <w:r>
        <w:rPr>
          <w:rFonts w:hint="eastAsia"/>
          <w:sz w:val="24"/>
        </w:rPr>
        <w:t>八、一般公共预算财政拨款基本支出决算明细表</w:t>
      </w:r>
    </w:p>
    <w:p>
      <w:pPr>
        <w:pStyle w:val="12"/>
        <w:adjustRightInd w:val="0"/>
        <w:snapToGrid w:val="0"/>
        <w:spacing w:line="440" w:lineRule="exact"/>
        <w:jc w:val="left"/>
        <w:rPr>
          <w:sz w:val="24"/>
        </w:rPr>
      </w:pPr>
      <w:r>
        <w:rPr>
          <w:rFonts w:hint="eastAsia"/>
          <w:sz w:val="24"/>
        </w:rPr>
        <w:t>九、一般公共预算财政拨款项目支出决算表</w:t>
      </w:r>
    </w:p>
    <w:p>
      <w:pPr>
        <w:pStyle w:val="12"/>
        <w:adjustRightInd w:val="0"/>
        <w:snapToGrid w:val="0"/>
        <w:spacing w:line="440" w:lineRule="exact"/>
        <w:jc w:val="left"/>
        <w:rPr>
          <w:sz w:val="24"/>
        </w:rPr>
      </w:pPr>
      <w:r>
        <w:rPr>
          <w:rFonts w:hint="eastAsia"/>
          <w:sz w:val="24"/>
        </w:rPr>
        <w:t>十、政府性基金预算财政拨款收入支出决算表</w:t>
      </w:r>
    </w:p>
    <w:p>
      <w:pPr>
        <w:pStyle w:val="12"/>
        <w:adjustRightInd w:val="0"/>
        <w:snapToGrid w:val="0"/>
        <w:spacing w:line="440" w:lineRule="exact"/>
        <w:jc w:val="left"/>
        <w:rPr>
          <w:sz w:val="24"/>
        </w:rPr>
      </w:pPr>
      <w:r>
        <w:rPr>
          <w:rFonts w:hint="eastAsia"/>
          <w:sz w:val="24"/>
        </w:rPr>
        <w:t>十一、国有资本经营预算财政拨款收入支出决算表</w:t>
      </w:r>
    </w:p>
    <w:p>
      <w:pPr>
        <w:pStyle w:val="12"/>
        <w:adjustRightInd w:val="0"/>
        <w:snapToGrid w:val="0"/>
        <w:spacing w:line="440" w:lineRule="exact"/>
        <w:jc w:val="left"/>
        <w:rPr>
          <w:sz w:val="24"/>
        </w:rPr>
      </w:pPr>
      <w:r>
        <w:rPr>
          <w:rFonts w:hint="eastAsia"/>
          <w:sz w:val="24"/>
        </w:rPr>
        <w:t>十二、国有资本经营预算财政拨款支出决算表</w:t>
      </w:r>
    </w:p>
    <w:p>
      <w:pPr>
        <w:pStyle w:val="12"/>
        <w:adjustRightInd w:val="0"/>
        <w:snapToGrid w:val="0"/>
        <w:spacing w:line="440" w:lineRule="exact"/>
        <w:jc w:val="left"/>
        <w:rPr>
          <w:rFonts w:asciiTheme="minorEastAsia" w:hAnsiTheme="minorEastAsia" w:eastAsiaTheme="minorEastAsia" w:cstheme="minorEastAsia"/>
          <w:sz w:val="24"/>
        </w:rPr>
      </w:pPr>
      <w:r>
        <w:rPr>
          <w:rFonts w:hint="eastAsia"/>
          <w:sz w:val="24"/>
        </w:rPr>
        <w:t>十三、财政拨款“三公”经费支出决算表</w:t>
      </w:r>
    </w:p>
    <w:p>
      <w:pPr>
        <w:widowControl/>
        <w:adjustRightInd w:val="0"/>
        <w:snapToGrid w:val="0"/>
        <w:spacing w:line="440" w:lineRule="exact"/>
        <w:ind w:firstLine="1320" w:firstLineChars="550"/>
        <w:jc w:val="left"/>
        <w:rPr>
          <w:rFonts w:ascii="仿宋" w:hAnsi="仿宋" w:eastAsia="仿宋"/>
          <w:sz w:val="24"/>
        </w:rPr>
      </w:pPr>
      <w:r>
        <w:rPr>
          <w:rFonts w:ascii="仿宋" w:hAnsi="仿宋" w:eastAsia="仿宋"/>
          <w:sz w:val="24"/>
        </w:rPr>
        <w:t>(注：</w:t>
      </w:r>
      <w:r>
        <w:rPr>
          <w:rFonts w:hint="eastAsia" w:ascii="仿宋" w:hAnsi="仿宋" w:eastAsia="仿宋"/>
          <w:sz w:val="24"/>
        </w:rPr>
        <w:t>请部门根据实际注明页码</w:t>
      </w:r>
      <w:r>
        <w:rPr>
          <w:rFonts w:ascii="仿宋" w:hAnsi="仿宋" w:eastAsia="仿宋"/>
          <w:sz w:val="24"/>
        </w:rPr>
        <w:t>)</w:t>
      </w:r>
    </w:p>
    <w:p>
      <w:pPr>
        <w:widowControl/>
        <w:spacing w:line="440" w:lineRule="exact"/>
        <w:jc w:val="left"/>
        <w:rPr>
          <w:rFonts w:ascii="仿宋" w:hAnsi="仿宋" w:eastAsia="仿宋"/>
          <w:bCs/>
          <w:kern w:val="44"/>
          <w:sz w:val="24"/>
        </w:rPr>
      </w:pPr>
      <w:bookmarkStart w:id="12" w:name="_Toc15396599"/>
      <w:bookmarkStart w:id="13" w:name="_Toc15377196"/>
      <w:r>
        <w:rPr>
          <w:rFonts w:ascii="仿宋" w:hAnsi="仿宋" w:eastAsia="仿宋"/>
          <w:b/>
          <w:sz w:val="24"/>
        </w:rPr>
        <w:br w:type="page"/>
      </w:r>
    </w:p>
    <w:p>
      <w:pPr>
        <w:pStyle w:val="2"/>
        <w:jc w:val="center"/>
        <w:rPr>
          <w:rStyle w:val="28"/>
          <w:rFonts w:ascii="黑体" w:hAnsi="黑体" w:eastAsia="黑体"/>
          <w:b/>
          <w:bCs w:val="0"/>
        </w:rPr>
      </w:pPr>
      <w:r>
        <w:rPr>
          <w:rFonts w:hint="eastAsia" w:ascii="黑体" w:hAnsi="黑体" w:eastAsia="黑体"/>
          <w:b w:val="0"/>
        </w:rPr>
        <w:t xml:space="preserve">第一部分 </w:t>
      </w:r>
      <w:r>
        <w:rPr>
          <w:rStyle w:val="28"/>
          <w:rFonts w:hint="eastAsia" w:ascii="黑体" w:hAnsi="黑体" w:eastAsia="黑体"/>
          <w:b w:val="0"/>
          <w:bCs w:val="0"/>
        </w:rPr>
        <w:t>部门概况</w:t>
      </w:r>
      <w:bookmarkEnd w:id="12"/>
      <w:bookmarkEnd w:id="13"/>
    </w:p>
    <w:p>
      <w:pPr>
        <w:widowControl/>
        <w:jc w:val="left"/>
        <w:rPr>
          <w:rFonts w:ascii="黑体" w:eastAsia="黑体"/>
          <w:sz w:val="32"/>
          <w:szCs w:val="32"/>
        </w:rPr>
      </w:pPr>
    </w:p>
    <w:p>
      <w:pPr>
        <w:pStyle w:val="3"/>
        <w:numPr>
          <w:ilvl w:val="0"/>
          <w:numId w:val="1"/>
        </w:numPr>
        <w:rPr>
          <w:rFonts w:hint="eastAsia" w:ascii="黑体" w:hAnsi="黑体" w:eastAsia="黑体"/>
          <w:b w:val="0"/>
        </w:rPr>
      </w:pPr>
      <w:r>
        <w:rPr>
          <w:rFonts w:hint="eastAsia" w:ascii="黑体" w:hAnsi="黑体" w:eastAsia="黑体"/>
          <w:b w:val="0"/>
        </w:rPr>
        <w:t>部门职责</w:t>
      </w:r>
    </w:p>
    <w:p>
      <w:pPr>
        <w:pStyle w:val="13"/>
        <w:keepNext w:val="0"/>
        <w:keepLines w:val="0"/>
        <w:widowControl/>
        <w:suppressLineNumbers w:val="0"/>
        <w:shd w:val="clear" w:fill="FFFFFF"/>
        <w:spacing w:before="0" w:beforeAutospacing="0" w:after="100" w:afterAutospacing="0" w:line="380" w:lineRule="atLeast"/>
        <w:ind w:left="0" w:right="0" w:firstLine="420"/>
        <w:jc w:val="left"/>
        <w:rPr>
          <w:rFonts w:hint="eastAsia" w:ascii="楷体_GB2312" w:hAnsi="楷体_GB2312" w:eastAsia="楷体_GB2312" w:cs="楷体_GB2312"/>
          <w:color w:val="auto"/>
          <w:kern w:val="2"/>
          <w:sz w:val="32"/>
          <w:szCs w:val="24"/>
          <w:lang w:val="zh-CN"/>
        </w:rPr>
      </w:pPr>
      <w:r>
        <w:rPr>
          <w:rFonts w:hint="eastAsia" w:ascii="楷体_GB2312" w:hAnsi="楷体_GB2312" w:eastAsia="楷体_GB2312" w:cs="楷体_GB2312"/>
          <w:color w:val="auto"/>
          <w:kern w:val="2"/>
          <w:sz w:val="32"/>
          <w:szCs w:val="24"/>
          <w:lang w:val="zh-CN"/>
        </w:rPr>
        <w:t>1.镇党委主要职责</w:t>
      </w:r>
    </w:p>
    <w:p>
      <w:pPr>
        <w:pStyle w:val="13"/>
        <w:keepNext w:val="0"/>
        <w:keepLines w:val="0"/>
        <w:widowControl/>
        <w:suppressLineNumbers w:val="0"/>
        <w:shd w:val="clear" w:fill="FFFFFF"/>
        <w:spacing w:before="0" w:beforeAutospacing="0" w:after="100" w:afterAutospacing="0" w:line="380" w:lineRule="atLeast"/>
        <w:ind w:left="0" w:right="0" w:firstLine="420"/>
        <w:jc w:val="left"/>
        <w:rPr>
          <w:rFonts w:hint="default" w:ascii="仿宋_GB2312" w:hAnsi="仿宋_GB2312" w:eastAsia="仿宋_GB2312" w:cs="Times New Roman"/>
          <w:color w:val="auto"/>
          <w:kern w:val="2"/>
          <w:sz w:val="32"/>
          <w:szCs w:val="24"/>
          <w:lang w:val="zh-CN"/>
        </w:rPr>
      </w:pPr>
      <w:r>
        <w:rPr>
          <w:rFonts w:hint="eastAsia" w:ascii="仿宋_GB2312" w:hAnsi="仿宋_GB2312" w:eastAsia="仿宋_GB2312" w:cs="Times New Roman"/>
          <w:color w:val="auto"/>
          <w:kern w:val="2"/>
          <w:sz w:val="32"/>
          <w:szCs w:val="24"/>
          <w:lang w:val="zh-CN"/>
        </w:rPr>
        <w:t>一是宣传和贯彻执行党的路线方针政策和党中央、上级党组织及镇党员代表大会的决议；二是讨论和决定加强党的建设、经济建设、政治建设、文化建设、社会建设、生态文明建设以及乡村振兴中的重大事项；三是领导镇人大、政府、政协、统战、群团组织和其他各类组织，领导全镇人民武装工作；四是加强镇党委自身建设和村(社区)党组织建设，抓好发展党员工作，认真履行党风廉政建设主体责任和监督责任；五是按照干部管理权限，负责干部的教育、培训、选拔、考核和监督管理等工作；六是加强基层治理体系建设，领导全镇的基层治理。加强社会主义民主法治建设和精神文明建设，加做好生态环境保护、美丽乡村建设、民生保障等工作；七是完成其他工作。</w:t>
      </w:r>
    </w:p>
    <w:p>
      <w:pPr>
        <w:pStyle w:val="13"/>
        <w:keepNext w:val="0"/>
        <w:keepLines w:val="0"/>
        <w:widowControl/>
        <w:suppressLineNumbers w:val="0"/>
        <w:shd w:val="clear" w:fill="FFFFFF"/>
        <w:spacing w:before="0" w:beforeAutospacing="0" w:after="100" w:afterAutospacing="0" w:line="380" w:lineRule="atLeast"/>
        <w:ind w:left="0" w:right="0" w:firstLine="420"/>
        <w:jc w:val="left"/>
        <w:rPr>
          <w:rFonts w:hint="eastAsia" w:ascii="楷体_GB2312" w:hAnsi="楷体_GB2312" w:eastAsia="楷体_GB2312" w:cs="楷体_GB2312"/>
          <w:color w:val="auto"/>
          <w:kern w:val="2"/>
          <w:sz w:val="32"/>
          <w:szCs w:val="24"/>
          <w:lang w:val="zh-CN"/>
        </w:rPr>
      </w:pPr>
      <w:r>
        <w:rPr>
          <w:rFonts w:hint="eastAsia" w:ascii="楷体_GB2312" w:hAnsi="楷体_GB2312" w:eastAsia="楷体_GB2312" w:cs="楷体_GB2312"/>
          <w:color w:val="auto"/>
          <w:kern w:val="2"/>
          <w:sz w:val="32"/>
          <w:szCs w:val="24"/>
          <w:lang w:val="zh-CN"/>
        </w:rPr>
        <w:t>2.镇政府主要职责</w:t>
      </w:r>
    </w:p>
    <w:p>
      <w:pPr>
        <w:pStyle w:val="13"/>
        <w:keepNext w:val="0"/>
        <w:keepLines w:val="0"/>
        <w:widowControl/>
        <w:suppressLineNumbers w:val="0"/>
        <w:shd w:val="clear" w:fill="FFFFFF"/>
        <w:spacing w:before="0" w:beforeAutospacing="0" w:after="100" w:afterAutospacing="0" w:line="380" w:lineRule="atLeast"/>
        <w:ind w:left="0" w:right="0" w:firstLine="420"/>
        <w:jc w:val="left"/>
      </w:pPr>
      <w:r>
        <w:rPr>
          <w:rFonts w:hint="eastAsia" w:ascii="仿宋_GB2312" w:hAnsi="仿宋_GB2312" w:eastAsia="仿宋_GB2312" w:cs="Times New Roman"/>
          <w:color w:val="auto"/>
          <w:kern w:val="2"/>
          <w:sz w:val="32"/>
          <w:szCs w:val="24"/>
          <w:lang w:val="zh-CN"/>
        </w:rPr>
        <w:t>一是贯彻落实党的路线方针政策和国家法律法规以及上级党委、政府的决议、决定和命令，执行镇党委和镇人民代表大会的决议；二是负责农村基础设施和各项公益事业建设，推进脱贫攻坚，实施乡村振兴战略，加快经济社会发展，改善群众生产生活环境；三是负责农村经济发展，推进农业经济结构调整，促进经济增长、农业增效、农民增收；四是做好民政、就业创业、社会保障、劳动关系协调、民族宗教、退役军人事务、统计以及特殊人群保障等工作，促进农村社会事业健康发展；五是负责辖区内交通运输、住房和城乡建设、水利、自然资源和规划、生态环境保护以及森林防火、防汛抗旱、粮食安全、供销合作社等工作；六是推进基层民主法治建设，加强普法依法治理，维护群众合法权益；七是承担辖区平安建设、安全和应急管理等有关工作；八是推进政务公开，接受群众监督，增强政府公信力；九是负责国防教育、兵役征集、民兵预备役等有关工作；十是其他工作。</w:t>
      </w:r>
    </w:p>
    <w:p>
      <w:pPr>
        <w:pStyle w:val="3"/>
        <w:rPr>
          <w:rStyle w:val="29"/>
          <w:b w:val="0"/>
          <w:bCs w:val="0"/>
        </w:rPr>
      </w:pPr>
      <w:bookmarkStart w:id="14" w:name="_Toc15396601"/>
      <w:bookmarkStart w:id="15" w:name="_Toc15377200"/>
      <w:r>
        <w:rPr>
          <w:rFonts w:hint="eastAsia" w:ascii="黑体" w:eastAsia="黑体"/>
          <w:b w:val="0"/>
        </w:rPr>
        <w:t>二、</w:t>
      </w:r>
      <w:r>
        <w:rPr>
          <w:rFonts w:hint="eastAsia" w:ascii="黑体" w:hAnsi="黑体" w:eastAsia="黑体"/>
          <w:b w:val="0"/>
        </w:rPr>
        <w:t>机</w:t>
      </w:r>
      <w:r>
        <w:rPr>
          <w:rStyle w:val="29"/>
          <w:rFonts w:hint="eastAsia" w:ascii="黑体" w:hAnsi="黑体" w:eastAsia="黑体"/>
          <w:b w:val="0"/>
          <w:bCs w:val="0"/>
        </w:rPr>
        <w:t>构设置</w:t>
      </w:r>
      <w:bookmarkEnd w:id="14"/>
      <w:bookmarkEnd w:id="15"/>
    </w:p>
    <w:p>
      <w:pPr>
        <w:ind w:firstLine="800" w:firstLineChars="250"/>
        <w:rPr>
          <w:rFonts w:ascii="仿宋" w:hAnsi="仿宋" w:eastAsia="仿宋"/>
          <w:sz w:val="32"/>
          <w:szCs w:val="32"/>
        </w:rPr>
      </w:pPr>
      <w:r>
        <w:rPr>
          <w:sz w:val="32"/>
          <w:szCs w:val="32"/>
        </w:rPr>
        <w:t>马边彝族自治县荣丁镇人民政府</w:t>
      </w:r>
      <w:r>
        <w:rPr>
          <w:rFonts w:hint="eastAsia" w:ascii="仿宋" w:hAnsi="仿宋" w:eastAsia="仿宋"/>
          <w:sz w:val="32"/>
          <w:szCs w:val="32"/>
        </w:rPr>
        <w:t>下属二级预算单位</w:t>
      </w:r>
      <w:r>
        <w:rPr>
          <w:sz w:val="32"/>
          <w:szCs w:val="32"/>
        </w:rPr>
        <w:t>5</w:t>
      </w:r>
      <w:r>
        <w:rPr>
          <w:rFonts w:hint="eastAsia" w:ascii="仿宋" w:hAnsi="仿宋" w:eastAsia="仿宋"/>
          <w:sz w:val="32"/>
          <w:szCs w:val="32"/>
        </w:rPr>
        <w:t>个，其中行政单位</w:t>
      </w:r>
      <w:r>
        <w:rPr>
          <w:rFonts w:hint="eastAsia" w:ascii="仿宋" w:hAnsi="仿宋" w:eastAsia="仿宋"/>
          <w:sz w:val="32"/>
          <w:szCs w:val="32"/>
          <w:lang w:val="en-US" w:eastAsia="zh-CN"/>
        </w:rPr>
        <w:t>1</w:t>
      </w:r>
      <w:r>
        <w:rPr>
          <w:rFonts w:hint="eastAsia" w:ascii="仿宋" w:hAnsi="仿宋" w:eastAsia="仿宋"/>
          <w:sz w:val="32"/>
          <w:szCs w:val="32"/>
        </w:rPr>
        <w:t>个，参照公务员法管理的事业单位</w:t>
      </w:r>
      <w:r>
        <w:rPr>
          <w:rFonts w:hint="eastAsia" w:ascii="仿宋" w:hAnsi="仿宋" w:eastAsia="仿宋"/>
          <w:sz w:val="32"/>
          <w:szCs w:val="32"/>
          <w:lang w:val="en-US" w:eastAsia="zh-CN"/>
        </w:rPr>
        <w:t>4</w:t>
      </w:r>
      <w:r>
        <w:rPr>
          <w:rFonts w:hint="eastAsia" w:ascii="仿宋" w:hAnsi="仿宋" w:eastAsia="仿宋"/>
          <w:sz w:val="32"/>
          <w:szCs w:val="32"/>
        </w:rPr>
        <w:t>个，其他事业单位</w:t>
      </w:r>
      <w:r>
        <w:rPr>
          <w:rFonts w:hint="eastAsia" w:ascii="仿宋" w:hAnsi="仿宋" w:eastAsia="仿宋"/>
          <w:sz w:val="32"/>
          <w:szCs w:val="32"/>
          <w:lang w:val="en-US" w:eastAsia="zh-CN"/>
        </w:rPr>
        <w:t>0</w:t>
      </w:r>
      <w:r>
        <w:rPr>
          <w:rFonts w:hint="eastAsia" w:ascii="仿宋" w:hAnsi="仿宋" w:eastAsia="仿宋"/>
          <w:sz w:val="32"/>
          <w:szCs w:val="32"/>
        </w:rPr>
        <w:t>个。</w:t>
      </w:r>
    </w:p>
    <w:p>
      <w:pPr>
        <w:pStyle w:val="5"/>
        <w:adjustRightInd w:val="0"/>
        <w:snapToGrid w:val="0"/>
        <w:spacing w:before="93" w:line="600" w:lineRule="exact"/>
        <w:ind w:firstLine="672" w:firstLineChars="210"/>
        <w:rPr>
          <w:rFonts w:ascii="仿宋" w:hAnsi="仿宋" w:eastAsia="仿宋"/>
          <w:sz w:val="32"/>
          <w:szCs w:val="32"/>
        </w:rPr>
      </w:pPr>
      <w:r>
        <w:rPr>
          <w:rFonts w:hint="eastAsia" w:ascii="仿宋" w:hAnsi="仿宋" w:eastAsia="仿宋"/>
          <w:sz w:val="32"/>
          <w:szCs w:val="32"/>
        </w:rPr>
        <w:t>纳入</w:t>
      </w:r>
      <w:r>
        <w:rPr>
          <w:rFonts w:ascii="Times New Roman" w:eastAsia="宋体"/>
          <w:kern w:val="2"/>
          <w:sz w:val="32"/>
          <w:szCs w:val="32"/>
        </w:rPr>
        <w:t>马边彝族自治县荣丁镇人民政府</w:t>
      </w:r>
      <w:r>
        <w:rPr>
          <w:rFonts w:hint="eastAsia" w:ascii="仿宋" w:hAnsi="仿宋" w:eastAsia="仿宋"/>
          <w:sz w:val="32"/>
          <w:szCs w:val="32"/>
        </w:rPr>
        <w:t>2023年度部门决算编制范围的二级预算单位包括：</w:t>
      </w:r>
    </w:p>
    <w:p>
      <w:pPr>
        <w:pStyle w:val="13"/>
        <w:keepNext w:val="0"/>
        <w:keepLines w:val="0"/>
        <w:widowControl/>
        <w:suppressLineNumbers w:val="0"/>
        <w:shd w:val="clear" w:fill="FFFFFF"/>
        <w:spacing w:before="60" w:beforeAutospacing="0" w:after="100" w:afterAutospacing="0" w:line="380" w:lineRule="atLeast"/>
        <w:ind w:left="0" w:right="0" w:firstLine="420"/>
        <w:jc w:val="left"/>
        <w:rPr>
          <w:rFonts w:hint="default" w:ascii="仿宋_GB2312" w:hAnsi="仿宋_GB2312" w:eastAsia="仿宋_GB2312" w:cs="Times New Roman"/>
          <w:color w:val="000000"/>
          <w:kern w:val="2"/>
          <w:sz w:val="32"/>
          <w:szCs w:val="24"/>
          <w:lang w:val="zh-CN"/>
        </w:rPr>
      </w:pPr>
      <w:bookmarkStart w:id="16" w:name="_Toc15306275"/>
      <w:bookmarkStart w:id="17" w:name="_Toc15377432"/>
      <w:bookmarkStart w:id="18" w:name="_Toc15378448"/>
      <w:bookmarkStart w:id="19" w:name="_Toc15377201"/>
      <w:r>
        <w:rPr>
          <w:rFonts w:hint="eastAsia" w:ascii="仿宋_GB2312" w:hAnsi="仿宋_GB2312" w:eastAsia="仿宋_GB2312" w:cs="Times New Roman"/>
          <w:color w:val="000000"/>
          <w:kern w:val="2"/>
          <w:sz w:val="32"/>
          <w:szCs w:val="24"/>
          <w:lang w:val="zh-CN"/>
        </w:rPr>
        <w:t>1.荣丁镇人民政府、核定编制27人、其中行政编制27人。2023年12月在编在岗26人、其中行政编制26人。</w:t>
      </w:r>
    </w:p>
    <w:p>
      <w:pPr>
        <w:pStyle w:val="13"/>
        <w:keepNext w:val="0"/>
        <w:keepLines w:val="0"/>
        <w:widowControl/>
        <w:suppressLineNumbers w:val="0"/>
        <w:shd w:val="clear" w:fill="FFFFFF"/>
        <w:spacing w:before="60" w:beforeAutospacing="0" w:after="100" w:afterAutospacing="0" w:line="380" w:lineRule="atLeast"/>
        <w:ind w:left="0" w:right="0" w:firstLine="420"/>
        <w:jc w:val="left"/>
        <w:rPr>
          <w:rFonts w:hint="default" w:ascii="仿宋_GB2312" w:hAnsi="仿宋_GB2312" w:eastAsia="仿宋_GB2312" w:cs="Times New Roman"/>
          <w:color w:val="000000"/>
          <w:kern w:val="2"/>
          <w:sz w:val="32"/>
          <w:szCs w:val="24"/>
          <w:lang w:val="zh-CN"/>
        </w:rPr>
      </w:pPr>
      <w:r>
        <w:rPr>
          <w:rFonts w:hint="eastAsia" w:ascii="仿宋_GB2312" w:hAnsi="仿宋_GB2312" w:eastAsia="仿宋_GB2312" w:cs="Times New Roman"/>
          <w:color w:val="000000"/>
          <w:kern w:val="2"/>
          <w:sz w:val="32"/>
          <w:szCs w:val="24"/>
          <w:lang w:val="zh-CN"/>
        </w:rPr>
        <w:t>2.荣丁镇便民服务中心、核定事业编制6人。2023年12月在编在岗6人。</w:t>
      </w:r>
    </w:p>
    <w:p>
      <w:pPr>
        <w:pStyle w:val="13"/>
        <w:keepNext w:val="0"/>
        <w:keepLines w:val="0"/>
        <w:widowControl/>
        <w:suppressLineNumbers w:val="0"/>
        <w:shd w:val="clear" w:fill="FFFFFF"/>
        <w:spacing w:before="60" w:beforeAutospacing="0" w:after="100" w:afterAutospacing="0" w:line="380" w:lineRule="atLeast"/>
        <w:ind w:left="0" w:right="0" w:firstLine="420"/>
        <w:jc w:val="left"/>
        <w:rPr>
          <w:rFonts w:hint="default" w:ascii="仿宋_GB2312" w:hAnsi="仿宋_GB2312" w:eastAsia="仿宋_GB2312" w:cs="Times New Roman"/>
          <w:color w:val="000000"/>
          <w:kern w:val="2"/>
          <w:sz w:val="32"/>
          <w:szCs w:val="24"/>
          <w:lang w:val="zh-CN"/>
        </w:rPr>
      </w:pPr>
      <w:r>
        <w:rPr>
          <w:rFonts w:hint="eastAsia" w:ascii="仿宋_GB2312" w:hAnsi="仿宋_GB2312" w:eastAsia="仿宋_GB2312" w:cs="Times New Roman"/>
          <w:color w:val="000000"/>
          <w:kern w:val="2"/>
          <w:sz w:val="32"/>
          <w:szCs w:val="24"/>
          <w:lang w:val="zh-CN"/>
        </w:rPr>
        <w:t>3.荣丁镇农业综合服务中心、核定事业编制6人。2023年12月在编在岗6人。</w:t>
      </w:r>
    </w:p>
    <w:p>
      <w:pPr>
        <w:pStyle w:val="13"/>
        <w:keepNext w:val="0"/>
        <w:keepLines w:val="0"/>
        <w:widowControl/>
        <w:suppressLineNumbers w:val="0"/>
        <w:shd w:val="clear" w:fill="FFFFFF"/>
        <w:spacing w:before="60" w:beforeAutospacing="0" w:after="100" w:afterAutospacing="0" w:line="380" w:lineRule="atLeast"/>
        <w:ind w:left="0" w:right="0" w:firstLine="420"/>
        <w:jc w:val="left"/>
        <w:rPr>
          <w:rFonts w:hint="default" w:ascii="仿宋_GB2312" w:hAnsi="仿宋_GB2312" w:eastAsia="仿宋_GB2312" w:cs="Times New Roman"/>
          <w:color w:val="000000"/>
          <w:kern w:val="2"/>
          <w:sz w:val="32"/>
          <w:szCs w:val="24"/>
          <w:lang w:val="zh-CN"/>
        </w:rPr>
      </w:pPr>
      <w:r>
        <w:rPr>
          <w:rFonts w:hint="eastAsia" w:ascii="仿宋_GB2312" w:hAnsi="仿宋_GB2312" w:eastAsia="仿宋_GB2312" w:cs="Times New Roman"/>
          <w:color w:val="000000"/>
          <w:kern w:val="2"/>
          <w:sz w:val="32"/>
          <w:szCs w:val="24"/>
          <w:lang w:val="zh-CN"/>
        </w:rPr>
        <w:t>4.荣丁镇农民工服务中心、核定事业编制4人。2023年12月在编在岗4人。</w:t>
      </w:r>
    </w:p>
    <w:p>
      <w:pPr>
        <w:pStyle w:val="5"/>
        <w:numPr>
          <w:ilvl w:val="0"/>
          <w:numId w:val="0"/>
        </w:numPr>
        <w:adjustRightInd w:val="0"/>
        <w:snapToGrid w:val="0"/>
        <w:spacing w:before="93" w:line="600" w:lineRule="exact"/>
        <w:ind w:firstLine="320" w:firstLineChars="100"/>
        <w:outlineLvl w:val="2"/>
        <w:rPr>
          <w:rFonts w:ascii="仿宋" w:hAnsi="仿宋" w:eastAsia="仿宋"/>
          <w:sz w:val="32"/>
          <w:szCs w:val="32"/>
        </w:rPr>
      </w:pPr>
      <w:r>
        <w:rPr>
          <w:rFonts w:hint="eastAsia" w:hAnsi="仿宋_GB2312" w:cs="Times New Roman"/>
          <w:color w:val="000000"/>
          <w:kern w:val="2"/>
          <w:sz w:val="32"/>
          <w:szCs w:val="24"/>
          <w:lang w:val="en-US" w:eastAsia="zh-CN"/>
        </w:rPr>
        <w:t>5</w:t>
      </w:r>
      <w:r>
        <w:rPr>
          <w:rFonts w:hint="eastAsia" w:ascii="仿宋_GB2312" w:hAnsi="仿宋_GB2312" w:eastAsia="仿宋_GB2312" w:cs="Times New Roman"/>
          <w:color w:val="000000"/>
          <w:kern w:val="2"/>
          <w:sz w:val="32"/>
          <w:szCs w:val="24"/>
          <w:lang w:val="zh-CN"/>
        </w:rPr>
        <w:t>.荣丁镇</w:t>
      </w:r>
      <w:r>
        <w:rPr>
          <w:rFonts w:hint="eastAsia" w:ascii="仿宋_GB2312" w:hAnsi="仿宋_GB2312" w:eastAsia="仿宋_GB2312" w:cs="Times New Roman"/>
          <w:color w:val="000000"/>
          <w:kern w:val="2"/>
          <w:sz w:val="32"/>
          <w:szCs w:val="24"/>
          <w:lang w:val="zh-CN" w:eastAsia="zh-CN" w:bidi="ar"/>
        </w:rPr>
        <w:t>文化</w:t>
      </w:r>
      <w:r>
        <w:rPr>
          <w:rFonts w:hint="eastAsia" w:ascii="仿宋_GB2312" w:hAnsi="仿宋_GB2312" w:eastAsia="仿宋_GB2312" w:cs="Times New Roman"/>
          <w:color w:val="000000"/>
          <w:kern w:val="2"/>
          <w:sz w:val="32"/>
          <w:szCs w:val="24"/>
          <w:lang w:val="zh-CN"/>
        </w:rPr>
        <w:t>旅游服务中心、核定事业编制4人。2023年12月在编在岗4人。</w:t>
      </w:r>
      <w:bookmarkEnd w:id="16"/>
      <w:bookmarkEnd w:id="17"/>
      <w:bookmarkEnd w:id="18"/>
      <w:bookmarkEnd w:id="19"/>
    </w:p>
    <w:p>
      <w:pPr>
        <w:widowControl/>
        <w:jc w:val="left"/>
        <w:rPr>
          <w:rFonts w:ascii="仿宋" w:hAnsi="仿宋" w:eastAsia="仿宋"/>
          <w:kern w:val="0"/>
          <w:sz w:val="32"/>
          <w:szCs w:val="32"/>
        </w:rPr>
      </w:pPr>
      <w:r>
        <w:rPr>
          <w:rFonts w:ascii="仿宋" w:hAnsi="仿宋" w:eastAsia="仿宋"/>
          <w:sz w:val="32"/>
          <w:szCs w:val="32"/>
        </w:rPr>
        <w:br w:type="page"/>
      </w:r>
    </w:p>
    <w:p>
      <w:pPr>
        <w:pStyle w:val="2"/>
        <w:ind w:right="440"/>
        <w:jc w:val="center"/>
        <w:rPr>
          <w:rStyle w:val="28"/>
          <w:rFonts w:ascii="黑体" w:hAnsi="黑体" w:eastAsia="黑体"/>
          <w:b w:val="0"/>
          <w:bCs/>
        </w:rPr>
      </w:pPr>
      <w:bookmarkStart w:id="20" w:name="_Toc15377204"/>
      <w:bookmarkStart w:id="21" w:name="_Toc15396602"/>
      <w:r>
        <w:rPr>
          <w:rFonts w:hint="eastAsia" w:ascii="黑体" w:hAnsi="黑体" w:eastAsia="黑体"/>
          <w:b w:val="0"/>
        </w:rPr>
        <w:t>第二部分 2023年度</w:t>
      </w:r>
      <w:r>
        <w:rPr>
          <w:rStyle w:val="28"/>
          <w:rFonts w:hint="eastAsia" w:ascii="黑体" w:hAnsi="黑体" w:eastAsia="黑体"/>
          <w:b w:val="0"/>
          <w:bCs/>
        </w:rPr>
        <w:t>部门决算情况说明</w:t>
      </w:r>
      <w:bookmarkEnd w:id="20"/>
      <w:bookmarkEnd w:id="21"/>
    </w:p>
    <w:p/>
    <w:p>
      <w:pPr>
        <w:pStyle w:val="27"/>
        <w:numPr>
          <w:ilvl w:val="0"/>
          <w:numId w:val="2"/>
        </w:numPr>
        <w:spacing w:line="600" w:lineRule="exact"/>
        <w:ind w:firstLineChars="0"/>
        <w:outlineLvl w:val="1"/>
        <w:rPr>
          <w:rStyle w:val="29"/>
          <w:rFonts w:ascii="黑体" w:hAnsi="黑体" w:eastAsia="黑体"/>
          <w:b w:val="0"/>
        </w:rPr>
      </w:pPr>
      <w:bookmarkStart w:id="22" w:name="_Toc15377205"/>
      <w:bookmarkStart w:id="23" w:name="_Toc15396603"/>
      <w:r>
        <w:rPr>
          <w:rFonts w:hint="eastAsia" w:ascii="黑体" w:hAnsi="黑体" w:eastAsia="黑体"/>
          <w:sz w:val="32"/>
          <w:szCs w:val="32"/>
        </w:rPr>
        <w:t>收</w:t>
      </w:r>
      <w:r>
        <w:rPr>
          <w:rStyle w:val="29"/>
          <w:rFonts w:hint="eastAsia" w:ascii="黑体" w:hAnsi="黑体" w:eastAsia="黑体"/>
          <w:b w:val="0"/>
        </w:rPr>
        <w:t>入支出决算总体情况说明</w:t>
      </w:r>
      <w:bookmarkEnd w:id="22"/>
      <w:bookmarkEnd w:id="23"/>
    </w:p>
    <w:p>
      <w:pPr>
        <w:spacing w:line="600" w:lineRule="exact"/>
        <w:ind w:firstLine="640" w:firstLineChars="200"/>
        <w:jc w:val="left"/>
        <w:rPr>
          <w:rFonts w:hint="eastAsia" w:ascii="仿宋" w:hAnsi="仿宋" w:eastAsia="仿宋"/>
          <w:sz w:val="32"/>
          <w:szCs w:val="32"/>
        </w:rPr>
      </w:pPr>
      <w:r>
        <w:rPr>
          <w:rFonts w:hint="eastAsia" w:ascii="仿宋" w:hAnsi="仿宋" w:eastAsia="仿宋"/>
          <w:sz w:val="32"/>
          <w:szCs w:val="32"/>
        </w:rPr>
        <w:t>2023年度收、支总计均为</w:t>
      </w:r>
      <w:r>
        <w:rPr>
          <w:rFonts w:hint="eastAsia"/>
          <w:sz w:val="32"/>
          <w:szCs w:val="32"/>
        </w:rPr>
        <w:t>1856.79</w:t>
      </w:r>
      <w:r>
        <w:rPr>
          <w:rFonts w:hint="eastAsia" w:ascii="仿宋" w:hAnsi="仿宋" w:eastAsia="仿宋"/>
          <w:sz w:val="32"/>
          <w:szCs w:val="32"/>
        </w:rPr>
        <w:t>万元</w:t>
      </w:r>
      <w:r>
        <w:rPr>
          <w:rFonts w:hint="eastAsia"/>
          <w:sz w:val="32"/>
          <w:szCs w:val="32"/>
        </w:rPr>
        <w:t>。</w:t>
      </w:r>
      <w:r>
        <w:rPr>
          <w:rFonts w:hint="eastAsia" w:ascii="仿宋" w:hAnsi="仿宋" w:eastAsia="仿宋"/>
          <w:sz w:val="32"/>
          <w:szCs w:val="32"/>
        </w:rPr>
        <w:t>与2022年度相比，收、支总计各减少</w:t>
      </w:r>
      <w:r>
        <w:rPr>
          <w:rFonts w:hint="eastAsia" w:ascii="仿宋" w:hAnsi="仿宋" w:eastAsia="仿宋"/>
          <w:sz w:val="32"/>
          <w:szCs w:val="32"/>
          <w:lang w:val="en-US" w:eastAsia="zh-CN"/>
        </w:rPr>
        <w:t>504.85</w:t>
      </w:r>
      <w:r>
        <w:rPr>
          <w:rFonts w:hint="eastAsia" w:ascii="仿宋" w:hAnsi="仿宋" w:eastAsia="仿宋"/>
          <w:sz w:val="32"/>
          <w:szCs w:val="32"/>
        </w:rPr>
        <w:t>万元，下降</w:t>
      </w:r>
      <w:r>
        <w:rPr>
          <w:rFonts w:hint="eastAsia" w:ascii="仿宋" w:hAnsi="仿宋" w:eastAsia="仿宋"/>
          <w:sz w:val="32"/>
          <w:szCs w:val="32"/>
          <w:lang w:val="en-US" w:eastAsia="zh-CN"/>
        </w:rPr>
        <w:t>21.38</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val="en-US" w:eastAsia="zh-CN"/>
        </w:rPr>
        <w:t>2023年度项目支出减少</w:t>
      </w:r>
      <w:r>
        <w:rPr>
          <w:rFonts w:hint="eastAsia" w:ascii="仿宋" w:hAnsi="仿宋" w:eastAsia="仿宋"/>
          <w:sz w:val="32"/>
          <w:szCs w:val="32"/>
        </w:rPr>
        <w:t>。</w:t>
      </w:r>
    </w:p>
    <w:p>
      <w:pPr>
        <w:spacing w:line="600" w:lineRule="exact"/>
        <w:ind w:firstLine="640" w:firstLineChars="200"/>
        <w:jc w:val="left"/>
        <w:rPr>
          <w:rFonts w:hint="eastAsia" w:ascii="仿宋" w:hAnsi="仿宋" w:eastAsia="仿宋"/>
          <w:sz w:val="32"/>
          <w:szCs w:val="32"/>
        </w:rPr>
      </w:pPr>
    </w:p>
    <w:p>
      <w:pPr>
        <w:spacing w:line="600" w:lineRule="exact"/>
        <w:ind w:firstLine="640" w:firstLineChars="200"/>
        <w:jc w:val="left"/>
        <w:rPr>
          <w:rFonts w:hint="eastAsia" w:ascii="仿宋" w:hAnsi="仿宋" w:eastAsia="仿宋"/>
          <w:sz w:val="32"/>
          <w:szCs w:val="32"/>
        </w:rPr>
      </w:pPr>
    </w:p>
    <w:p>
      <w:pPr>
        <w:spacing w:line="600" w:lineRule="exact"/>
        <w:ind w:firstLine="640" w:firstLineChars="200"/>
        <w:jc w:val="left"/>
        <w:rPr>
          <w:rFonts w:hint="eastAsia" w:ascii="仿宋" w:hAnsi="仿宋" w:eastAsia="仿宋"/>
          <w:sz w:val="32"/>
          <w:szCs w:val="32"/>
        </w:rPr>
      </w:pPr>
    </w:p>
    <w:p>
      <w:pPr>
        <w:spacing w:line="600" w:lineRule="exact"/>
        <w:ind w:firstLine="640" w:firstLineChars="200"/>
        <w:jc w:val="left"/>
        <w:rPr>
          <w:rFonts w:hint="eastAsia" w:ascii="仿宋" w:hAnsi="仿宋" w:eastAsia="仿宋"/>
          <w:sz w:val="32"/>
          <w:szCs w:val="32"/>
        </w:rPr>
      </w:pPr>
    </w:p>
    <w:p>
      <w:pPr>
        <w:spacing w:line="600" w:lineRule="exact"/>
        <w:ind w:firstLine="640" w:firstLineChars="200"/>
        <w:jc w:val="left"/>
        <w:rPr>
          <w:rFonts w:hint="eastAsia" w:ascii="仿宋" w:hAnsi="仿宋" w:eastAsia="仿宋"/>
          <w:sz w:val="32"/>
          <w:szCs w:val="32"/>
        </w:rPr>
      </w:pPr>
    </w:p>
    <w:p>
      <w:pPr>
        <w:spacing w:line="600" w:lineRule="exact"/>
        <w:ind w:firstLine="640" w:firstLineChars="200"/>
        <w:jc w:val="left"/>
        <w:rPr>
          <w:rFonts w:hint="eastAsia" w:ascii="仿宋" w:hAnsi="仿宋" w:eastAsia="仿宋"/>
          <w:sz w:val="32"/>
          <w:szCs w:val="32"/>
        </w:rPr>
      </w:pPr>
    </w:p>
    <w:p>
      <w:pPr>
        <w:spacing w:line="600" w:lineRule="exact"/>
        <w:ind w:firstLine="640" w:firstLineChars="200"/>
        <w:jc w:val="left"/>
        <w:rPr>
          <w:rFonts w:hint="eastAsia" w:ascii="仿宋" w:hAnsi="仿宋" w:eastAsia="仿宋"/>
          <w:sz w:val="32"/>
          <w:szCs w:val="32"/>
        </w:rPr>
      </w:pPr>
    </w:p>
    <w:p>
      <w:pPr>
        <w:spacing w:line="600" w:lineRule="exact"/>
        <w:ind w:firstLine="640" w:firstLineChars="200"/>
        <w:jc w:val="left"/>
        <w:rPr>
          <w:rFonts w:hint="eastAsia" w:ascii="仿宋" w:hAnsi="仿宋" w:eastAsia="仿宋"/>
          <w:sz w:val="32"/>
          <w:szCs w:val="32"/>
        </w:rPr>
      </w:pPr>
    </w:p>
    <w:p>
      <w:pPr>
        <w:spacing w:line="600" w:lineRule="exact"/>
        <w:ind w:firstLine="640" w:firstLineChars="200"/>
        <w:jc w:val="left"/>
        <w:rPr>
          <w:rFonts w:hint="eastAsia" w:ascii="仿宋" w:hAnsi="仿宋" w:eastAsia="仿宋"/>
          <w:sz w:val="32"/>
          <w:szCs w:val="32"/>
          <w:lang w:eastAsia="zh-CN"/>
        </w:rPr>
      </w:pPr>
    </w:p>
    <w:p>
      <w:pPr>
        <w:spacing w:line="600" w:lineRule="exact"/>
        <w:ind w:firstLine="640" w:firstLineChars="200"/>
        <w:jc w:val="left"/>
        <w:rPr>
          <w:rFonts w:hint="eastAsia" w:ascii="仿宋" w:hAnsi="仿宋" w:eastAsia="仿宋"/>
          <w:sz w:val="32"/>
          <w:szCs w:val="32"/>
          <w:lang w:eastAsia="zh-CN"/>
        </w:rPr>
      </w:pPr>
    </w:p>
    <w:p>
      <w:pPr>
        <w:spacing w:line="600" w:lineRule="exact"/>
        <w:ind w:firstLine="420" w:firstLineChars="200"/>
        <w:jc w:val="left"/>
        <w:rPr>
          <w:rFonts w:hint="eastAsia" w:ascii="仿宋" w:hAnsi="仿宋" w:eastAsia="仿宋"/>
          <w:sz w:val="32"/>
          <w:szCs w:val="32"/>
          <w:lang w:eastAsia="zh-CN"/>
        </w:rPr>
      </w:pPr>
      <w:r>
        <w:drawing>
          <wp:anchor distT="0" distB="0" distL="114300" distR="114300" simplePos="0" relativeHeight="251659264" behindDoc="0" locked="0" layoutInCell="1" allowOverlap="1">
            <wp:simplePos x="0" y="0"/>
            <wp:positionH relativeFrom="column">
              <wp:posOffset>266700</wp:posOffset>
            </wp:positionH>
            <wp:positionV relativeFrom="paragraph">
              <wp:posOffset>-3619500</wp:posOffset>
            </wp:positionV>
            <wp:extent cx="5031105" cy="3919220"/>
            <wp:effectExtent l="0" t="0" r="10795" b="5080"/>
            <wp:wrapNone/>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6"/>
                    <a:stretch>
                      <a:fillRect/>
                    </a:stretch>
                  </pic:blipFill>
                  <pic:spPr>
                    <a:xfrm>
                      <a:off x="0" y="0"/>
                      <a:ext cx="5031105" cy="3919220"/>
                    </a:xfrm>
                    <a:prstGeom prst="rect">
                      <a:avLst/>
                    </a:prstGeom>
                    <a:noFill/>
                    <a:ln>
                      <a:noFill/>
                    </a:ln>
                  </pic:spPr>
                </pic:pic>
              </a:graphicData>
            </a:graphic>
          </wp:anchor>
        </w:drawing>
      </w:r>
    </w:p>
    <w:p>
      <w:pPr>
        <w:spacing w:line="600" w:lineRule="exact"/>
        <w:ind w:firstLine="640" w:firstLineChars="200"/>
        <w:rPr>
          <w:rFonts w:ascii="仿宋_GB2312" w:eastAsia="仿宋_GB2312"/>
          <w:sz w:val="32"/>
          <w:szCs w:val="32"/>
        </w:rPr>
      </w:pP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：收、支决算总计变动情况图）（柱状图）</w:t>
      </w:r>
    </w:p>
    <w:p>
      <w:pPr>
        <w:pStyle w:val="27"/>
        <w:numPr>
          <w:ilvl w:val="0"/>
          <w:numId w:val="2"/>
        </w:numPr>
        <w:spacing w:line="600" w:lineRule="exact"/>
        <w:ind w:firstLineChars="0"/>
        <w:outlineLvl w:val="1"/>
        <w:rPr>
          <w:rStyle w:val="29"/>
          <w:rFonts w:ascii="黑体" w:hAnsi="黑体" w:eastAsia="黑体"/>
          <w:b w:val="0"/>
        </w:rPr>
      </w:pPr>
      <w:bookmarkStart w:id="24" w:name="_Toc15377206"/>
      <w:bookmarkStart w:id="25" w:name="_Toc15396604"/>
      <w:r>
        <w:rPr>
          <w:rFonts w:hint="eastAsia" w:ascii="黑体" w:hAnsi="黑体" w:eastAsia="黑体"/>
          <w:sz w:val="32"/>
          <w:szCs w:val="32"/>
        </w:rPr>
        <w:t>收</w:t>
      </w:r>
      <w:r>
        <w:rPr>
          <w:rStyle w:val="29"/>
          <w:rFonts w:hint="eastAsia" w:ascii="黑体" w:hAnsi="黑体" w:eastAsia="黑体"/>
          <w:b w:val="0"/>
        </w:rPr>
        <w:t>入决算情况说明</w:t>
      </w:r>
      <w:bookmarkEnd w:id="24"/>
      <w:bookmarkEnd w:id="25"/>
    </w:p>
    <w:p>
      <w:pPr>
        <w:spacing w:line="600" w:lineRule="exact"/>
        <w:ind w:firstLine="640" w:firstLineChars="200"/>
        <w:jc w:val="left"/>
        <w:outlineLvl w:val="1"/>
        <w:rPr>
          <w:rFonts w:ascii="仿宋" w:hAnsi="仿宋" w:eastAsia="仿宋"/>
          <w:sz w:val="32"/>
          <w:szCs w:val="32"/>
        </w:rPr>
      </w:pPr>
      <w:r>
        <w:rPr>
          <w:rFonts w:hint="eastAsia" w:ascii="仿宋" w:hAnsi="仿宋" w:eastAsia="仿宋"/>
          <w:sz w:val="32"/>
          <w:szCs w:val="32"/>
        </w:rPr>
        <w:t>2023年度本年收入合计</w:t>
      </w:r>
      <w:r>
        <w:rPr>
          <w:sz w:val="32"/>
          <w:szCs w:val="32"/>
        </w:rPr>
        <w:t>1802.14</w:t>
      </w:r>
      <w:r>
        <w:rPr>
          <w:rFonts w:hint="eastAsia" w:ascii="仿宋" w:hAnsi="仿宋" w:eastAsia="仿宋"/>
          <w:sz w:val="32"/>
          <w:szCs w:val="32"/>
        </w:rPr>
        <w:t>万元，其中：一般公共预算财政拨款收入</w:t>
      </w:r>
      <w:r>
        <w:rPr>
          <w:sz w:val="32"/>
          <w:szCs w:val="32"/>
        </w:rPr>
        <w:t>1658.97</w:t>
      </w:r>
      <w:r>
        <w:rPr>
          <w:rFonts w:hint="eastAsia" w:ascii="仿宋" w:hAnsi="仿宋" w:eastAsia="仿宋"/>
          <w:sz w:val="32"/>
          <w:szCs w:val="32"/>
        </w:rPr>
        <w:t>万元，占</w:t>
      </w:r>
      <w:r>
        <w:rPr>
          <w:sz w:val="32"/>
          <w:szCs w:val="32"/>
        </w:rPr>
        <w:t>92.05</w:t>
      </w:r>
      <w:r>
        <w:rPr>
          <w:rFonts w:ascii="仿宋" w:hAnsi="仿宋" w:eastAsia="仿宋"/>
          <w:sz w:val="32"/>
          <w:szCs w:val="32"/>
        </w:rPr>
        <w:t>%</w:t>
      </w:r>
      <w:r>
        <w:rPr>
          <w:rFonts w:hint="eastAsia" w:ascii="仿宋" w:hAnsi="仿宋" w:eastAsia="仿宋"/>
          <w:sz w:val="32"/>
          <w:szCs w:val="32"/>
        </w:rPr>
        <w:t>；政府性基金预算财政拨款收入</w:t>
      </w:r>
      <w:r>
        <w:rPr>
          <w:sz w:val="32"/>
          <w:szCs w:val="32"/>
        </w:rPr>
        <w:t>90.42</w:t>
      </w:r>
      <w:r>
        <w:rPr>
          <w:rFonts w:hint="eastAsia" w:ascii="仿宋" w:hAnsi="仿宋" w:eastAsia="仿宋"/>
          <w:sz w:val="32"/>
          <w:szCs w:val="32"/>
        </w:rPr>
        <w:t>万元，占</w:t>
      </w:r>
      <w:r>
        <w:rPr>
          <w:sz w:val="32"/>
          <w:szCs w:val="32"/>
        </w:rPr>
        <w:t>5.01</w:t>
      </w:r>
      <w:r>
        <w:rPr>
          <w:rFonts w:ascii="仿宋" w:hAnsi="仿宋" w:eastAsia="仿宋"/>
          <w:sz w:val="32"/>
          <w:szCs w:val="32"/>
        </w:rPr>
        <w:t>%</w:t>
      </w:r>
      <w:r>
        <w:rPr>
          <w:rFonts w:hint="eastAsia" w:ascii="仿宋" w:hAnsi="仿宋" w:eastAsia="仿宋"/>
          <w:sz w:val="32"/>
          <w:szCs w:val="32"/>
        </w:rPr>
        <w:t>；国有资本经营预算财政拨款收入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；上级补助收入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；事业收入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；经营收入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；附属单位上缴收入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；其他收入</w:t>
      </w:r>
      <w:r>
        <w:rPr>
          <w:sz w:val="32"/>
          <w:szCs w:val="32"/>
        </w:rPr>
        <w:t>52.74</w:t>
      </w:r>
      <w:r>
        <w:rPr>
          <w:rFonts w:hint="eastAsia" w:ascii="仿宋" w:hAnsi="仿宋" w:eastAsia="仿宋"/>
          <w:sz w:val="32"/>
          <w:szCs w:val="32"/>
        </w:rPr>
        <w:t>万元，占</w:t>
      </w:r>
      <w:r>
        <w:rPr>
          <w:sz w:val="32"/>
          <w:szCs w:val="32"/>
        </w:rPr>
        <w:t>2.92</w:t>
      </w:r>
      <w:r>
        <w:rPr>
          <w:rFonts w:ascii="仿宋" w:hAnsi="仿宋" w:eastAsia="仿宋"/>
          <w:sz w:val="32"/>
          <w:szCs w:val="32"/>
        </w:rPr>
        <w:t>%</w:t>
      </w:r>
      <w:r>
        <w:rPr>
          <w:rFonts w:hint="eastAsia" w:ascii="仿宋" w:hAnsi="仿宋" w:eastAsia="仿宋"/>
          <w:sz w:val="32"/>
          <w:szCs w:val="32"/>
        </w:rPr>
        <w:t>。</w:t>
      </w:r>
    </w:p>
    <w:p>
      <w:pPr>
        <w:spacing w:line="600" w:lineRule="exact"/>
        <w:ind w:firstLine="643" w:firstLineChars="200"/>
        <w:outlineLvl w:val="1"/>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01表</w:t>
      </w:r>
      <w:r>
        <w:rPr>
          <w:rFonts w:hint="eastAsia" w:ascii="仿宋" w:hAnsi="仿宋" w:eastAsia="仿宋"/>
          <w:b/>
          <w:sz w:val="32"/>
          <w:szCs w:val="32"/>
        </w:rPr>
        <w:t>，仅罗列本部门涉及的收入。</w:t>
      </w:r>
      <w:r>
        <w:rPr>
          <w:rFonts w:ascii="仿宋" w:hAnsi="仿宋" w:eastAsia="仿宋"/>
          <w:b/>
          <w:sz w:val="32"/>
          <w:szCs w:val="32"/>
        </w:rPr>
        <w:t>）</w:t>
      </w:r>
    </w:p>
    <w:p>
      <w:pPr>
        <w:spacing w:line="600" w:lineRule="exact"/>
        <w:ind w:firstLine="643" w:firstLineChars="200"/>
        <w:outlineLvl w:val="1"/>
        <w:rPr>
          <w:rFonts w:ascii="仿宋" w:hAnsi="仿宋" w:eastAsia="仿宋"/>
          <w:b/>
          <w:sz w:val="32"/>
          <w:szCs w:val="32"/>
        </w:rPr>
      </w:pPr>
    </w:p>
    <w:p>
      <w:pPr>
        <w:spacing w:line="600" w:lineRule="exact"/>
        <w:ind w:firstLine="420" w:firstLineChars="200"/>
        <w:outlineLvl w:val="1"/>
      </w:pPr>
    </w:p>
    <w:p>
      <w:pPr>
        <w:spacing w:line="600" w:lineRule="exact"/>
        <w:ind w:firstLine="420" w:firstLineChars="200"/>
        <w:outlineLvl w:val="1"/>
      </w:pPr>
    </w:p>
    <w:p>
      <w:pPr>
        <w:spacing w:line="600" w:lineRule="exact"/>
        <w:ind w:firstLine="420" w:firstLineChars="200"/>
        <w:outlineLvl w:val="1"/>
      </w:pPr>
    </w:p>
    <w:p>
      <w:pPr>
        <w:spacing w:line="600" w:lineRule="exact"/>
        <w:outlineLvl w:val="1"/>
      </w:pPr>
    </w:p>
    <w:p>
      <w:pPr>
        <w:spacing w:line="600" w:lineRule="exact"/>
        <w:ind w:firstLine="420" w:firstLineChars="200"/>
        <w:outlineLvl w:val="1"/>
      </w:pPr>
    </w:p>
    <w:p>
      <w:pPr>
        <w:spacing w:line="600" w:lineRule="exact"/>
        <w:ind w:firstLine="420" w:firstLineChars="200"/>
        <w:outlineLvl w:val="1"/>
      </w:pPr>
    </w:p>
    <w:p>
      <w:pPr>
        <w:spacing w:line="600" w:lineRule="exact"/>
        <w:ind w:firstLine="420" w:firstLineChars="200"/>
        <w:outlineLvl w:val="1"/>
        <w:rPr>
          <w:rFonts w:ascii="仿宋" w:hAnsi="仿宋" w:eastAsia="仿宋"/>
          <w:sz w:val="32"/>
          <w:szCs w:val="32"/>
        </w:rPr>
      </w:pPr>
      <w:r>
        <w:drawing>
          <wp:anchor distT="0" distB="0" distL="114300" distR="114300" simplePos="0" relativeHeight="251660288" behindDoc="0" locked="0" layoutInCell="1" allowOverlap="1">
            <wp:simplePos x="0" y="0"/>
            <wp:positionH relativeFrom="column">
              <wp:posOffset>266700</wp:posOffset>
            </wp:positionH>
            <wp:positionV relativeFrom="paragraph">
              <wp:posOffset>-2692400</wp:posOffset>
            </wp:positionV>
            <wp:extent cx="5269865" cy="2986405"/>
            <wp:effectExtent l="0" t="0" r="635" b="10795"/>
            <wp:wrapNone/>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7"/>
                    <a:stretch>
                      <a:fillRect/>
                    </a:stretch>
                  </pic:blipFill>
                  <pic:spPr>
                    <a:xfrm>
                      <a:off x="0" y="0"/>
                      <a:ext cx="5269865" cy="2986405"/>
                    </a:xfrm>
                    <a:prstGeom prst="rect">
                      <a:avLst/>
                    </a:prstGeom>
                    <a:noFill/>
                    <a:ln>
                      <a:noFill/>
                    </a:ln>
                  </pic:spPr>
                </pic:pic>
              </a:graphicData>
            </a:graphic>
          </wp:anchor>
        </w:drawing>
      </w:r>
    </w:p>
    <w:p>
      <w:pPr>
        <w:spacing w:line="600" w:lineRule="exact"/>
        <w:ind w:firstLine="640" w:firstLineChars="200"/>
        <w:rPr>
          <w:rFonts w:ascii="仿宋" w:hAnsi="仿宋" w:eastAsia="仿宋"/>
          <w:sz w:val="32"/>
          <w:szCs w:val="32"/>
        </w:rPr>
      </w:pPr>
      <w:r>
        <w:rPr>
          <w:rFonts w:hint="eastAsia" w:ascii="仿宋" w:hAnsi="仿宋" w:eastAsia="仿宋"/>
          <w:sz w:val="32"/>
          <w:szCs w:val="32"/>
        </w:rPr>
        <w:t>（图2：收入决算结构图）（饼状图）</w:t>
      </w:r>
    </w:p>
    <w:p>
      <w:pPr>
        <w:pStyle w:val="27"/>
        <w:numPr>
          <w:ilvl w:val="0"/>
          <w:numId w:val="2"/>
        </w:numPr>
        <w:spacing w:line="600" w:lineRule="exact"/>
        <w:ind w:firstLineChars="0"/>
        <w:outlineLvl w:val="1"/>
        <w:rPr>
          <w:rStyle w:val="29"/>
          <w:rFonts w:ascii="黑体" w:hAnsi="黑体" w:eastAsia="黑体"/>
          <w:b w:val="0"/>
        </w:rPr>
      </w:pPr>
      <w:bookmarkStart w:id="26" w:name="_Toc15396605"/>
      <w:bookmarkStart w:id="27" w:name="_Toc15377207"/>
      <w:r>
        <w:rPr>
          <w:rFonts w:hint="eastAsia" w:ascii="黑体" w:hAnsi="黑体" w:eastAsia="黑体"/>
          <w:sz w:val="32"/>
          <w:szCs w:val="32"/>
        </w:rPr>
        <w:t>支</w:t>
      </w:r>
      <w:r>
        <w:rPr>
          <w:rStyle w:val="29"/>
          <w:rFonts w:hint="eastAsia" w:ascii="黑体" w:hAnsi="黑体" w:eastAsia="黑体"/>
          <w:b w:val="0"/>
        </w:rPr>
        <w:t>出决算情况说明</w:t>
      </w:r>
      <w:bookmarkEnd w:id="26"/>
      <w:bookmarkEnd w:id="27"/>
    </w:p>
    <w:p>
      <w:pPr>
        <w:spacing w:line="600" w:lineRule="exact"/>
        <w:ind w:firstLine="640" w:firstLineChars="200"/>
        <w:outlineLvl w:val="1"/>
        <w:rPr>
          <w:rFonts w:ascii="仿宋" w:hAnsi="仿宋" w:eastAsia="仿宋"/>
          <w:sz w:val="32"/>
          <w:szCs w:val="32"/>
        </w:rPr>
      </w:pPr>
      <w:r>
        <w:rPr>
          <w:rFonts w:hint="eastAsia" w:ascii="仿宋" w:hAnsi="仿宋" w:eastAsia="仿宋"/>
          <w:sz w:val="32"/>
          <w:szCs w:val="32"/>
        </w:rPr>
        <w:t>2023年度本年支出合计</w:t>
      </w:r>
      <w:r>
        <w:rPr>
          <w:sz w:val="32"/>
          <w:szCs w:val="32"/>
        </w:rPr>
        <w:t>1856.79</w:t>
      </w:r>
      <w:r>
        <w:rPr>
          <w:rFonts w:hint="eastAsia" w:ascii="仿宋" w:hAnsi="仿宋" w:eastAsia="仿宋"/>
          <w:sz w:val="32"/>
          <w:szCs w:val="32"/>
        </w:rPr>
        <w:t>万元，其中：基本支出</w:t>
      </w:r>
      <w:r>
        <w:rPr>
          <w:sz w:val="32"/>
          <w:szCs w:val="32"/>
        </w:rPr>
        <w:t>1174.06</w:t>
      </w:r>
      <w:r>
        <w:rPr>
          <w:rFonts w:hint="eastAsia" w:ascii="仿宋" w:hAnsi="仿宋" w:eastAsia="仿宋"/>
          <w:sz w:val="32"/>
          <w:szCs w:val="32"/>
        </w:rPr>
        <w:t>万元，占</w:t>
      </w:r>
      <w:r>
        <w:rPr>
          <w:sz w:val="32"/>
          <w:szCs w:val="32"/>
        </w:rPr>
        <w:t>63.23</w:t>
      </w:r>
      <w:r>
        <w:rPr>
          <w:rFonts w:ascii="仿宋" w:hAnsi="仿宋" w:eastAsia="仿宋"/>
          <w:sz w:val="32"/>
          <w:szCs w:val="32"/>
        </w:rPr>
        <w:t>%</w:t>
      </w:r>
      <w:r>
        <w:rPr>
          <w:rFonts w:hint="eastAsia" w:ascii="仿宋" w:hAnsi="仿宋" w:eastAsia="仿宋"/>
          <w:sz w:val="32"/>
          <w:szCs w:val="32"/>
        </w:rPr>
        <w:t>；项目支出</w:t>
      </w:r>
      <w:r>
        <w:rPr>
          <w:sz w:val="32"/>
          <w:szCs w:val="32"/>
        </w:rPr>
        <w:t>682.73</w:t>
      </w:r>
      <w:r>
        <w:rPr>
          <w:rFonts w:hint="eastAsia" w:ascii="仿宋" w:hAnsi="仿宋" w:eastAsia="仿宋"/>
          <w:sz w:val="32"/>
          <w:szCs w:val="32"/>
        </w:rPr>
        <w:t>万元，占</w:t>
      </w:r>
      <w:r>
        <w:rPr>
          <w:sz w:val="32"/>
          <w:szCs w:val="32"/>
        </w:rPr>
        <w:t>36.76</w:t>
      </w:r>
      <w:r>
        <w:rPr>
          <w:rFonts w:ascii="仿宋" w:hAnsi="仿宋" w:eastAsia="仿宋"/>
          <w:sz w:val="32"/>
          <w:szCs w:val="32"/>
        </w:rPr>
        <w:t>%</w:t>
      </w:r>
      <w:r>
        <w:rPr>
          <w:rFonts w:hint="eastAsia" w:ascii="仿宋" w:hAnsi="仿宋" w:eastAsia="仿宋"/>
          <w:sz w:val="32"/>
          <w:szCs w:val="32"/>
        </w:rPr>
        <w:t>；上缴上级支出</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；经营支出</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；对附属单位补助支出</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w:t>
      </w:r>
    </w:p>
    <w:p>
      <w:pPr>
        <w:spacing w:line="600" w:lineRule="exact"/>
        <w:ind w:firstLine="643" w:firstLineChars="200"/>
        <w:outlineLvl w:val="1"/>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04</w:t>
      </w:r>
      <w:r>
        <w:rPr>
          <w:rFonts w:hint="eastAsia" w:ascii="仿宋" w:hAnsi="仿宋" w:eastAsia="仿宋"/>
          <w:b/>
          <w:sz w:val="32"/>
          <w:szCs w:val="32"/>
        </w:rPr>
        <w:t>表，仅罗列本部门涉及的支出。）</w:t>
      </w:r>
    </w:p>
    <w:p>
      <w:pPr>
        <w:spacing w:line="600" w:lineRule="exact"/>
      </w:pPr>
    </w:p>
    <w:p>
      <w:pPr>
        <w:spacing w:line="600" w:lineRule="exact"/>
      </w:pPr>
    </w:p>
    <w:p>
      <w:pPr>
        <w:spacing w:line="600" w:lineRule="exact"/>
      </w:pPr>
    </w:p>
    <w:p>
      <w:pPr>
        <w:spacing w:line="600" w:lineRule="exact"/>
        <w:ind w:firstLine="640"/>
      </w:pPr>
    </w:p>
    <w:p>
      <w:pPr>
        <w:spacing w:line="600" w:lineRule="exact"/>
        <w:ind w:firstLine="640"/>
      </w:pPr>
    </w:p>
    <w:p>
      <w:pPr>
        <w:spacing w:line="600" w:lineRule="exact"/>
        <w:ind w:firstLine="640"/>
      </w:pPr>
    </w:p>
    <w:p>
      <w:pPr>
        <w:spacing w:line="600" w:lineRule="exact"/>
        <w:ind w:firstLine="640"/>
      </w:pPr>
    </w:p>
    <w:p>
      <w:pPr>
        <w:spacing w:line="600" w:lineRule="exact"/>
        <w:ind w:firstLine="640"/>
      </w:pPr>
    </w:p>
    <w:p>
      <w:pPr>
        <w:spacing w:line="600" w:lineRule="exact"/>
        <w:rPr>
          <w:rFonts w:ascii="仿宋" w:hAnsi="仿宋" w:eastAsia="仿宋"/>
          <w:sz w:val="32"/>
          <w:szCs w:val="32"/>
          <w:shd w:val="pct10" w:color="auto" w:fill="FFFFFF"/>
        </w:rPr>
      </w:pPr>
      <w:r>
        <w:drawing>
          <wp:anchor distT="0" distB="0" distL="114300" distR="114300" simplePos="0" relativeHeight="251661312" behindDoc="0" locked="0" layoutInCell="1" allowOverlap="1">
            <wp:simplePos x="0" y="0"/>
            <wp:positionH relativeFrom="column">
              <wp:posOffset>406400</wp:posOffset>
            </wp:positionH>
            <wp:positionV relativeFrom="paragraph">
              <wp:posOffset>-2705100</wp:posOffset>
            </wp:positionV>
            <wp:extent cx="4823460" cy="2746375"/>
            <wp:effectExtent l="0" t="0" r="2540" b="9525"/>
            <wp:wrapNone/>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8"/>
                    <a:stretch>
                      <a:fillRect/>
                    </a:stretch>
                  </pic:blipFill>
                  <pic:spPr>
                    <a:xfrm>
                      <a:off x="0" y="0"/>
                      <a:ext cx="4823460" cy="2746375"/>
                    </a:xfrm>
                    <a:prstGeom prst="rect">
                      <a:avLst/>
                    </a:prstGeom>
                    <a:noFill/>
                    <a:ln>
                      <a:noFill/>
                    </a:ln>
                  </pic:spPr>
                </pic:pic>
              </a:graphicData>
            </a:graphic>
          </wp:anchor>
        </w:drawing>
      </w:r>
    </w:p>
    <w:p>
      <w:pPr>
        <w:spacing w:line="600" w:lineRule="exact"/>
        <w:ind w:firstLine="640" w:firstLineChars="200"/>
        <w:rPr>
          <w:rFonts w:ascii="仿宋_GB2312" w:eastAsia="仿宋_GB2312"/>
          <w:sz w:val="32"/>
          <w:szCs w:val="32"/>
        </w:rPr>
      </w:pPr>
      <w:r>
        <w:rPr>
          <w:rFonts w:hint="eastAsia" w:ascii="仿宋" w:hAnsi="仿宋" w:eastAsia="仿宋"/>
          <w:sz w:val="32"/>
          <w:szCs w:val="32"/>
        </w:rPr>
        <w:t>（图3：支出决算结构图）（饼状图）</w:t>
      </w:r>
    </w:p>
    <w:p>
      <w:pPr>
        <w:spacing w:line="600" w:lineRule="exact"/>
        <w:ind w:firstLine="640" w:firstLineChars="200"/>
        <w:outlineLvl w:val="1"/>
        <w:rPr>
          <w:rStyle w:val="29"/>
          <w:rFonts w:ascii="黑体" w:hAnsi="黑体" w:eastAsia="黑体"/>
          <w:b w:val="0"/>
        </w:rPr>
      </w:pPr>
      <w:bookmarkStart w:id="28" w:name="_Toc15396606"/>
      <w:bookmarkStart w:id="29" w:name="_Toc15377208"/>
      <w:r>
        <w:rPr>
          <w:rFonts w:hint="eastAsia" w:ascii="黑体" w:hAnsi="黑体" w:eastAsia="黑体"/>
          <w:sz w:val="32"/>
          <w:szCs w:val="32"/>
        </w:rPr>
        <w:t>四、财</w:t>
      </w:r>
      <w:r>
        <w:rPr>
          <w:rStyle w:val="29"/>
          <w:rFonts w:hint="eastAsia" w:ascii="黑体" w:hAnsi="黑体" w:eastAsia="黑体"/>
          <w:b w:val="0"/>
        </w:rPr>
        <w:t>政拨款收入支出决算总体情况说明</w:t>
      </w:r>
      <w:bookmarkEnd w:id="28"/>
      <w:bookmarkEnd w:id="29"/>
    </w:p>
    <w:p>
      <w:pPr>
        <w:spacing w:line="600" w:lineRule="exact"/>
        <w:ind w:firstLine="640"/>
        <w:rPr>
          <w:rFonts w:hint="default" w:ascii="仿宋" w:hAnsi="仿宋" w:eastAsia="仿宋" w:cs="Times New Roman"/>
          <w:sz w:val="32"/>
          <w:szCs w:val="32"/>
          <w:lang w:val="en-US" w:eastAsia="zh-CN"/>
        </w:rPr>
      </w:pPr>
      <w:r>
        <w:rPr>
          <w:rFonts w:hint="eastAsia" w:ascii="仿宋" w:hAnsi="仿宋" w:eastAsia="仿宋"/>
          <w:sz w:val="32"/>
          <w:szCs w:val="32"/>
        </w:rPr>
        <w:t>2023年度财政拨款收、支总计均为</w:t>
      </w:r>
      <w:r>
        <w:rPr>
          <w:sz w:val="32"/>
          <w:szCs w:val="32"/>
        </w:rPr>
        <w:t>1804.05</w:t>
      </w:r>
      <w:r>
        <w:rPr>
          <w:rFonts w:hint="eastAsia" w:ascii="仿宋" w:hAnsi="仿宋" w:eastAsia="仿宋"/>
          <w:sz w:val="32"/>
          <w:szCs w:val="32"/>
        </w:rPr>
        <w:t>万元。与2022年度相比，财政拨款收、支总计各增加</w:t>
      </w:r>
      <w:r>
        <w:rPr>
          <w:rFonts w:hint="eastAsia" w:ascii="仿宋" w:hAnsi="仿宋" w:eastAsia="仿宋"/>
          <w:sz w:val="32"/>
          <w:szCs w:val="32"/>
          <w:lang w:val="en-US" w:eastAsia="zh-CN"/>
        </w:rPr>
        <w:t>389.81</w:t>
      </w:r>
      <w:r>
        <w:rPr>
          <w:rFonts w:hint="eastAsia" w:ascii="仿宋" w:hAnsi="仿宋" w:eastAsia="仿宋"/>
          <w:sz w:val="32"/>
          <w:szCs w:val="32"/>
        </w:rPr>
        <w:t>万元，增长</w:t>
      </w:r>
      <w:r>
        <w:rPr>
          <w:rFonts w:hint="eastAsia" w:ascii="仿宋" w:hAnsi="仿宋" w:eastAsia="仿宋"/>
          <w:sz w:val="32"/>
          <w:szCs w:val="32"/>
          <w:lang w:val="en-US" w:eastAsia="zh-CN"/>
        </w:rPr>
        <w:t>27.56</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val="en-US" w:eastAsia="zh-CN"/>
        </w:rPr>
        <w:t>2023年度项目增加，荣丁镇粮经复合现代农业园区人居环境整治提升项目</w:t>
      </w:r>
      <w:r>
        <w:rPr>
          <w:rFonts w:hint="eastAsia" w:ascii="仿宋" w:hAnsi="仿宋" w:eastAsia="仿宋" w:cs="Times New Roman"/>
          <w:sz w:val="32"/>
          <w:szCs w:val="32"/>
          <w:lang w:val="en-US" w:eastAsia="zh-CN"/>
        </w:rPr>
        <w:t>资金支付工程款281.4363万元。</w:t>
      </w:r>
    </w:p>
    <w:p>
      <w:pPr>
        <w:spacing w:line="600" w:lineRule="exact"/>
        <w:ind w:firstLine="640"/>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01-1</w:t>
      </w:r>
      <w:r>
        <w:rPr>
          <w:rFonts w:hint="eastAsia" w:ascii="仿宋" w:hAnsi="仿宋" w:eastAsia="仿宋"/>
          <w:b/>
          <w:sz w:val="32"/>
          <w:szCs w:val="32"/>
        </w:rPr>
        <w:t>表</w:t>
      </w:r>
      <w:r>
        <w:rPr>
          <w:rFonts w:ascii="仿宋" w:hAnsi="仿宋" w:eastAsia="仿宋"/>
          <w:b/>
          <w:sz w:val="32"/>
          <w:szCs w:val="32"/>
        </w:rPr>
        <w:t>）</w:t>
      </w:r>
    </w:p>
    <w:p>
      <w:pPr>
        <w:spacing w:line="600" w:lineRule="exact"/>
        <w:rPr>
          <w:rFonts w:ascii="仿宋" w:hAnsi="仿宋" w:eastAsia="仿宋"/>
          <w:sz w:val="32"/>
          <w:szCs w:val="32"/>
        </w:rPr>
      </w:pPr>
      <w:r>
        <w:drawing>
          <wp:anchor distT="0" distB="0" distL="114300" distR="114300" simplePos="0" relativeHeight="251662336" behindDoc="1" locked="0" layoutInCell="1" allowOverlap="1">
            <wp:simplePos x="0" y="0"/>
            <wp:positionH relativeFrom="column">
              <wp:posOffset>617855</wp:posOffset>
            </wp:positionH>
            <wp:positionV relativeFrom="paragraph">
              <wp:posOffset>38100</wp:posOffset>
            </wp:positionV>
            <wp:extent cx="4323715" cy="2704465"/>
            <wp:effectExtent l="0" t="0" r="6985" b="635"/>
            <wp:wrapNone/>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9"/>
                    <a:stretch>
                      <a:fillRect/>
                    </a:stretch>
                  </pic:blipFill>
                  <pic:spPr>
                    <a:xfrm>
                      <a:off x="0" y="0"/>
                      <a:ext cx="4323715" cy="2704465"/>
                    </a:xfrm>
                    <a:prstGeom prst="rect">
                      <a:avLst/>
                    </a:prstGeom>
                    <a:noFill/>
                    <a:ln>
                      <a:noFill/>
                    </a:ln>
                  </pic:spPr>
                </pic:pic>
              </a:graphicData>
            </a:graphic>
          </wp:anchor>
        </w:drawing>
      </w:r>
    </w:p>
    <w:p>
      <w:pPr>
        <w:spacing w:line="600" w:lineRule="exact"/>
        <w:ind w:firstLine="640" w:firstLineChars="200"/>
        <w:rPr>
          <w:rFonts w:hint="eastAsia" w:ascii="仿宋" w:hAnsi="仿宋" w:eastAsia="仿宋"/>
          <w:sz w:val="32"/>
          <w:szCs w:val="32"/>
        </w:rPr>
      </w:pPr>
    </w:p>
    <w:p>
      <w:pPr>
        <w:spacing w:line="600" w:lineRule="exact"/>
        <w:ind w:firstLine="640" w:firstLineChars="200"/>
        <w:rPr>
          <w:rFonts w:hint="eastAsia" w:ascii="仿宋" w:hAnsi="仿宋" w:eastAsia="仿宋"/>
          <w:sz w:val="32"/>
          <w:szCs w:val="32"/>
        </w:rPr>
      </w:pPr>
    </w:p>
    <w:p>
      <w:pPr>
        <w:spacing w:line="600" w:lineRule="exact"/>
        <w:ind w:firstLine="640" w:firstLineChars="200"/>
        <w:rPr>
          <w:rFonts w:hint="eastAsia" w:ascii="仿宋" w:hAnsi="仿宋" w:eastAsia="仿宋"/>
          <w:sz w:val="32"/>
          <w:szCs w:val="32"/>
        </w:rPr>
      </w:pPr>
    </w:p>
    <w:p>
      <w:pPr>
        <w:spacing w:line="600" w:lineRule="exact"/>
        <w:ind w:firstLine="640" w:firstLineChars="200"/>
        <w:rPr>
          <w:rFonts w:hint="eastAsia" w:ascii="仿宋" w:hAnsi="仿宋" w:eastAsia="仿宋"/>
          <w:sz w:val="32"/>
          <w:szCs w:val="32"/>
        </w:rPr>
      </w:pPr>
    </w:p>
    <w:p>
      <w:pPr>
        <w:spacing w:line="600" w:lineRule="exact"/>
        <w:ind w:firstLine="640" w:firstLineChars="200"/>
        <w:rPr>
          <w:rFonts w:hint="eastAsia" w:ascii="仿宋" w:hAnsi="仿宋" w:eastAsia="仿宋"/>
          <w:sz w:val="32"/>
          <w:szCs w:val="32"/>
        </w:rPr>
      </w:pPr>
    </w:p>
    <w:p>
      <w:pPr>
        <w:spacing w:line="600" w:lineRule="exact"/>
        <w:ind w:firstLine="640" w:firstLineChars="200"/>
        <w:rPr>
          <w:rFonts w:hint="eastAsia" w:ascii="仿宋" w:hAnsi="仿宋" w:eastAsia="仿宋"/>
          <w:sz w:val="32"/>
          <w:szCs w:val="32"/>
        </w:rPr>
      </w:pPr>
    </w:p>
    <w:p>
      <w:pPr>
        <w:spacing w:line="600" w:lineRule="exact"/>
        <w:ind w:firstLine="640" w:firstLineChars="200"/>
        <w:rPr>
          <w:rFonts w:ascii="仿宋" w:hAnsi="仿宋" w:eastAsia="仿宋"/>
          <w:sz w:val="32"/>
          <w:szCs w:val="32"/>
        </w:rPr>
      </w:pPr>
      <w:r>
        <w:rPr>
          <w:rFonts w:hint="eastAsia" w:ascii="仿宋" w:hAnsi="仿宋" w:eastAsia="仿宋"/>
          <w:sz w:val="32"/>
          <w:szCs w:val="32"/>
        </w:rPr>
        <w:t>（图4：财政拨款收、支决算总计变动情况）（柱状图）</w:t>
      </w:r>
    </w:p>
    <w:p>
      <w:pPr>
        <w:spacing w:line="600" w:lineRule="exact"/>
        <w:ind w:firstLine="640"/>
        <w:rPr>
          <w:rFonts w:ascii="仿宋" w:hAnsi="仿宋" w:eastAsia="仿宋"/>
          <w:b/>
          <w:sz w:val="32"/>
          <w:szCs w:val="32"/>
        </w:rPr>
      </w:pPr>
    </w:p>
    <w:p>
      <w:pPr>
        <w:spacing w:line="600" w:lineRule="exact"/>
        <w:ind w:firstLine="640" w:firstLineChars="200"/>
        <w:outlineLvl w:val="1"/>
        <w:rPr>
          <w:rStyle w:val="29"/>
          <w:rFonts w:ascii="黑体" w:hAnsi="黑体" w:eastAsia="黑体"/>
          <w:b w:val="0"/>
        </w:rPr>
      </w:pPr>
      <w:bookmarkStart w:id="30" w:name="_Toc15377209"/>
      <w:bookmarkStart w:id="31" w:name="_Toc15396607"/>
      <w:r>
        <w:rPr>
          <w:rFonts w:hint="eastAsia" w:ascii="黑体" w:hAnsi="黑体" w:eastAsia="黑体"/>
          <w:sz w:val="32"/>
          <w:szCs w:val="32"/>
        </w:rPr>
        <w:t>五、</w:t>
      </w:r>
      <w:r>
        <w:rPr>
          <w:rFonts w:hint="eastAsia" w:ascii="黑体" w:hAnsi="黑体" w:eastAsia="黑体"/>
          <w:b/>
          <w:sz w:val="32"/>
          <w:szCs w:val="32"/>
        </w:rPr>
        <w:t>一</w:t>
      </w:r>
      <w:r>
        <w:rPr>
          <w:rStyle w:val="29"/>
          <w:rFonts w:hint="eastAsia" w:ascii="黑体" w:hAnsi="黑体" w:eastAsia="黑体"/>
          <w:b w:val="0"/>
        </w:rPr>
        <w:t>般公共预算财政拨款支出决算情况说明</w:t>
      </w:r>
      <w:bookmarkEnd w:id="30"/>
      <w:bookmarkEnd w:id="31"/>
    </w:p>
    <w:p>
      <w:pPr>
        <w:spacing w:line="600" w:lineRule="exact"/>
        <w:ind w:firstLine="643" w:firstLineChars="200"/>
        <w:outlineLvl w:val="2"/>
        <w:rPr>
          <w:rFonts w:ascii="仿宋" w:hAnsi="仿宋" w:eastAsia="仿宋"/>
          <w:b/>
          <w:sz w:val="32"/>
          <w:szCs w:val="32"/>
        </w:rPr>
      </w:pPr>
      <w:bookmarkStart w:id="32" w:name="_Toc15377210"/>
      <w:r>
        <w:rPr>
          <w:rFonts w:hint="eastAsia" w:ascii="仿宋" w:hAnsi="仿宋" w:eastAsia="仿宋"/>
          <w:b/>
          <w:sz w:val="32"/>
          <w:szCs w:val="32"/>
        </w:rPr>
        <w:t>（一）一般公共预算财政拨款支出决算总体情况</w:t>
      </w:r>
      <w:bookmarkEnd w:id="32"/>
    </w:p>
    <w:p>
      <w:pPr>
        <w:spacing w:line="600" w:lineRule="exact"/>
        <w:ind w:firstLine="640"/>
        <w:rPr>
          <w:rFonts w:hint="eastAsia" w:ascii="仿宋" w:hAnsi="仿宋" w:eastAsia="仿宋" w:cs="Times New Roman"/>
          <w:sz w:val="32"/>
          <w:szCs w:val="32"/>
          <w:lang w:val="en-US" w:eastAsia="zh-CN"/>
        </w:rPr>
      </w:pPr>
      <w:r>
        <w:rPr>
          <w:rFonts w:hint="eastAsia" w:ascii="仿宋" w:hAnsi="仿宋" w:eastAsia="仿宋"/>
          <w:sz w:val="32"/>
          <w:szCs w:val="32"/>
        </w:rPr>
        <w:t>2023年度一般公共预算财政拨款支出</w:t>
      </w:r>
      <w:r>
        <w:rPr>
          <w:sz w:val="32"/>
          <w:szCs w:val="32"/>
        </w:rPr>
        <w:t>1713.63</w:t>
      </w:r>
      <w:r>
        <w:rPr>
          <w:rFonts w:hint="eastAsia" w:ascii="仿宋" w:hAnsi="仿宋" w:eastAsia="仿宋"/>
          <w:sz w:val="32"/>
          <w:szCs w:val="32"/>
        </w:rPr>
        <w:t>万元，占本年支出合计的</w:t>
      </w:r>
      <w:r>
        <w:rPr>
          <w:sz w:val="32"/>
          <w:szCs w:val="32"/>
        </w:rPr>
        <w:t>92.28</w:t>
      </w:r>
      <w:r>
        <w:rPr>
          <w:rFonts w:ascii="仿宋" w:hAnsi="仿宋" w:eastAsia="仿宋"/>
          <w:sz w:val="32"/>
          <w:szCs w:val="32"/>
        </w:rPr>
        <w:t>%</w:t>
      </w:r>
      <w:r>
        <w:rPr>
          <w:rFonts w:hint="eastAsia" w:ascii="仿宋" w:hAnsi="仿宋" w:eastAsia="仿宋"/>
          <w:sz w:val="32"/>
          <w:szCs w:val="32"/>
        </w:rPr>
        <w:t>。与2022年度相比，一般公共预算财政拨款支出增加</w:t>
      </w:r>
      <w:r>
        <w:rPr>
          <w:rFonts w:hint="eastAsia" w:ascii="仿宋" w:hAnsi="仿宋" w:eastAsia="仿宋"/>
          <w:sz w:val="32"/>
          <w:szCs w:val="32"/>
          <w:lang w:val="en-US" w:eastAsia="zh-CN"/>
        </w:rPr>
        <w:t>299.39</w:t>
      </w:r>
      <w:r>
        <w:rPr>
          <w:rFonts w:hint="eastAsia" w:ascii="仿宋" w:hAnsi="仿宋" w:eastAsia="仿宋"/>
          <w:sz w:val="32"/>
          <w:szCs w:val="32"/>
        </w:rPr>
        <w:t>万元，增长</w:t>
      </w:r>
      <w:r>
        <w:rPr>
          <w:rFonts w:hint="eastAsia" w:ascii="仿宋" w:hAnsi="仿宋" w:eastAsia="仿宋"/>
          <w:sz w:val="32"/>
          <w:szCs w:val="32"/>
          <w:lang w:val="en-US" w:eastAsia="zh-CN"/>
        </w:rPr>
        <w:t>21.17</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val="en-US" w:eastAsia="zh-CN"/>
        </w:rPr>
        <w:t>2023年度项目增加，荣丁镇粮经复合现代农业园区人居环境整治提升项目</w:t>
      </w:r>
      <w:r>
        <w:rPr>
          <w:rFonts w:hint="eastAsia" w:ascii="仿宋" w:hAnsi="仿宋" w:eastAsia="仿宋" w:cs="Times New Roman"/>
          <w:sz w:val="32"/>
          <w:szCs w:val="32"/>
          <w:lang w:val="en-US" w:eastAsia="zh-CN"/>
        </w:rPr>
        <w:t>资金支付工程款281.4363万元。</w:t>
      </w:r>
    </w:p>
    <w:p>
      <w:pPr>
        <w:spacing w:line="600" w:lineRule="exact"/>
        <w:ind w:firstLine="640"/>
        <w:rPr>
          <w:rFonts w:hint="eastAsia" w:ascii="仿宋" w:hAnsi="仿宋" w:eastAsia="仿宋" w:cs="Times New Roman"/>
          <w:sz w:val="32"/>
          <w:szCs w:val="32"/>
          <w:lang w:val="en-US" w:eastAsia="zh-CN"/>
        </w:rPr>
      </w:pPr>
    </w:p>
    <w:p>
      <w:pPr>
        <w:spacing w:line="600" w:lineRule="exact"/>
        <w:ind w:firstLine="640"/>
        <w:rPr>
          <w:rFonts w:hint="eastAsia" w:ascii="仿宋" w:hAnsi="仿宋" w:eastAsia="仿宋" w:cs="Times New Roman"/>
          <w:sz w:val="32"/>
          <w:szCs w:val="32"/>
          <w:lang w:val="en-US" w:eastAsia="zh-CN"/>
        </w:rPr>
      </w:pPr>
    </w:p>
    <w:p>
      <w:pPr>
        <w:spacing w:line="600" w:lineRule="exact"/>
        <w:ind w:firstLine="640"/>
        <w:rPr>
          <w:rFonts w:hint="eastAsia" w:ascii="仿宋" w:hAnsi="仿宋" w:eastAsia="仿宋" w:cs="Times New Roman"/>
          <w:sz w:val="32"/>
          <w:szCs w:val="32"/>
          <w:lang w:val="en-US" w:eastAsia="zh-CN"/>
        </w:rPr>
      </w:pPr>
    </w:p>
    <w:p>
      <w:pPr>
        <w:spacing w:line="600" w:lineRule="exact"/>
        <w:ind w:firstLine="640"/>
        <w:rPr>
          <w:rFonts w:hint="eastAsia" w:ascii="仿宋" w:hAnsi="仿宋" w:eastAsia="仿宋" w:cs="Times New Roman"/>
          <w:sz w:val="32"/>
          <w:szCs w:val="32"/>
          <w:lang w:val="en-US" w:eastAsia="zh-CN"/>
        </w:rPr>
      </w:pPr>
    </w:p>
    <w:p>
      <w:pPr>
        <w:spacing w:line="600" w:lineRule="exact"/>
        <w:ind w:firstLine="640"/>
        <w:rPr>
          <w:rFonts w:hint="eastAsia" w:ascii="仿宋" w:hAnsi="仿宋" w:eastAsia="仿宋" w:cs="Times New Roman"/>
          <w:sz w:val="32"/>
          <w:szCs w:val="32"/>
          <w:lang w:val="en-US" w:eastAsia="zh-CN"/>
        </w:rPr>
      </w:pPr>
    </w:p>
    <w:p>
      <w:pPr>
        <w:spacing w:line="600" w:lineRule="exact"/>
        <w:ind w:firstLine="640"/>
        <w:rPr>
          <w:rFonts w:hint="eastAsia" w:ascii="仿宋" w:hAnsi="仿宋" w:eastAsia="仿宋" w:cs="Times New Roman"/>
          <w:sz w:val="32"/>
          <w:szCs w:val="32"/>
          <w:lang w:val="en-US" w:eastAsia="zh-CN"/>
        </w:rPr>
      </w:pPr>
    </w:p>
    <w:p>
      <w:pPr>
        <w:spacing w:line="600" w:lineRule="exact"/>
        <w:ind w:firstLine="640"/>
        <w:rPr>
          <w:rFonts w:hint="eastAsia" w:ascii="仿宋" w:hAnsi="仿宋" w:eastAsia="仿宋" w:cs="Times New Roman"/>
          <w:sz w:val="32"/>
          <w:szCs w:val="32"/>
          <w:lang w:val="en-US" w:eastAsia="zh-CN"/>
        </w:rPr>
      </w:pPr>
    </w:p>
    <w:p>
      <w:pPr>
        <w:spacing w:line="600" w:lineRule="exact"/>
        <w:ind w:firstLine="640"/>
        <w:rPr>
          <w:rFonts w:hint="eastAsia" w:ascii="仿宋" w:hAnsi="仿宋" w:eastAsia="仿宋" w:cs="Times New Roman"/>
          <w:sz w:val="32"/>
          <w:szCs w:val="32"/>
          <w:lang w:val="en-US" w:eastAsia="zh-CN"/>
        </w:rPr>
      </w:pPr>
    </w:p>
    <w:p>
      <w:pPr>
        <w:spacing w:line="600" w:lineRule="exact"/>
        <w:ind w:firstLine="640"/>
        <w:rPr>
          <w:rFonts w:hint="eastAsia" w:ascii="仿宋" w:hAnsi="仿宋" w:eastAsia="仿宋" w:cs="Times New Roman"/>
          <w:sz w:val="32"/>
          <w:szCs w:val="32"/>
          <w:lang w:val="en-US" w:eastAsia="zh-CN"/>
        </w:rPr>
      </w:pPr>
    </w:p>
    <w:p>
      <w:pPr>
        <w:spacing w:line="600" w:lineRule="exact"/>
        <w:rPr>
          <w:rFonts w:hint="eastAsia" w:ascii="仿宋" w:hAnsi="仿宋" w:eastAsia="仿宋" w:cs="Times New Roman"/>
          <w:sz w:val="32"/>
          <w:szCs w:val="32"/>
          <w:lang w:val="en-US" w:eastAsia="zh-CN"/>
        </w:rPr>
      </w:pPr>
      <w:r>
        <w:drawing>
          <wp:anchor distT="0" distB="0" distL="114300" distR="114300" simplePos="0" relativeHeight="251662336" behindDoc="1" locked="0" layoutInCell="1" allowOverlap="1">
            <wp:simplePos x="0" y="0"/>
            <wp:positionH relativeFrom="column">
              <wp:posOffset>406400</wp:posOffset>
            </wp:positionH>
            <wp:positionV relativeFrom="paragraph">
              <wp:posOffset>-3390900</wp:posOffset>
            </wp:positionV>
            <wp:extent cx="4808855" cy="3685540"/>
            <wp:effectExtent l="0" t="0" r="4445" b="10160"/>
            <wp:wrapNone/>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10"/>
                    <a:stretch>
                      <a:fillRect/>
                    </a:stretch>
                  </pic:blipFill>
                  <pic:spPr>
                    <a:xfrm>
                      <a:off x="0" y="0"/>
                      <a:ext cx="4808855" cy="3685540"/>
                    </a:xfrm>
                    <a:prstGeom prst="rect">
                      <a:avLst/>
                    </a:prstGeom>
                    <a:noFill/>
                    <a:ln>
                      <a:noFill/>
                    </a:ln>
                  </pic:spPr>
                </pic:pic>
              </a:graphicData>
            </a:graphic>
          </wp:anchor>
        </w:drawing>
      </w:r>
    </w:p>
    <w:p>
      <w:pPr>
        <w:spacing w:line="600" w:lineRule="exact"/>
        <w:ind w:firstLine="640" w:firstLineChars="200"/>
        <w:rPr>
          <w:rFonts w:ascii="仿宋" w:hAnsi="仿宋" w:eastAsia="仿宋"/>
          <w:sz w:val="32"/>
          <w:szCs w:val="32"/>
        </w:rPr>
      </w:pPr>
      <w:r>
        <w:rPr>
          <w:rFonts w:hint="eastAsia" w:ascii="仿宋" w:hAnsi="仿宋" w:eastAsia="仿宋"/>
          <w:sz w:val="32"/>
          <w:szCs w:val="32"/>
        </w:rPr>
        <w:t>（图5：一般公共预算财政拨款支出决算变动情况）（柱状图）</w:t>
      </w:r>
    </w:p>
    <w:p>
      <w:pPr>
        <w:spacing w:line="600" w:lineRule="exact"/>
        <w:ind w:firstLine="643" w:firstLineChars="200"/>
        <w:outlineLvl w:val="2"/>
        <w:rPr>
          <w:rFonts w:ascii="仿宋" w:hAnsi="仿宋" w:eastAsia="仿宋"/>
          <w:b/>
          <w:sz w:val="32"/>
          <w:szCs w:val="32"/>
        </w:rPr>
      </w:pPr>
      <w:bookmarkStart w:id="33" w:name="_Toc15377211"/>
      <w:r>
        <w:rPr>
          <w:rFonts w:hint="eastAsia" w:ascii="仿宋" w:hAnsi="仿宋" w:eastAsia="仿宋"/>
          <w:b/>
          <w:sz w:val="32"/>
          <w:szCs w:val="32"/>
        </w:rPr>
        <w:t>（二）一般公共预算财政拨款支出决算结构情况</w:t>
      </w:r>
      <w:bookmarkEnd w:id="33"/>
    </w:p>
    <w:p>
      <w:pPr>
        <w:spacing w:line="600" w:lineRule="exact"/>
        <w:ind w:firstLine="640"/>
        <w:rPr>
          <w:rFonts w:ascii="仿宋" w:hAnsi="仿宋" w:eastAsia="仿宋"/>
          <w:sz w:val="32"/>
          <w:szCs w:val="32"/>
        </w:rPr>
      </w:pPr>
      <w:r>
        <w:rPr>
          <w:rFonts w:hint="eastAsia" w:ascii="仿宋" w:hAnsi="仿宋" w:eastAsia="仿宋"/>
          <w:sz w:val="32"/>
          <w:szCs w:val="32"/>
        </w:rPr>
        <w:t>2023年度一般公共预算财政拨款支出</w:t>
      </w:r>
      <w:r>
        <w:rPr>
          <w:sz w:val="32"/>
          <w:szCs w:val="32"/>
        </w:rPr>
        <w:t>1713.63</w:t>
      </w:r>
      <w:r>
        <w:rPr>
          <w:rFonts w:hint="eastAsia" w:ascii="仿宋" w:hAnsi="仿宋" w:eastAsia="仿宋"/>
          <w:sz w:val="32"/>
          <w:szCs w:val="32"/>
        </w:rPr>
        <w:t>万元，主要用于以下方面</w:t>
      </w:r>
      <w:r>
        <w:rPr>
          <w:rFonts w:ascii="仿宋" w:hAnsi="仿宋" w:eastAsia="仿宋"/>
          <w:sz w:val="32"/>
          <w:szCs w:val="32"/>
        </w:rPr>
        <w:t>:</w:t>
      </w:r>
      <w:r>
        <w:rPr>
          <w:rFonts w:hint="eastAsia" w:ascii="仿宋" w:hAnsi="仿宋" w:eastAsia="仿宋"/>
          <w:b/>
          <w:sz w:val="32"/>
          <w:szCs w:val="32"/>
        </w:rPr>
        <w:t>一般公共服务</w:t>
      </w:r>
      <w:r>
        <w:rPr>
          <w:rFonts w:hint="eastAsia" w:ascii="仿宋" w:hAnsi="仿宋" w:eastAsia="仿宋"/>
          <w:b/>
          <w:bCs/>
          <w:sz w:val="32"/>
          <w:szCs w:val="32"/>
        </w:rPr>
        <w:t>支出</w:t>
      </w:r>
      <w:r>
        <w:rPr>
          <w:rFonts w:hint="eastAsia" w:ascii="仿宋" w:hAnsi="仿宋" w:eastAsia="仿宋"/>
          <w:sz w:val="32"/>
          <w:szCs w:val="32"/>
          <w:lang w:val="en-US" w:eastAsia="zh-CN"/>
        </w:rPr>
        <w:t>776.04</w:t>
      </w:r>
      <w:r>
        <w:rPr>
          <w:rFonts w:hint="eastAsia" w:ascii="仿宋" w:hAnsi="仿宋" w:eastAsia="仿宋"/>
          <w:sz w:val="32"/>
          <w:szCs w:val="32"/>
        </w:rPr>
        <w:t>万元，占</w:t>
      </w:r>
      <w:r>
        <w:rPr>
          <w:rFonts w:hint="eastAsia" w:ascii="仿宋" w:hAnsi="仿宋" w:eastAsia="仿宋"/>
          <w:sz w:val="32"/>
          <w:szCs w:val="32"/>
          <w:lang w:val="en-US" w:eastAsia="zh-CN"/>
        </w:rPr>
        <w:t>45.29</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文化旅游体育与传媒支出</w:t>
      </w:r>
      <w:r>
        <w:rPr>
          <w:rFonts w:hint="eastAsia" w:ascii="仿宋" w:hAnsi="仿宋" w:eastAsia="仿宋"/>
          <w:b/>
          <w:bCs/>
          <w:sz w:val="32"/>
          <w:szCs w:val="32"/>
          <w:lang w:val="en-US" w:eastAsia="zh-CN"/>
        </w:rPr>
        <w:t>5</w:t>
      </w:r>
      <w:r>
        <w:rPr>
          <w:rFonts w:hint="eastAsia" w:ascii="仿宋" w:hAnsi="仿宋" w:eastAsia="仿宋"/>
          <w:b/>
          <w:bCs/>
          <w:sz w:val="32"/>
          <w:szCs w:val="32"/>
        </w:rPr>
        <w:t>万元，占</w:t>
      </w:r>
      <w:r>
        <w:rPr>
          <w:rFonts w:hint="eastAsia" w:ascii="仿宋" w:hAnsi="仿宋" w:eastAsia="仿宋"/>
          <w:sz w:val="32"/>
          <w:szCs w:val="32"/>
          <w:lang w:val="en-US" w:eastAsia="zh-CN"/>
        </w:rPr>
        <w:t>0.29</w:t>
      </w:r>
      <w:r>
        <w:rPr>
          <w:rFonts w:ascii="仿宋" w:hAnsi="仿宋" w:eastAsia="仿宋"/>
          <w:b/>
          <w:bCs/>
          <w:sz w:val="32"/>
          <w:szCs w:val="32"/>
        </w:rPr>
        <w:t>%</w:t>
      </w:r>
      <w:r>
        <w:rPr>
          <w:rFonts w:hint="eastAsia" w:ascii="仿宋" w:hAnsi="仿宋" w:eastAsia="仿宋"/>
          <w:sz w:val="32"/>
          <w:szCs w:val="32"/>
        </w:rPr>
        <w:t>；</w:t>
      </w:r>
      <w:r>
        <w:rPr>
          <w:rFonts w:hint="eastAsia" w:ascii="仿宋" w:hAnsi="仿宋" w:eastAsia="仿宋"/>
          <w:b/>
          <w:sz w:val="32"/>
          <w:szCs w:val="32"/>
        </w:rPr>
        <w:t>社会保障和就业</w:t>
      </w:r>
      <w:r>
        <w:rPr>
          <w:rFonts w:hint="eastAsia" w:ascii="仿宋" w:hAnsi="仿宋" w:eastAsia="仿宋"/>
          <w:b/>
          <w:bCs/>
          <w:sz w:val="32"/>
          <w:szCs w:val="32"/>
        </w:rPr>
        <w:t>支出</w:t>
      </w:r>
      <w:r>
        <w:rPr>
          <w:rFonts w:hint="eastAsia" w:ascii="仿宋" w:hAnsi="仿宋" w:eastAsia="仿宋"/>
          <w:sz w:val="32"/>
          <w:szCs w:val="32"/>
          <w:lang w:val="en-US" w:eastAsia="zh-CN"/>
        </w:rPr>
        <w:t>124.19</w:t>
      </w:r>
      <w:r>
        <w:rPr>
          <w:rFonts w:hint="eastAsia" w:ascii="仿宋" w:hAnsi="仿宋" w:eastAsia="仿宋"/>
          <w:sz w:val="32"/>
          <w:szCs w:val="32"/>
        </w:rPr>
        <w:t>万元，占</w:t>
      </w:r>
      <w:r>
        <w:rPr>
          <w:rFonts w:hint="eastAsia" w:ascii="仿宋" w:hAnsi="仿宋" w:eastAsia="仿宋"/>
          <w:sz w:val="32"/>
          <w:szCs w:val="32"/>
          <w:lang w:val="en-US" w:eastAsia="zh-CN"/>
        </w:rPr>
        <w:t>7.24</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卫生健康支出</w:t>
      </w:r>
      <w:r>
        <w:rPr>
          <w:rFonts w:hint="eastAsia" w:ascii="仿宋" w:hAnsi="仿宋" w:eastAsia="仿宋"/>
          <w:sz w:val="32"/>
          <w:szCs w:val="32"/>
          <w:lang w:val="en-US" w:eastAsia="zh-CN"/>
        </w:rPr>
        <w:t>22.76</w:t>
      </w:r>
      <w:r>
        <w:rPr>
          <w:rFonts w:hint="eastAsia" w:ascii="仿宋" w:hAnsi="仿宋" w:eastAsia="仿宋"/>
          <w:sz w:val="32"/>
          <w:szCs w:val="32"/>
        </w:rPr>
        <w:t>万元，占</w:t>
      </w:r>
      <w:r>
        <w:rPr>
          <w:rFonts w:hint="eastAsia" w:ascii="仿宋" w:hAnsi="仿宋" w:eastAsia="仿宋"/>
          <w:sz w:val="32"/>
          <w:szCs w:val="32"/>
          <w:lang w:val="en-US" w:eastAsia="zh-CN"/>
        </w:rPr>
        <w:t>1.33</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sz w:val="32"/>
          <w:szCs w:val="32"/>
          <w:lang w:val="en-US" w:eastAsia="zh-CN"/>
        </w:rPr>
        <w:t>农林水支出708.29万元，占41.34%；交通运输支出2.47万元，占0.14%；</w:t>
      </w:r>
      <w:r>
        <w:rPr>
          <w:rFonts w:hint="eastAsia" w:ascii="仿宋" w:hAnsi="仿宋" w:eastAsia="仿宋"/>
          <w:b/>
          <w:bCs/>
          <w:sz w:val="32"/>
          <w:szCs w:val="32"/>
        </w:rPr>
        <w:t>住房保障支出</w:t>
      </w:r>
      <w:r>
        <w:rPr>
          <w:rFonts w:hint="eastAsia" w:ascii="仿宋" w:hAnsi="仿宋" w:eastAsia="仿宋"/>
          <w:sz w:val="32"/>
          <w:szCs w:val="32"/>
          <w:lang w:val="en-US" w:eastAsia="zh-CN"/>
        </w:rPr>
        <w:t>69.97</w:t>
      </w:r>
      <w:r>
        <w:rPr>
          <w:rFonts w:hint="eastAsia" w:ascii="仿宋" w:hAnsi="仿宋" w:eastAsia="仿宋"/>
          <w:sz w:val="32"/>
          <w:szCs w:val="32"/>
        </w:rPr>
        <w:t>万元，占</w:t>
      </w:r>
      <w:r>
        <w:rPr>
          <w:rFonts w:hint="eastAsia" w:ascii="仿宋" w:hAnsi="仿宋" w:eastAsia="仿宋"/>
          <w:sz w:val="32"/>
          <w:szCs w:val="32"/>
          <w:lang w:val="en-US" w:eastAsia="zh-CN"/>
        </w:rPr>
        <w:t>4.08</w:t>
      </w:r>
      <w:r>
        <w:rPr>
          <w:rFonts w:ascii="仿宋" w:hAnsi="仿宋" w:eastAsia="仿宋"/>
          <w:sz w:val="32"/>
          <w:szCs w:val="32"/>
        </w:rPr>
        <w:t>%</w:t>
      </w:r>
      <w:r>
        <w:rPr>
          <w:rFonts w:hint="eastAsia" w:ascii="仿宋" w:hAnsi="仿宋" w:eastAsia="仿宋"/>
          <w:sz w:val="32"/>
          <w:szCs w:val="32"/>
        </w:rPr>
        <w:t>；灾害防治及应急管理支出</w:t>
      </w:r>
      <w:r>
        <w:rPr>
          <w:rFonts w:hint="eastAsia" w:ascii="仿宋" w:hAnsi="仿宋" w:eastAsia="仿宋"/>
          <w:sz w:val="32"/>
          <w:szCs w:val="32"/>
          <w:lang w:val="en-US" w:eastAsia="zh-CN"/>
        </w:rPr>
        <w:t>4.9万元，占0.29%</w:t>
      </w:r>
      <w:r>
        <w:rPr>
          <w:rFonts w:hint="eastAsia" w:ascii="仿宋" w:hAnsi="仿宋" w:eastAsia="仿宋"/>
          <w:sz w:val="32"/>
          <w:szCs w:val="32"/>
        </w:rPr>
        <w:t>。</w:t>
      </w:r>
    </w:p>
    <w:p>
      <w:pPr>
        <w:spacing w:line="600" w:lineRule="exact"/>
        <w:ind w:firstLine="640"/>
        <w:rPr>
          <w:rFonts w:ascii="仿宋" w:hAnsi="仿宋" w:eastAsia="仿宋"/>
          <w:sz w:val="32"/>
          <w:szCs w:val="32"/>
        </w:rPr>
      </w:pPr>
      <w:r>
        <w:rPr>
          <w:rFonts w:hint="eastAsia" w:ascii="仿宋" w:hAnsi="仿宋" w:eastAsia="仿宋"/>
          <w:b/>
          <w:sz w:val="32"/>
          <w:szCs w:val="32"/>
        </w:rPr>
        <w:t>（注：数据来源于财决01-1表，仅罗列本部门涉及的全部功能分类科目，至类级。）</w:t>
      </w:r>
    </w:p>
    <w:p>
      <w:pPr>
        <w:spacing w:line="600" w:lineRule="exact"/>
        <w:ind w:firstLine="640"/>
        <w:rPr>
          <w:rFonts w:ascii="仿宋" w:hAnsi="仿宋" w:eastAsia="仿宋"/>
          <w:sz w:val="32"/>
          <w:szCs w:val="32"/>
        </w:rPr>
      </w:pPr>
    </w:p>
    <w:p>
      <w:pPr>
        <w:spacing w:line="600" w:lineRule="exact"/>
        <w:ind w:firstLine="640"/>
        <w:rPr>
          <w:rFonts w:ascii="仿宋" w:hAnsi="仿宋" w:eastAsia="仿宋"/>
          <w:sz w:val="32"/>
          <w:szCs w:val="32"/>
        </w:rPr>
      </w:pPr>
    </w:p>
    <w:p>
      <w:pPr>
        <w:spacing w:line="600" w:lineRule="exact"/>
        <w:ind w:firstLine="640"/>
        <w:rPr>
          <w:rFonts w:ascii="仿宋" w:hAnsi="仿宋" w:eastAsia="仿宋"/>
          <w:sz w:val="32"/>
          <w:szCs w:val="32"/>
        </w:rPr>
      </w:pPr>
    </w:p>
    <w:p>
      <w:pPr>
        <w:spacing w:line="600" w:lineRule="exact"/>
        <w:ind w:firstLine="640"/>
        <w:rPr>
          <w:rFonts w:ascii="仿宋" w:hAnsi="仿宋" w:eastAsia="仿宋"/>
          <w:sz w:val="32"/>
          <w:szCs w:val="32"/>
        </w:rPr>
      </w:pPr>
    </w:p>
    <w:p>
      <w:pPr>
        <w:spacing w:line="600" w:lineRule="exact"/>
        <w:ind w:firstLine="640"/>
        <w:rPr>
          <w:rFonts w:ascii="仿宋" w:hAnsi="仿宋" w:eastAsia="仿宋"/>
          <w:sz w:val="32"/>
          <w:szCs w:val="32"/>
        </w:rPr>
      </w:pPr>
    </w:p>
    <w:p>
      <w:pPr>
        <w:spacing w:line="600" w:lineRule="exact"/>
        <w:ind w:firstLine="640"/>
        <w:rPr>
          <w:rFonts w:ascii="仿宋" w:hAnsi="仿宋" w:eastAsia="仿宋"/>
          <w:sz w:val="32"/>
          <w:szCs w:val="32"/>
        </w:rPr>
      </w:pPr>
    </w:p>
    <w:p>
      <w:pPr>
        <w:spacing w:line="600" w:lineRule="exact"/>
        <w:ind w:firstLine="640"/>
        <w:rPr>
          <w:rFonts w:ascii="仿宋" w:hAnsi="仿宋" w:eastAsia="仿宋"/>
          <w:sz w:val="32"/>
          <w:szCs w:val="32"/>
        </w:rPr>
      </w:pPr>
    </w:p>
    <w:p>
      <w:pPr>
        <w:spacing w:line="600" w:lineRule="exact"/>
        <w:ind w:firstLine="640"/>
        <w:rPr>
          <w:rFonts w:ascii="仿宋" w:hAnsi="仿宋" w:eastAsia="仿宋"/>
          <w:sz w:val="32"/>
          <w:szCs w:val="32"/>
        </w:rPr>
      </w:pPr>
      <w:r>
        <w:drawing>
          <wp:anchor distT="0" distB="0" distL="114300" distR="114300" simplePos="0" relativeHeight="251662336" behindDoc="1" locked="0" layoutInCell="1" allowOverlap="1">
            <wp:simplePos x="0" y="0"/>
            <wp:positionH relativeFrom="column">
              <wp:posOffset>406400</wp:posOffset>
            </wp:positionH>
            <wp:positionV relativeFrom="paragraph">
              <wp:posOffset>-2679700</wp:posOffset>
            </wp:positionV>
            <wp:extent cx="5269230" cy="2980690"/>
            <wp:effectExtent l="0" t="0" r="1270" b="3810"/>
            <wp:wrapNone/>
            <wp:docPr id="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pic:cNvPicPr>
                      <a:picLocks noChangeAspect="1"/>
                    </pic:cNvPicPr>
                  </pic:nvPicPr>
                  <pic:blipFill>
                    <a:blip r:embed="rId11"/>
                    <a:stretch>
                      <a:fillRect/>
                    </a:stretch>
                  </pic:blipFill>
                  <pic:spPr>
                    <a:xfrm>
                      <a:off x="0" y="0"/>
                      <a:ext cx="5269230" cy="2980690"/>
                    </a:xfrm>
                    <a:prstGeom prst="rect">
                      <a:avLst/>
                    </a:prstGeom>
                    <a:noFill/>
                    <a:ln>
                      <a:noFill/>
                    </a:ln>
                  </pic:spPr>
                </pic:pic>
              </a:graphicData>
            </a:graphic>
          </wp:anchor>
        </w:drawing>
      </w:r>
    </w:p>
    <w:p>
      <w:pPr>
        <w:spacing w:line="600" w:lineRule="exact"/>
        <w:ind w:firstLine="640" w:firstLineChars="200"/>
        <w:rPr>
          <w:rFonts w:ascii="仿宋" w:hAnsi="仿宋" w:eastAsia="仿宋"/>
          <w:sz w:val="32"/>
          <w:szCs w:val="32"/>
        </w:rPr>
      </w:pPr>
      <w:r>
        <w:rPr>
          <w:rFonts w:hint="eastAsia" w:ascii="仿宋" w:hAnsi="仿宋" w:eastAsia="仿宋"/>
          <w:sz w:val="32"/>
          <w:szCs w:val="32"/>
        </w:rPr>
        <w:t>（图6：一般公共预算财政拨款支出决算结构）（饼状图）</w:t>
      </w:r>
    </w:p>
    <w:p>
      <w:pPr>
        <w:spacing w:line="600" w:lineRule="exact"/>
        <w:ind w:firstLine="643" w:firstLineChars="200"/>
        <w:outlineLvl w:val="2"/>
        <w:rPr>
          <w:rFonts w:ascii="仿宋" w:hAnsi="仿宋" w:eastAsia="仿宋"/>
          <w:b/>
          <w:sz w:val="32"/>
          <w:szCs w:val="32"/>
        </w:rPr>
      </w:pPr>
      <w:bookmarkStart w:id="34" w:name="_Toc15377212"/>
      <w:r>
        <w:rPr>
          <w:rFonts w:hint="eastAsia" w:ascii="仿宋" w:hAnsi="仿宋" w:eastAsia="仿宋"/>
          <w:b/>
          <w:sz w:val="32"/>
          <w:szCs w:val="32"/>
        </w:rPr>
        <w:t>（三）一般公共预算财政拨款支出决算具体情况</w:t>
      </w:r>
      <w:bookmarkEnd w:id="34"/>
    </w:p>
    <w:p>
      <w:pPr>
        <w:spacing w:line="600" w:lineRule="exact"/>
        <w:ind w:firstLine="643" w:firstLineChars="200"/>
        <w:outlineLvl w:val="2"/>
        <w:rPr>
          <w:rFonts w:ascii="仿宋" w:hAnsi="仿宋" w:eastAsia="仿宋"/>
          <w:sz w:val="32"/>
          <w:szCs w:val="32"/>
        </w:rPr>
      </w:pPr>
      <w:bookmarkStart w:id="35" w:name="_Toc15378460"/>
      <w:bookmarkStart w:id="36" w:name="_Toc15377444"/>
      <w:bookmarkStart w:id="37" w:name="_Toc15377213"/>
      <w:r>
        <w:rPr>
          <w:rFonts w:hint="eastAsia" w:ascii="仿宋" w:hAnsi="仿宋" w:eastAsia="仿宋"/>
          <w:b/>
          <w:sz w:val="32"/>
          <w:szCs w:val="32"/>
        </w:rPr>
        <w:t>2023年度一般公共预算支出决算数为</w:t>
      </w:r>
      <w:r>
        <w:rPr>
          <w:sz w:val="32"/>
          <w:szCs w:val="32"/>
        </w:rPr>
        <w:t>1713.63</w:t>
      </w:r>
      <w:r>
        <w:rPr>
          <w:rFonts w:hint="eastAsia"/>
          <w:sz w:val="32"/>
          <w:szCs w:val="32"/>
          <w:lang w:val="en-US" w:eastAsia="zh-CN"/>
        </w:rPr>
        <w:t>万元</w:t>
      </w:r>
      <w:r>
        <w:rPr>
          <w:rFonts w:hint="eastAsia" w:ascii="仿宋" w:hAnsi="仿宋" w:eastAsia="仿宋"/>
          <w:sz w:val="32"/>
          <w:szCs w:val="32"/>
        </w:rPr>
        <w:t>，</w:t>
      </w:r>
      <w:r>
        <w:rPr>
          <w:rStyle w:val="17"/>
          <w:rFonts w:hint="eastAsia" w:ascii="仿宋" w:hAnsi="仿宋" w:eastAsia="仿宋"/>
          <w:bCs/>
          <w:sz w:val="32"/>
          <w:szCs w:val="32"/>
        </w:rPr>
        <w:t>完成预算</w:t>
      </w:r>
      <w:r>
        <w:rPr>
          <w:rStyle w:val="17"/>
          <w:rFonts w:hint="eastAsia" w:ascii="仿宋" w:hAnsi="仿宋" w:eastAsia="仿宋"/>
          <w:bCs/>
          <w:sz w:val="32"/>
          <w:szCs w:val="32"/>
          <w:lang w:val="en-US" w:eastAsia="zh-CN"/>
        </w:rPr>
        <w:t>100</w:t>
      </w:r>
      <w:r>
        <w:rPr>
          <w:rStyle w:val="17"/>
          <w:rFonts w:ascii="仿宋" w:hAnsi="仿宋" w:eastAsia="仿宋"/>
          <w:bCs/>
          <w:sz w:val="32"/>
          <w:szCs w:val="32"/>
        </w:rPr>
        <w:t>%</w:t>
      </w:r>
      <w:r>
        <w:rPr>
          <w:rStyle w:val="17"/>
          <w:rFonts w:hint="eastAsia" w:ascii="仿宋" w:hAnsi="仿宋" w:eastAsia="仿宋"/>
          <w:bCs/>
          <w:sz w:val="32"/>
          <w:szCs w:val="32"/>
        </w:rPr>
        <w:t>。其中：</w:t>
      </w:r>
      <w:bookmarkEnd w:id="35"/>
      <w:bookmarkEnd w:id="36"/>
      <w:bookmarkEnd w:id="37"/>
    </w:p>
    <w:p>
      <w:pPr>
        <w:numPr>
          <w:ilvl w:val="0"/>
          <w:numId w:val="3"/>
        </w:num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rPr>
        <w:t>一般公共服务（类）人大事务（款）代表工作（项）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支出决算为0.46万元，完成预算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numPr>
          <w:ilvl w:val="0"/>
          <w:numId w:val="0"/>
        </w:num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rPr>
        <w:t>一般公共服务（类）政府办公厅（室）及相关机构事务（款）行政运行（项）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488.43</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numPr>
          <w:ilvl w:val="0"/>
          <w:numId w:val="0"/>
        </w:num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rPr>
        <w:t>一般公共服务（类）政府办公厅（室）及相关机构事务（款）一般行政管理事务（项）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42.53</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numPr>
          <w:ilvl w:val="0"/>
          <w:numId w:val="0"/>
        </w:num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rPr>
        <w:t>一般公共服务（类）政府办公厅（室）及相关机构事务（款）一般行政管理事务（项）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197.53</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numPr>
          <w:ilvl w:val="0"/>
          <w:numId w:val="0"/>
        </w:num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rPr>
        <w:t>一般公共服务（类）民族事务（款）民族工作专项（项）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5</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numPr>
          <w:ilvl w:val="0"/>
          <w:numId w:val="0"/>
        </w:num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rPr>
        <w:t>一般公共服务（类）民族事务（款）其他民族事务支出（项）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6.5</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numPr>
          <w:ilvl w:val="0"/>
          <w:numId w:val="0"/>
        </w:num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rPr>
        <w:t>一般公共服务（类）群众团体事务（款）一般行政管理事务（项）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0.29</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Style w:val="17"/>
          <w:rFonts w:ascii="仿宋" w:hAnsi="仿宋" w:eastAsia="仿宋"/>
          <w:bCs/>
          <w:sz w:val="32"/>
          <w:szCs w:val="32"/>
        </w:rPr>
      </w:pPr>
      <w:r>
        <w:rPr>
          <w:rStyle w:val="17"/>
          <w:rFonts w:hint="eastAsia" w:ascii="仿宋" w:hAnsi="仿宋" w:eastAsia="仿宋"/>
          <w:bCs/>
          <w:sz w:val="32"/>
          <w:szCs w:val="32"/>
          <w:lang w:val="en-US" w:eastAsia="zh-CN"/>
        </w:rPr>
        <w:t>2</w:t>
      </w:r>
      <w:r>
        <w:rPr>
          <w:rStyle w:val="17"/>
          <w:rFonts w:ascii="仿宋" w:hAnsi="仿宋" w:eastAsia="仿宋"/>
          <w:bCs/>
          <w:sz w:val="32"/>
          <w:szCs w:val="32"/>
        </w:rPr>
        <w:t>.</w:t>
      </w:r>
      <w:r>
        <w:rPr>
          <w:rStyle w:val="17"/>
          <w:rFonts w:hint="eastAsia" w:ascii="仿宋" w:hAnsi="仿宋" w:eastAsia="仿宋"/>
          <w:bCs/>
          <w:sz w:val="32"/>
          <w:szCs w:val="32"/>
        </w:rPr>
        <w:t>文化旅游体育与传媒（类）文化和旅游（款）其他文化和旅游支出（项）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5</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lang w:val="en-US" w:eastAsia="zh-CN"/>
        </w:rPr>
        <w:t>3</w:t>
      </w:r>
      <w:r>
        <w:rPr>
          <w:rStyle w:val="17"/>
          <w:rFonts w:ascii="仿宋" w:hAnsi="仿宋" w:eastAsia="仿宋"/>
          <w:bCs/>
          <w:sz w:val="32"/>
          <w:szCs w:val="32"/>
        </w:rPr>
        <w:t>.</w:t>
      </w:r>
      <w:r>
        <w:rPr>
          <w:rStyle w:val="17"/>
          <w:rFonts w:hint="eastAsia" w:ascii="仿宋" w:hAnsi="仿宋" w:eastAsia="仿宋"/>
          <w:bCs/>
          <w:sz w:val="32"/>
          <w:szCs w:val="32"/>
        </w:rPr>
        <w:t>社会保障和就业（类）人力资源和社会保障管理事务（款）其他人力资源和社会保障管理事务支出（项）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10</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rPr>
        <w:t>社会保障和就业（类）行政事业单位养老支出（款）机关事业单位基本养老保险缴费支出（项）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89.67</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rPr>
        <w:t>社会保障和就业（类）行政事业单位养老支出（款）机关事业单位职业年金缴费支出（项）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17.29</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rPr>
        <w:t>社会保障和就业（类）其他社会保障和就业支出（款）其他社会保障和就业支出（项）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7.22</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Fonts w:ascii="仿宋" w:hAnsi="仿宋" w:eastAsia="仿宋"/>
          <w:b/>
          <w:sz w:val="32"/>
          <w:szCs w:val="32"/>
        </w:rPr>
      </w:pPr>
      <w:r>
        <w:rPr>
          <w:rStyle w:val="17"/>
          <w:rFonts w:hint="eastAsia" w:ascii="仿宋" w:hAnsi="仿宋" w:eastAsia="仿宋"/>
          <w:bCs/>
          <w:sz w:val="32"/>
          <w:szCs w:val="32"/>
          <w:lang w:val="en-US" w:eastAsia="zh-CN"/>
        </w:rPr>
        <w:t>4</w:t>
      </w:r>
      <w:r>
        <w:rPr>
          <w:rStyle w:val="17"/>
          <w:rFonts w:ascii="仿宋" w:hAnsi="仿宋" w:eastAsia="仿宋"/>
          <w:bCs/>
          <w:sz w:val="32"/>
          <w:szCs w:val="32"/>
        </w:rPr>
        <w:t>.</w:t>
      </w:r>
      <w:r>
        <w:rPr>
          <w:rFonts w:hint="eastAsia" w:ascii="仿宋" w:hAnsi="仿宋" w:eastAsia="仿宋"/>
          <w:b/>
          <w:bCs/>
          <w:sz w:val="32"/>
          <w:szCs w:val="32"/>
        </w:rPr>
        <w:t>卫生健康</w:t>
      </w:r>
      <w:r>
        <w:rPr>
          <w:rStyle w:val="17"/>
          <w:rFonts w:hint="eastAsia" w:ascii="仿宋" w:hAnsi="仿宋" w:eastAsia="仿宋"/>
          <w:bCs/>
          <w:sz w:val="32"/>
          <w:szCs w:val="32"/>
        </w:rPr>
        <w:t>（类）行政事业单位医疗（款）行政单位医疗（项）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13.91</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rPr>
        <w:t>生健康</w:t>
      </w:r>
      <w:r>
        <w:rPr>
          <w:rStyle w:val="17"/>
          <w:rFonts w:hint="eastAsia" w:ascii="仿宋" w:hAnsi="仿宋" w:eastAsia="仿宋"/>
          <w:bCs/>
          <w:sz w:val="32"/>
          <w:szCs w:val="32"/>
        </w:rPr>
        <w:t>（类）行政事业单位医疗（款）</w:t>
      </w:r>
      <w:r>
        <w:rPr>
          <w:rStyle w:val="17"/>
          <w:rFonts w:hint="eastAsia" w:ascii="仿宋" w:hAnsi="仿宋" w:eastAsia="仿宋"/>
          <w:bCs/>
          <w:sz w:val="32"/>
          <w:szCs w:val="32"/>
          <w:lang w:val="en-US" w:eastAsia="zh-CN"/>
        </w:rPr>
        <w:t>事业</w:t>
      </w:r>
      <w:r>
        <w:rPr>
          <w:rStyle w:val="17"/>
          <w:rFonts w:hint="eastAsia" w:ascii="仿宋" w:hAnsi="仿宋" w:eastAsia="仿宋"/>
          <w:bCs/>
          <w:sz w:val="32"/>
          <w:szCs w:val="32"/>
        </w:rPr>
        <w:t>单位医疗（项）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8.85</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Fonts w:ascii="仿宋" w:hAnsi="仿宋" w:eastAsia="仿宋"/>
          <w:b/>
          <w:sz w:val="32"/>
          <w:szCs w:val="32"/>
        </w:rPr>
      </w:pPr>
      <w:r>
        <w:rPr>
          <w:rStyle w:val="17"/>
          <w:rFonts w:hint="eastAsia" w:ascii="仿宋" w:hAnsi="仿宋" w:eastAsia="仿宋"/>
          <w:bCs/>
          <w:sz w:val="32"/>
          <w:szCs w:val="32"/>
          <w:lang w:val="en-US" w:eastAsia="zh-CN"/>
        </w:rPr>
        <w:t>5</w:t>
      </w:r>
      <w:r>
        <w:rPr>
          <w:rStyle w:val="17"/>
          <w:rFonts w:ascii="仿宋" w:hAnsi="仿宋" w:eastAsia="仿宋"/>
          <w:bCs/>
          <w:sz w:val="32"/>
          <w:szCs w:val="32"/>
        </w:rPr>
        <w:t>.</w:t>
      </w:r>
      <w:r>
        <w:rPr>
          <w:rFonts w:hint="eastAsia" w:ascii="仿宋" w:hAnsi="仿宋" w:eastAsia="仿宋"/>
          <w:b/>
          <w:bCs/>
          <w:sz w:val="32"/>
          <w:szCs w:val="32"/>
          <w:lang w:val="en-US" w:eastAsia="zh-CN"/>
        </w:rPr>
        <w:t>农林水支出</w:t>
      </w:r>
      <w:r>
        <w:rPr>
          <w:rStyle w:val="17"/>
          <w:rFonts w:hint="eastAsia" w:ascii="仿宋" w:hAnsi="仿宋" w:eastAsia="仿宋"/>
          <w:bCs/>
          <w:sz w:val="32"/>
          <w:szCs w:val="32"/>
        </w:rPr>
        <w:t>（类）农业农村（款）行政运行（项）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18.52</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农林水支出</w:t>
      </w:r>
      <w:r>
        <w:rPr>
          <w:rStyle w:val="17"/>
          <w:rFonts w:hint="eastAsia" w:ascii="仿宋" w:hAnsi="仿宋" w:eastAsia="仿宋"/>
          <w:bCs/>
          <w:sz w:val="32"/>
          <w:szCs w:val="32"/>
        </w:rPr>
        <w:t>（类）农业农村（款）农业资源保护修复与利用（项）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0.5</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农林水支出</w:t>
      </w:r>
      <w:r>
        <w:rPr>
          <w:rStyle w:val="17"/>
          <w:rFonts w:hint="eastAsia" w:ascii="仿宋" w:hAnsi="仿宋" w:eastAsia="仿宋"/>
          <w:bCs/>
          <w:sz w:val="32"/>
          <w:szCs w:val="32"/>
        </w:rPr>
        <w:t>（类）农业农村（款）农田建设（项）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0.9</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农林水支出</w:t>
      </w:r>
      <w:r>
        <w:rPr>
          <w:rStyle w:val="17"/>
          <w:rFonts w:hint="eastAsia" w:ascii="仿宋" w:hAnsi="仿宋" w:eastAsia="仿宋"/>
          <w:bCs/>
          <w:sz w:val="32"/>
          <w:szCs w:val="32"/>
        </w:rPr>
        <w:t>（类）巩固脱贫攻坚成果衔接乡村振兴（款）其他巩固脱贫攻坚成果衔接乡村振兴支出（项）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342.35</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农林水支出</w:t>
      </w:r>
      <w:r>
        <w:rPr>
          <w:rStyle w:val="17"/>
          <w:rFonts w:hint="eastAsia" w:ascii="仿宋" w:hAnsi="仿宋" w:eastAsia="仿宋"/>
          <w:bCs/>
          <w:sz w:val="32"/>
          <w:szCs w:val="32"/>
        </w:rPr>
        <w:t>（类）农村综合改革（款）对村民委员会和村党支部的补助（项）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339.66</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农林水支出</w:t>
      </w:r>
      <w:r>
        <w:rPr>
          <w:rStyle w:val="17"/>
          <w:rFonts w:hint="eastAsia" w:ascii="仿宋" w:hAnsi="仿宋" w:eastAsia="仿宋"/>
          <w:bCs/>
          <w:sz w:val="32"/>
          <w:szCs w:val="32"/>
        </w:rPr>
        <w:t>（类）农村综合改革（款）对村集体经济组织的补助（项）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4.5</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农林水支出</w:t>
      </w:r>
      <w:r>
        <w:rPr>
          <w:rStyle w:val="17"/>
          <w:rFonts w:hint="eastAsia" w:ascii="仿宋" w:hAnsi="仿宋" w:eastAsia="仿宋"/>
          <w:bCs/>
          <w:sz w:val="32"/>
          <w:szCs w:val="32"/>
        </w:rPr>
        <w:t>（类）农村综合改革（款）其他农村综合改革支出（项）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1.87</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numPr>
          <w:ilvl w:val="0"/>
          <w:numId w:val="0"/>
        </w:num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6.交通运输支出</w:t>
      </w:r>
      <w:r>
        <w:rPr>
          <w:rStyle w:val="17"/>
          <w:rFonts w:hint="eastAsia" w:ascii="仿宋" w:hAnsi="仿宋" w:eastAsia="仿宋"/>
          <w:bCs/>
          <w:sz w:val="32"/>
          <w:szCs w:val="32"/>
        </w:rPr>
        <w:t>（类）公路水路运输（款）其他公路水路运输支出（项）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2.47</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numPr>
          <w:ilvl w:val="0"/>
          <w:numId w:val="0"/>
        </w:num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7.住房保障支出</w:t>
      </w:r>
      <w:r>
        <w:rPr>
          <w:rStyle w:val="17"/>
          <w:rFonts w:hint="eastAsia" w:ascii="仿宋" w:hAnsi="仿宋" w:eastAsia="仿宋"/>
          <w:bCs/>
          <w:sz w:val="32"/>
          <w:szCs w:val="32"/>
        </w:rPr>
        <w:t>（类）住房改革支出（款）住房公积金（项）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69.97</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numPr>
          <w:ilvl w:val="0"/>
          <w:numId w:val="0"/>
        </w:num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8.灾害防治及应急管理支出</w:t>
      </w:r>
      <w:r>
        <w:rPr>
          <w:rStyle w:val="17"/>
          <w:rFonts w:hint="eastAsia" w:ascii="仿宋" w:hAnsi="仿宋" w:eastAsia="仿宋"/>
          <w:bCs/>
          <w:sz w:val="32"/>
          <w:szCs w:val="32"/>
        </w:rPr>
        <w:t>（类）应急管理事务（款）灾害风险防治（项）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4.9</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numPr>
          <w:ilvl w:val="0"/>
          <w:numId w:val="0"/>
        </w:num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w:t>
      </w:r>
      <w:r>
        <w:rPr>
          <w:rFonts w:hint="eastAsia" w:ascii="仿宋" w:hAnsi="仿宋" w:eastAsia="仿宋"/>
          <w:b/>
          <w:sz w:val="32"/>
          <w:szCs w:val="32"/>
        </w:rPr>
        <w:t>1-1表和财决08表，仅罗列本部门涉及的全部功能分类科目，至项级。上述“预算”口径为全年预算数。增减变动原因为决算数</w:t>
      </w:r>
      <w:r>
        <w:rPr>
          <w:rFonts w:ascii="仿宋" w:hAnsi="仿宋" w:eastAsia="仿宋"/>
          <w:b/>
          <w:sz w:val="32"/>
          <w:szCs w:val="32"/>
        </w:rPr>
        <w:t>&lt;</w:t>
      </w:r>
      <w:r>
        <w:rPr>
          <w:rFonts w:hint="eastAsia" w:ascii="仿宋" w:hAnsi="仿宋" w:eastAsia="仿宋"/>
          <w:b/>
          <w:sz w:val="32"/>
          <w:szCs w:val="32"/>
        </w:rPr>
        <w:t>项级</w:t>
      </w:r>
      <w:r>
        <w:rPr>
          <w:rFonts w:ascii="仿宋" w:hAnsi="仿宋" w:eastAsia="仿宋"/>
          <w:b/>
          <w:sz w:val="32"/>
          <w:szCs w:val="32"/>
        </w:rPr>
        <w:t>&gt;</w:t>
      </w:r>
      <w:r>
        <w:rPr>
          <w:rFonts w:hint="eastAsia" w:ascii="仿宋" w:hAnsi="仿宋" w:eastAsia="仿宋"/>
          <w:b/>
          <w:sz w:val="32"/>
          <w:szCs w:val="32"/>
        </w:rPr>
        <w:t>和全年预算数</w:t>
      </w:r>
      <w:r>
        <w:rPr>
          <w:rFonts w:ascii="仿宋" w:hAnsi="仿宋" w:eastAsia="仿宋"/>
          <w:b/>
          <w:sz w:val="32"/>
          <w:szCs w:val="32"/>
        </w:rPr>
        <w:t>&lt;</w:t>
      </w:r>
      <w:r>
        <w:rPr>
          <w:rFonts w:hint="eastAsia" w:ascii="仿宋" w:hAnsi="仿宋" w:eastAsia="仿宋"/>
          <w:b/>
          <w:sz w:val="32"/>
          <w:szCs w:val="32"/>
        </w:rPr>
        <w:t>项级</w:t>
      </w:r>
      <w:r>
        <w:rPr>
          <w:rFonts w:ascii="仿宋" w:hAnsi="仿宋" w:eastAsia="仿宋"/>
          <w:b/>
          <w:sz w:val="32"/>
          <w:szCs w:val="32"/>
        </w:rPr>
        <w:t>&gt;</w:t>
      </w:r>
      <w:r>
        <w:rPr>
          <w:rFonts w:hint="eastAsia" w:ascii="仿宋" w:hAnsi="仿宋" w:eastAsia="仿宋"/>
          <w:b/>
          <w:sz w:val="32"/>
          <w:szCs w:val="32"/>
        </w:rPr>
        <w:t>比较，与预算数持平可以不写原因。）</w:t>
      </w:r>
    </w:p>
    <w:p>
      <w:pPr>
        <w:tabs>
          <w:tab w:val="right" w:pos="8306"/>
        </w:tabs>
        <w:spacing w:line="600" w:lineRule="exact"/>
        <w:ind w:firstLine="640"/>
        <w:outlineLvl w:val="1"/>
        <w:rPr>
          <w:rStyle w:val="29"/>
        </w:rPr>
      </w:pPr>
      <w:bookmarkStart w:id="38" w:name="_Toc15396608"/>
      <w:bookmarkStart w:id="39" w:name="_Toc15377214"/>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29"/>
          <w:rFonts w:hint="eastAsia" w:ascii="黑体" w:hAnsi="黑体" w:eastAsia="黑体"/>
          <w:b w:val="0"/>
        </w:rPr>
        <w:t>般公共预算财政拨款基本支出决算情况说明</w:t>
      </w:r>
      <w:bookmarkEnd w:id="38"/>
      <w:bookmarkEnd w:id="39"/>
      <w:r>
        <w:rPr>
          <w:rStyle w:val="29"/>
          <w:rFonts w:ascii="黑体" w:hAnsi="黑体" w:eastAsia="黑体"/>
          <w:b w:val="0"/>
        </w:rPr>
        <w:tab/>
      </w:r>
    </w:p>
    <w:p>
      <w:pPr>
        <w:spacing w:line="600" w:lineRule="exact"/>
        <w:ind w:firstLine="645"/>
        <w:rPr>
          <w:rFonts w:ascii="仿宋" w:hAnsi="仿宋" w:eastAsia="仿宋"/>
          <w:sz w:val="32"/>
          <w:szCs w:val="32"/>
        </w:rPr>
      </w:pPr>
      <w:r>
        <w:rPr>
          <w:rFonts w:hint="eastAsia" w:ascii="仿宋" w:hAnsi="仿宋" w:eastAsia="仿宋"/>
          <w:sz w:val="32"/>
          <w:szCs w:val="32"/>
        </w:rPr>
        <w:t>2023年度一般公共预算财政拨款基本支出</w:t>
      </w:r>
      <w:r>
        <w:rPr>
          <w:sz w:val="32"/>
          <w:szCs w:val="32"/>
        </w:rPr>
        <w:t>1174.06</w:t>
      </w:r>
      <w:r>
        <w:rPr>
          <w:rFonts w:hint="eastAsia" w:ascii="仿宋" w:hAnsi="仿宋" w:eastAsia="仿宋"/>
          <w:sz w:val="32"/>
          <w:szCs w:val="32"/>
        </w:rPr>
        <w:t>万元，其中：</w:t>
      </w:r>
    </w:p>
    <w:p>
      <w:pPr>
        <w:spacing w:line="600" w:lineRule="exact"/>
        <w:ind w:firstLine="645"/>
        <w:rPr>
          <w:rFonts w:hint="eastAsia" w:ascii="仿宋" w:hAnsi="仿宋" w:eastAsia="仿宋"/>
          <w:sz w:val="32"/>
          <w:szCs w:val="32"/>
          <w:lang w:eastAsia="zh-CN"/>
        </w:rPr>
      </w:pPr>
      <w:r>
        <w:rPr>
          <w:rFonts w:hint="eastAsia" w:ascii="仿宋" w:hAnsi="仿宋" w:eastAsia="仿宋"/>
          <w:sz w:val="32"/>
          <w:szCs w:val="32"/>
        </w:rPr>
        <w:t>人员经费</w:t>
      </w:r>
      <w:r>
        <w:rPr>
          <w:sz w:val="32"/>
          <w:szCs w:val="32"/>
        </w:rPr>
        <w:t>1034.74</w:t>
      </w:r>
      <w:r>
        <w:rPr>
          <w:rFonts w:hint="eastAsia" w:ascii="仿宋" w:hAnsi="仿宋" w:eastAsia="仿宋"/>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pPr>
        <w:spacing w:line="600" w:lineRule="exact"/>
        <w:ind w:firstLine="645"/>
        <w:rPr>
          <w:rFonts w:ascii="仿宋" w:hAnsi="仿宋" w:eastAsia="仿宋"/>
          <w:sz w:val="32"/>
          <w:szCs w:val="32"/>
        </w:rPr>
      </w:pPr>
      <w:r>
        <w:rPr>
          <w:rFonts w:hint="eastAsia" w:ascii="仿宋" w:hAnsi="仿宋" w:eastAsia="仿宋"/>
          <w:sz w:val="32"/>
          <w:szCs w:val="32"/>
        </w:rPr>
        <w:t>　　公用经费</w:t>
      </w:r>
      <w:r>
        <w:rPr>
          <w:sz w:val="32"/>
          <w:szCs w:val="32"/>
        </w:rPr>
        <w:t>139.32</w:t>
      </w:r>
      <w:r>
        <w:rPr>
          <w:rFonts w:hint="eastAsia" w:ascii="仿宋" w:hAnsi="仿宋" w:eastAsia="仿宋"/>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5"/>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w:t>
      </w:r>
      <w:r>
        <w:rPr>
          <w:rFonts w:hint="eastAsia" w:ascii="仿宋" w:hAnsi="仿宋" w:eastAsia="仿宋"/>
          <w:b/>
          <w:sz w:val="32"/>
          <w:szCs w:val="32"/>
        </w:rPr>
        <w:t>7表和财决08-1表，仅罗列本部门实际支出涉及的经济分类科目。）</w:t>
      </w:r>
    </w:p>
    <w:p>
      <w:pPr>
        <w:spacing w:line="600" w:lineRule="exact"/>
        <w:ind w:firstLine="640"/>
        <w:outlineLvl w:val="1"/>
        <w:rPr>
          <w:rStyle w:val="29"/>
          <w:rFonts w:ascii="黑体" w:hAnsi="黑体" w:eastAsia="黑体"/>
          <w:b w:val="0"/>
        </w:rPr>
      </w:pPr>
      <w:bookmarkStart w:id="40" w:name="_Toc15377215"/>
      <w:bookmarkStart w:id="41" w:name="_Toc15396609"/>
      <w:r>
        <w:rPr>
          <w:rFonts w:hint="eastAsia" w:ascii="黑体" w:eastAsia="黑体"/>
          <w:sz w:val="32"/>
          <w:szCs w:val="32"/>
        </w:rPr>
        <w:t>七、</w:t>
      </w:r>
      <w:r>
        <w:rPr>
          <w:rStyle w:val="29"/>
          <w:rFonts w:hint="eastAsia" w:ascii="黑体" w:hAnsi="黑体" w:eastAsia="黑体"/>
          <w:b w:val="0"/>
        </w:rPr>
        <w:t>财政拨款</w:t>
      </w:r>
      <w:r>
        <w:rPr>
          <w:rStyle w:val="29"/>
          <w:rFonts w:hint="eastAsia" w:ascii="黑体" w:hAnsi="黑体" w:eastAsia="黑体"/>
        </w:rPr>
        <w:t>“</w:t>
      </w:r>
      <w:r>
        <w:rPr>
          <w:rStyle w:val="29"/>
          <w:rFonts w:hint="eastAsia" w:ascii="黑体" w:hAnsi="黑体" w:eastAsia="黑体"/>
          <w:b w:val="0"/>
        </w:rPr>
        <w:t>三公”经费支出决算情况说明</w:t>
      </w:r>
      <w:bookmarkEnd w:id="40"/>
      <w:bookmarkEnd w:id="41"/>
    </w:p>
    <w:p>
      <w:pPr>
        <w:spacing w:line="600" w:lineRule="exact"/>
        <w:ind w:firstLine="640"/>
        <w:outlineLvl w:val="2"/>
        <w:rPr>
          <w:rFonts w:ascii="仿宋" w:hAnsi="仿宋" w:eastAsia="仿宋"/>
          <w:b/>
          <w:sz w:val="32"/>
          <w:szCs w:val="32"/>
        </w:rPr>
      </w:pPr>
      <w:bookmarkStart w:id="42" w:name="_Toc15377216"/>
      <w:r>
        <w:rPr>
          <w:rFonts w:hint="eastAsia" w:ascii="仿宋" w:hAnsi="仿宋" w:eastAsia="仿宋"/>
          <w:b/>
          <w:sz w:val="32"/>
          <w:szCs w:val="32"/>
        </w:rPr>
        <w:t>（一）“三公”经费财政拨款支出决算总体情况说明</w:t>
      </w:r>
      <w:bookmarkEnd w:id="42"/>
    </w:p>
    <w:p>
      <w:pPr>
        <w:spacing w:line="600" w:lineRule="exact"/>
        <w:ind w:firstLine="640"/>
        <w:rPr>
          <w:rFonts w:hint="eastAsia" w:ascii="仿宋" w:hAnsi="仿宋" w:eastAsia="仿宋" w:cs="Times New Roman"/>
          <w:sz w:val="32"/>
          <w:szCs w:val="32"/>
        </w:rPr>
      </w:pPr>
      <w:r>
        <w:rPr>
          <w:rFonts w:hint="eastAsia" w:ascii="仿宋" w:hAnsi="仿宋" w:eastAsia="仿宋"/>
          <w:sz w:val="32"/>
          <w:szCs w:val="32"/>
        </w:rPr>
        <w:t>2023年度“三公”经费财政拨款支出决算为</w:t>
      </w:r>
      <w:r>
        <w:rPr>
          <w:sz w:val="32"/>
          <w:szCs w:val="32"/>
        </w:rPr>
        <w:t>2.58</w:t>
      </w:r>
      <w:r>
        <w:rPr>
          <w:rFonts w:hint="eastAsia" w:ascii="仿宋" w:hAnsi="仿宋" w:eastAsia="仿宋"/>
          <w:sz w:val="32"/>
          <w:szCs w:val="32"/>
        </w:rPr>
        <w:t>万元，完成预算</w:t>
      </w:r>
      <w:r>
        <w:rPr>
          <w:sz w:val="32"/>
          <w:szCs w:val="32"/>
        </w:rPr>
        <w:t>97.66</w:t>
      </w:r>
      <w:r>
        <w:rPr>
          <w:rFonts w:ascii="仿宋" w:hAnsi="仿宋" w:eastAsia="仿宋"/>
          <w:sz w:val="32"/>
          <w:szCs w:val="32"/>
        </w:rPr>
        <w:t>%</w:t>
      </w:r>
      <w:r>
        <w:rPr>
          <w:rFonts w:hint="eastAsia" w:ascii="仿宋" w:hAnsi="仿宋" w:eastAsia="仿宋"/>
          <w:sz w:val="32"/>
          <w:szCs w:val="32"/>
        </w:rPr>
        <w:t>，较上年度减少</w:t>
      </w:r>
      <w:r>
        <w:rPr>
          <w:rFonts w:hint="eastAsia" w:ascii="仿宋" w:hAnsi="仿宋" w:eastAsia="仿宋"/>
          <w:sz w:val="32"/>
          <w:szCs w:val="32"/>
          <w:lang w:val="en-US" w:eastAsia="zh-CN"/>
        </w:rPr>
        <w:t>0.22</w:t>
      </w:r>
      <w:r>
        <w:rPr>
          <w:rFonts w:hint="eastAsia" w:ascii="仿宋" w:hAnsi="仿宋" w:eastAsia="仿宋"/>
          <w:sz w:val="32"/>
          <w:szCs w:val="32"/>
        </w:rPr>
        <w:t>万元，下降</w:t>
      </w:r>
      <w:r>
        <w:rPr>
          <w:rFonts w:hint="eastAsia" w:ascii="仿宋" w:hAnsi="仿宋" w:eastAsia="仿宋"/>
          <w:sz w:val="32"/>
          <w:szCs w:val="32"/>
          <w:lang w:val="en-US" w:eastAsia="zh-CN"/>
        </w:rPr>
        <w:t>7.8</w:t>
      </w:r>
      <w:r>
        <w:rPr>
          <w:rFonts w:hint="eastAsia" w:ascii="仿宋" w:hAnsi="仿宋" w:eastAsia="仿宋"/>
          <w:sz w:val="32"/>
          <w:szCs w:val="32"/>
        </w:rPr>
        <w:t>%。决算数小于预算数的主要原因是</w:t>
      </w:r>
      <w:r>
        <w:rPr>
          <w:rFonts w:ascii="宋体" w:hAnsi="宋体" w:eastAsia="宋体" w:cs="宋体"/>
          <w:sz w:val="24"/>
          <w:szCs w:val="24"/>
        </w:rPr>
        <w:t>，</w:t>
      </w:r>
      <w:r>
        <w:rPr>
          <w:rFonts w:hint="eastAsia" w:ascii="仿宋" w:hAnsi="仿宋" w:eastAsia="仿宋" w:cs="Times New Roman"/>
          <w:sz w:val="32"/>
          <w:szCs w:val="32"/>
        </w:rPr>
        <w:t>年末财政收回0.2</w:t>
      </w:r>
      <w:r>
        <w:rPr>
          <w:rFonts w:hint="eastAsia" w:ascii="仿宋" w:hAnsi="仿宋" w:eastAsia="仿宋" w:cs="Times New Roman"/>
          <w:sz w:val="32"/>
          <w:szCs w:val="32"/>
          <w:lang w:val="en-US" w:eastAsia="zh-CN"/>
        </w:rPr>
        <w:t>2</w:t>
      </w:r>
      <w:r>
        <w:rPr>
          <w:rFonts w:hint="eastAsia" w:ascii="仿宋" w:hAnsi="仿宋" w:eastAsia="仿宋" w:cs="Times New Roman"/>
          <w:sz w:val="32"/>
          <w:szCs w:val="32"/>
        </w:rPr>
        <w:t>万元。</w:t>
      </w:r>
    </w:p>
    <w:p>
      <w:pPr>
        <w:spacing w:line="600" w:lineRule="exact"/>
        <w:ind w:firstLine="640"/>
        <w:rPr>
          <w:rFonts w:ascii="仿宋" w:hAnsi="仿宋" w:eastAsia="仿宋"/>
          <w:b/>
          <w:sz w:val="32"/>
          <w:szCs w:val="32"/>
        </w:rPr>
      </w:pPr>
      <w:r>
        <w:rPr>
          <w:rFonts w:hint="eastAsia" w:ascii="仿宋" w:hAnsi="仿宋" w:eastAsia="仿宋"/>
          <w:b/>
          <w:sz w:val="32"/>
          <w:szCs w:val="32"/>
        </w:rPr>
        <w:t>（注：上述“预算”口径为全年预算数，包括一般公共预算和政府性基金预算财政拨款支出决算情况。）</w:t>
      </w:r>
    </w:p>
    <w:p>
      <w:pPr>
        <w:spacing w:line="600" w:lineRule="exact"/>
        <w:ind w:firstLine="640"/>
        <w:outlineLvl w:val="2"/>
        <w:rPr>
          <w:rFonts w:ascii="仿宋" w:hAnsi="仿宋" w:eastAsia="仿宋"/>
          <w:b/>
          <w:sz w:val="32"/>
          <w:szCs w:val="32"/>
        </w:rPr>
      </w:pPr>
      <w:bookmarkStart w:id="43" w:name="_Toc15377217"/>
      <w:r>
        <w:rPr>
          <w:rFonts w:hint="eastAsia" w:ascii="仿宋" w:hAnsi="仿宋" w:eastAsia="仿宋"/>
          <w:b/>
          <w:sz w:val="32"/>
          <w:szCs w:val="32"/>
        </w:rPr>
        <w:t>（二）“三公”经费财政拨款支出决算具体情况说明</w:t>
      </w:r>
      <w:bookmarkEnd w:id="43"/>
    </w:p>
    <w:p>
      <w:pPr>
        <w:spacing w:line="600" w:lineRule="exact"/>
        <w:ind w:firstLine="640"/>
        <w:rPr>
          <w:rFonts w:ascii="仿宋" w:hAnsi="仿宋" w:eastAsia="仿宋"/>
          <w:sz w:val="32"/>
          <w:szCs w:val="32"/>
        </w:rPr>
      </w:pPr>
      <w:r>
        <w:rPr>
          <w:rFonts w:hint="eastAsia" w:ascii="仿宋" w:hAnsi="仿宋" w:eastAsia="仿宋"/>
          <w:sz w:val="32"/>
          <w:szCs w:val="32"/>
        </w:rPr>
        <w:t>2023年度“三公”经费财政拨款支出决算中，因公出国（境）费支出决算</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；公务用车购置及运行维护费支出决算</w:t>
      </w:r>
      <w:r>
        <w:rPr>
          <w:sz w:val="32"/>
          <w:szCs w:val="32"/>
        </w:rPr>
        <w:t>2.58</w:t>
      </w:r>
      <w:r>
        <w:rPr>
          <w:rFonts w:hint="eastAsia" w:ascii="仿宋" w:hAnsi="仿宋" w:eastAsia="仿宋"/>
          <w:sz w:val="32"/>
          <w:szCs w:val="32"/>
        </w:rPr>
        <w:t>万元，占</w:t>
      </w:r>
      <w:r>
        <w:rPr>
          <w:sz w:val="32"/>
          <w:szCs w:val="32"/>
        </w:rPr>
        <w:t>100</w:t>
      </w:r>
      <w:r>
        <w:rPr>
          <w:rFonts w:ascii="仿宋" w:hAnsi="仿宋" w:eastAsia="仿宋"/>
          <w:sz w:val="32"/>
          <w:szCs w:val="32"/>
        </w:rPr>
        <w:t>%</w:t>
      </w:r>
      <w:r>
        <w:rPr>
          <w:rFonts w:hint="eastAsia" w:ascii="仿宋" w:hAnsi="仿宋" w:eastAsia="仿宋"/>
          <w:sz w:val="32"/>
          <w:szCs w:val="32"/>
        </w:rPr>
        <w:t>；公务接待费支出决算</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。具体情况如下：</w:t>
      </w:r>
    </w:p>
    <w:p>
      <w:pPr>
        <w:spacing w:line="600" w:lineRule="exact"/>
        <w:ind w:firstLine="640"/>
      </w:pPr>
      <w:bookmarkStart w:id="53" w:name="_GoBack"/>
      <w:r>
        <w:drawing>
          <wp:anchor distT="0" distB="0" distL="114300" distR="114300" simplePos="0" relativeHeight="251662336" behindDoc="1" locked="0" layoutInCell="1" allowOverlap="1">
            <wp:simplePos x="0" y="0"/>
            <wp:positionH relativeFrom="column">
              <wp:posOffset>1437640</wp:posOffset>
            </wp:positionH>
            <wp:positionV relativeFrom="paragraph">
              <wp:posOffset>128270</wp:posOffset>
            </wp:positionV>
            <wp:extent cx="2875280" cy="1677035"/>
            <wp:effectExtent l="0" t="0" r="7620" b="12065"/>
            <wp:wrapNone/>
            <wp:docPr id="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pic:cNvPicPr>
                      <a:picLocks noChangeAspect="1"/>
                    </pic:cNvPicPr>
                  </pic:nvPicPr>
                  <pic:blipFill>
                    <a:blip r:embed="rId12"/>
                    <a:stretch>
                      <a:fillRect/>
                    </a:stretch>
                  </pic:blipFill>
                  <pic:spPr>
                    <a:xfrm>
                      <a:off x="0" y="0"/>
                      <a:ext cx="2875280" cy="1677035"/>
                    </a:xfrm>
                    <a:prstGeom prst="rect">
                      <a:avLst/>
                    </a:prstGeom>
                    <a:noFill/>
                    <a:ln>
                      <a:noFill/>
                    </a:ln>
                  </pic:spPr>
                </pic:pic>
              </a:graphicData>
            </a:graphic>
          </wp:anchor>
        </w:drawing>
      </w:r>
      <w:bookmarkEnd w:id="53"/>
    </w:p>
    <w:p>
      <w:pPr>
        <w:spacing w:line="600" w:lineRule="exact"/>
        <w:ind w:firstLine="640"/>
      </w:pPr>
    </w:p>
    <w:p>
      <w:pPr>
        <w:spacing w:line="600" w:lineRule="exact"/>
        <w:ind w:firstLine="640"/>
      </w:pPr>
    </w:p>
    <w:p>
      <w:pPr>
        <w:spacing w:line="600" w:lineRule="exact"/>
        <w:ind w:firstLine="640"/>
      </w:pPr>
    </w:p>
    <w:p>
      <w:pPr>
        <w:spacing w:line="600" w:lineRule="exact"/>
        <w:rPr>
          <w:rFonts w:hint="default" w:ascii="仿宋" w:hAnsi="仿宋" w:eastAsia="仿宋"/>
          <w:sz w:val="32"/>
          <w:szCs w:val="32"/>
          <w:lang w:val="en-US"/>
        </w:rPr>
      </w:pPr>
    </w:p>
    <w:p>
      <w:pPr>
        <w:spacing w:line="600" w:lineRule="exact"/>
        <w:ind w:firstLine="640"/>
        <w:rPr>
          <w:rFonts w:ascii="仿宋" w:hAnsi="仿宋" w:eastAsia="仿宋"/>
          <w:sz w:val="32"/>
          <w:szCs w:val="32"/>
        </w:rPr>
      </w:pPr>
      <w:r>
        <w:rPr>
          <w:rFonts w:hint="eastAsia" w:ascii="仿宋" w:hAnsi="仿宋" w:eastAsia="仿宋"/>
          <w:sz w:val="32"/>
          <w:szCs w:val="32"/>
        </w:rPr>
        <w:t>（图7：“三公”经费财政拨款支出结构）（饼状图）</w:t>
      </w:r>
    </w:p>
    <w:p>
      <w:pPr>
        <w:spacing w:line="600" w:lineRule="exact"/>
        <w:ind w:firstLine="640"/>
        <w:rPr>
          <w:rFonts w:ascii="仿宋_GB2312" w:eastAsia="仿宋_GB2312"/>
          <w:b/>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sz w:val="32"/>
          <w:szCs w:val="32"/>
        </w:rPr>
        <w:t>0</w:t>
      </w:r>
      <w:r>
        <w:rPr>
          <w:rFonts w:hint="eastAsia" w:ascii="仿宋_GB2312" w:eastAsia="仿宋_GB2312"/>
          <w:sz w:val="32"/>
          <w:szCs w:val="32"/>
        </w:rPr>
        <w:t>万元，</w:t>
      </w:r>
      <w:r>
        <w:rPr>
          <w:rStyle w:val="17"/>
          <w:rFonts w:hint="eastAsia" w:ascii="仿宋" w:hAnsi="仿宋" w:eastAsia="仿宋"/>
          <w:b w:val="0"/>
          <w:bCs/>
          <w:sz w:val="32"/>
          <w:szCs w:val="32"/>
        </w:rPr>
        <w:t>完成预算</w:t>
      </w:r>
      <w:r>
        <w:rPr>
          <w:sz w:val="32"/>
          <w:szCs w:val="32"/>
        </w:rPr>
        <w:t>0</w:t>
      </w:r>
      <w:r>
        <w:rPr>
          <w:rStyle w:val="17"/>
          <w:rFonts w:ascii="仿宋" w:hAnsi="仿宋" w:eastAsia="仿宋"/>
          <w:b w:val="0"/>
          <w:bCs/>
          <w:sz w:val="32"/>
          <w:szCs w:val="32"/>
        </w:rPr>
        <w:t>%</w:t>
      </w:r>
      <w:r>
        <w:rPr>
          <w:rStyle w:val="17"/>
          <w:rFonts w:hint="eastAsia" w:ascii="仿宋" w:hAnsi="仿宋" w:eastAsia="仿宋"/>
          <w:b w:val="0"/>
          <w:bCs/>
          <w:sz w:val="32"/>
          <w:szCs w:val="32"/>
        </w:rPr>
        <w:t>。</w:t>
      </w:r>
      <w:r>
        <w:rPr>
          <w:rFonts w:hint="eastAsia" w:ascii="仿宋_GB2312" w:eastAsia="仿宋_GB2312"/>
          <w:sz w:val="32"/>
          <w:szCs w:val="32"/>
        </w:rPr>
        <w:t>全年安排因公出国（境）团组</w:t>
      </w:r>
      <w:r>
        <w:rPr>
          <w:sz w:val="32"/>
          <w:szCs w:val="32"/>
        </w:rPr>
        <w:t>0</w:t>
      </w:r>
      <w:r>
        <w:rPr>
          <w:rFonts w:hint="eastAsia" w:ascii="仿宋_GB2312" w:eastAsia="仿宋_GB2312"/>
          <w:sz w:val="32"/>
          <w:szCs w:val="32"/>
        </w:rPr>
        <w:t>次，出国（境）</w:t>
      </w:r>
      <w:r>
        <w:rPr>
          <w:sz w:val="32"/>
          <w:szCs w:val="32"/>
        </w:rPr>
        <w:t>0</w:t>
      </w:r>
      <w:r>
        <w:rPr>
          <w:rFonts w:hint="eastAsia" w:ascii="仿宋_GB2312" w:eastAsia="仿宋_GB2312"/>
          <w:sz w:val="32"/>
          <w:szCs w:val="32"/>
        </w:rPr>
        <w:t>人。因公出国（境）支出决算比2022年增加</w:t>
      </w:r>
      <w:r>
        <w:rPr>
          <w:rFonts w:ascii="仿宋_GB2312" w:eastAsia="仿宋_GB2312"/>
          <w:sz w:val="32"/>
          <w:szCs w:val="32"/>
        </w:rPr>
        <w:t>/</w:t>
      </w:r>
      <w:r>
        <w:rPr>
          <w:rFonts w:hint="eastAsia" w:ascii="仿宋_GB2312" w:eastAsia="仿宋_GB2312"/>
          <w:sz w:val="32"/>
          <w:szCs w:val="32"/>
        </w:rPr>
        <w:t>减少</w:t>
      </w:r>
      <w:r>
        <w:rPr>
          <w:rFonts w:ascii="仿宋_GB2312" w:eastAsia="仿宋_GB2312"/>
          <w:sz w:val="32"/>
          <w:szCs w:val="32"/>
        </w:rPr>
        <w:t>**</w:t>
      </w:r>
      <w:r>
        <w:rPr>
          <w:rFonts w:hint="eastAsia" w:ascii="仿宋_GB2312" w:eastAsia="仿宋_GB2312"/>
          <w:sz w:val="32"/>
          <w:szCs w:val="32"/>
        </w:rPr>
        <w:t>万元，增长</w:t>
      </w:r>
      <w:r>
        <w:rPr>
          <w:rFonts w:ascii="仿宋_GB2312" w:eastAsia="仿宋_GB2312"/>
          <w:sz w:val="32"/>
          <w:szCs w:val="32"/>
        </w:rPr>
        <w:t>/</w:t>
      </w:r>
      <w:r>
        <w:rPr>
          <w:rFonts w:hint="eastAsia" w:ascii="仿宋_GB2312" w:eastAsia="仿宋_GB2312"/>
          <w:sz w:val="32"/>
          <w:szCs w:val="32"/>
        </w:rPr>
        <w:t>下降</w:t>
      </w:r>
      <w:r>
        <w:rPr>
          <w:rFonts w:ascii="仿宋_GB2312" w:eastAsia="仿宋_GB2312"/>
          <w:sz w:val="32"/>
          <w:szCs w:val="32"/>
        </w:rPr>
        <w:t>**%</w:t>
      </w:r>
      <w:r>
        <w:rPr>
          <w:rFonts w:hint="eastAsia" w:ascii="仿宋_GB2312" w:eastAsia="仿宋_GB2312"/>
          <w:sz w:val="32"/>
          <w:szCs w:val="32"/>
        </w:rPr>
        <w:t>。主要原因是……。</w:t>
      </w:r>
    </w:p>
    <w:p>
      <w:pPr>
        <w:spacing w:line="600" w:lineRule="exact"/>
        <w:ind w:firstLine="640"/>
        <w:rPr>
          <w:rFonts w:ascii="仿宋_GB2312" w:eastAsia="仿宋_GB2312"/>
          <w:sz w:val="32"/>
          <w:szCs w:val="32"/>
        </w:rPr>
      </w:pPr>
      <w:r>
        <w:rPr>
          <w:rFonts w:hint="eastAsia" w:ascii="仿宋_GB2312" w:eastAsia="仿宋_GB2312"/>
          <w:sz w:val="32"/>
          <w:szCs w:val="32"/>
        </w:rPr>
        <w:t>开支内容包括：…（团组名称、出访地点、取得成效）等。</w:t>
      </w:r>
    </w:p>
    <w:p>
      <w:pPr>
        <w:spacing w:line="600" w:lineRule="exact"/>
        <w:ind w:firstLine="640"/>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sz w:val="32"/>
          <w:szCs w:val="32"/>
        </w:rPr>
        <w:t>2.58</w:t>
      </w:r>
      <w:r>
        <w:rPr>
          <w:rFonts w:hint="eastAsia" w:ascii="仿宋_GB2312" w:eastAsia="仿宋_GB2312"/>
          <w:sz w:val="32"/>
          <w:szCs w:val="32"/>
        </w:rPr>
        <w:t>万元,</w:t>
      </w:r>
      <w:r>
        <w:rPr>
          <w:rStyle w:val="17"/>
          <w:rFonts w:hint="eastAsia" w:ascii="仿宋" w:hAnsi="仿宋" w:eastAsia="仿宋"/>
          <w:b w:val="0"/>
          <w:bCs/>
          <w:sz w:val="32"/>
          <w:szCs w:val="32"/>
        </w:rPr>
        <w:t>完成预算</w:t>
      </w:r>
      <w:r>
        <w:rPr>
          <w:sz w:val="32"/>
          <w:szCs w:val="32"/>
        </w:rPr>
        <w:t>97.66</w:t>
      </w:r>
      <w:r>
        <w:rPr>
          <w:rStyle w:val="17"/>
          <w:rFonts w:ascii="仿宋" w:hAnsi="仿宋" w:eastAsia="仿宋"/>
          <w:b w:val="0"/>
          <w:bCs/>
          <w:sz w:val="32"/>
          <w:szCs w:val="32"/>
        </w:rPr>
        <w:t>%</w:t>
      </w:r>
      <w:r>
        <w:rPr>
          <w:rStyle w:val="17"/>
          <w:rFonts w:hint="eastAsia" w:ascii="仿宋" w:hAnsi="仿宋" w:eastAsia="仿宋"/>
          <w:b w:val="0"/>
          <w:bCs/>
          <w:sz w:val="32"/>
          <w:szCs w:val="32"/>
        </w:rPr>
        <w:t>。</w:t>
      </w:r>
      <w:r>
        <w:rPr>
          <w:rFonts w:hint="eastAsia" w:ascii="仿宋_GB2312" w:eastAsia="仿宋_GB2312"/>
          <w:sz w:val="32"/>
          <w:szCs w:val="32"/>
        </w:rPr>
        <w:t>公务用车购置及运行维护费支出决算比2022年度减少</w:t>
      </w:r>
      <w:r>
        <w:rPr>
          <w:rFonts w:hint="eastAsia" w:ascii="仿宋_GB2312" w:eastAsia="仿宋_GB2312"/>
          <w:sz w:val="32"/>
          <w:szCs w:val="32"/>
          <w:lang w:val="en-US" w:eastAsia="zh-CN"/>
        </w:rPr>
        <w:t>0.22</w:t>
      </w:r>
      <w:r>
        <w:rPr>
          <w:rFonts w:hint="eastAsia" w:ascii="仿宋_GB2312" w:eastAsia="仿宋_GB2312"/>
          <w:sz w:val="32"/>
          <w:szCs w:val="32"/>
        </w:rPr>
        <w:t>万元，下降</w:t>
      </w:r>
      <w:r>
        <w:rPr>
          <w:rFonts w:hint="eastAsia" w:ascii="仿宋_GB2312" w:eastAsia="仿宋_GB2312"/>
          <w:sz w:val="32"/>
          <w:szCs w:val="32"/>
          <w:lang w:val="en-US" w:eastAsia="zh-CN"/>
        </w:rPr>
        <w:t>7.8</w:t>
      </w:r>
      <w:r>
        <w:rPr>
          <w:rFonts w:ascii="仿宋_GB2312" w:eastAsia="仿宋_GB2312"/>
          <w:sz w:val="32"/>
          <w:szCs w:val="32"/>
        </w:rPr>
        <w:t>%</w:t>
      </w:r>
      <w:r>
        <w:rPr>
          <w:rFonts w:hint="eastAsia" w:ascii="仿宋_GB2312" w:eastAsia="仿宋_GB2312"/>
          <w:sz w:val="32"/>
          <w:szCs w:val="32"/>
        </w:rPr>
        <w:t>。主要原因是</w:t>
      </w:r>
      <w:r>
        <w:rPr>
          <w:rFonts w:hint="eastAsia" w:ascii="仿宋" w:hAnsi="仿宋" w:eastAsia="仿宋" w:cs="Times New Roman"/>
          <w:sz w:val="32"/>
          <w:szCs w:val="32"/>
        </w:rPr>
        <w:t>年末财政收回0.2</w:t>
      </w:r>
      <w:r>
        <w:rPr>
          <w:rFonts w:hint="eastAsia" w:ascii="仿宋" w:hAnsi="仿宋" w:eastAsia="仿宋" w:cs="Times New Roman"/>
          <w:sz w:val="32"/>
          <w:szCs w:val="32"/>
          <w:lang w:val="en-US" w:eastAsia="zh-CN"/>
        </w:rPr>
        <w:t>2</w:t>
      </w:r>
      <w:r>
        <w:rPr>
          <w:rFonts w:hint="eastAsia" w:ascii="仿宋" w:hAnsi="仿宋" w:eastAsia="仿宋" w:cs="Times New Roman"/>
          <w:sz w:val="32"/>
          <w:szCs w:val="32"/>
        </w:rPr>
        <w:t>万元</w:t>
      </w:r>
      <w:r>
        <w:rPr>
          <w:rFonts w:hint="eastAsia" w:ascii="仿宋_GB2312" w:eastAsia="仿宋_GB2312"/>
          <w:sz w:val="32"/>
          <w:szCs w:val="32"/>
        </w:rPr>
        <w:t>。</w:t>
      </w:r>
    </w:p>
    <w:p>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sz w:val="32"/>
          <w:szCs w:val="32"/>
        </w:rPr>
        <w:t>0</w:t>
      </w:r>
      <w:r>
        <w:rPr>
          <w:rFonts w:hint="eastAsia" w:ascii="仿宋_GB2312" w:eastAsia="仿宋_GB2312"/>
          <w:sz w:val="32"/>
          <w:szCs w:val="32"/>
        </w:rPr>
        <w:t>万元。全年按规定更新购置公务用车</w:t>
      </w:r>
      <w:r>
        <w:rPr>
          <w:rFonts w:ascii="仿宋_GB2312" w:eastAsia="仿宋_GB2312"/>
          <w:sz w:val="32"/>
          <w:szCs w:val="32"/>
        </w:rPr>
        <w:t>**</w:t>
      </w:r>
      <w:r>
        <w:rPr>
          <w:rFonts w:hint="eastAsia" w:ascii="仿宋_GB2312" w:eastAsia="仿宋_GB2312"/>
          <w:sz w:val="32"/>
          <w:szCs w:val="32"/>
        </w:rPr>
        <w:t>辆，其中：轿车</w:t>
      </w:r>
      <w:r>
        <w:rPr>
          <w:rFonts w:ascii="仿宋_GB2312" w:eastAsia="仿宋_GB2312"/>
          <w:sz w:val="32"/>
          <w:szCs w:val="32"/>
        </w:rPr>
        <w:t>**</w:t>
      </w:r>
      <w:r>
        <w:rPr>
          <w:rFonts w:hint="eastAsia" w:ascii="仿宋_GB2312" w:eastAsia="仿宋_GB2312"/>
          <w:sz w:val="32"/>
          <w:szCs w:val="32"/>
        </w:rPr>
        <w:t>辆、金额</w:t>
      </w:r>
      <w:r>
        <w:rPr>
          <w:rFonts w:ascii="仿宋_GB2312" w:eastAsia="仿宋_GB2312"/>
          <w:sz w:val="32"/>
          <w:szCs w:val="32"/>
        </w:rPr>
        <w:t>**</w:t>
      </w:r>
      <w:r>
        <w:rPr>
          <w:rFonts w:hint="eastAsia" w:ascii="仿宋_GB2312" w:eastAsia="仿宋_GB2312"/>
          <w:sz w:val="32"/>
          <w:szCs w:val="32"/>
        </w:rPr>
        <w:t>万元，越野车</w:t>
      </w:r>
      <w:r>
        <w:rPr>
          <w:rFonts w:ascii="仿宋_GB2312" w:eastAsia="仿宋_GB2312"/>
          <w:sz w:val="32"/>
          <w:szCs w:val="32"/>
        </w:rPr>
        <w:t>**</w:t>
      </w:r>
      <w:r>
        <w:rPr>
          <w:rFonts w:hint="eastAsia" w:ascii="仿宋_GB2312" w:eastAsia="仿宋_GB2312"/>
          <w:sz w:val="32"/>
          <w:szCs w:val="32"/>
        </w:rPr>
        <w:t>辆、金额</w:t>
      </w:r>
      <w:r>
        <w:rPr>
          <w:rFonts w:ascii="仿宋_GB2312" w:eastAsia="仿宋_GB2312"/>
          <w:sz w:val="32"/>
          <w:szCs w:val="32"/>
        </w:rPr>
        <w:t>**</w:t>
      </w:r>
      <w:r>
        <w:rPr>
          <w:rFonts w:hint="eastAsia" w:ascii="仿宋_GB2312" w:eastAsia="仿宋_GB2312"/>
          <w:sz w:val="32"/>
          <w:szCs w:val="32"/>
        </w:rPr>
        <w:t>万元，载客汽车</w:t>
      </w:r>
      <w:r>
        <w:rPr>
          <w:rFonts w:ascii="仿宋_GB2312" w:eastAsia="仿宋_GB2312"/>
          <w:sz w:val="32"/>
          <w:szCs w:val="32"/>
        </w:rPr>
        <w:t>**</w:t>
      </w:r>
      <w:r>
        <w:rPr>
          <w:rFonts w:hint="eastAsia" w:ascii="仿宋_GB2312" w:eastAsia="仿宋_GB2312"/>
          <w:sz w:val="32"/>
          <w:szCs w:val="32"/>
        </w:rPr>
        <w:t>辆、金额</w:t>
      </w:r>
      <w:r>
        <w:rPr>
          <w:rFonts w:ascii="仿宋_GB2312" w:eastAsia="仿宋_GB2312"/>
          <w:sz w:val="32"/>
          <w:szCs w:val="32"/>
        </w:rPr>
        <w:t>**</w:t>
      </w:r>
      <w:r>
        <w:rPr>
          <w:rFonts w:hint="eastAsia" w:ascii="仿宋_GB2312" w:eastAsia="仿宋_GB2312"/>
          <w:sz w:val="32"/>
          <w:szCs w:val="32"/>
        </w:rPr>
        <w:t>万元，主要用于…。截至2023年</w:t>
      </w:r>
      <w:r>
        <w:rPr>
          <w:rFonts w:ascii="仿宋_GB2312" w:eastAsia="仿宋_GB2312"/>
          <w:sz w:val="32"/>
          <w:szCs w:val="32"/>
        </w:rPr>
        <w:t>12</w:t>
      </w:r>
      <w:r>
        <w:rPr>
          <w:rFonts w:hint="eastAsia" w:ascii="仿宋_GB2312" w:eastAsia="仿宋_GB2312"/>
          <w:sz w:val="32"/>
          <w:szCs w:val="32"/>
        </w:rPr>
        <w:t>月31日，单位共有公务用车</w:t>
      </w:r>
      <w:r>
        <w:rPr>
          <w:rFonts w:hint="eastAsia" w:ascii="仿宋_GB2312" w:eastAsia="仿宋_GB2312"/>
          <w:sz w:val="32"/>
          <w:szCs w:val="32"/>
          <w:lang w:val="en-US" w:eastAsia="zh-CN"/>
        </w:rPr>
        <w:t>1</w:t>
      </w:r>
      <w:r>
        <w:rPr>
          <w:rFonts w:hint="eastAsia" w:ascii="仿宋_GB2312" w:eastAsia="仿宋_GB2312"/>
          <w:sz w:val="32"/>
          <w:szCs w:val="32"/>
        </w:rPr>
        <w:t>辆，其中：轿车</w:t>
      </w:r>
      <w:r>
        <w:rPr>
          <w:rFonts w:ascii="仿宋_GB2312" w:eastAsia="仿宋_GB2312"/>
          <w:sz w:val="32"/>
          <w:szCs w:val="32"/>
        </w:rPr>
        <w:t>**</w:t>
      </w:r>
      <w:r>
        <w:rPr>
          <w:rFonts w:hint="eastAsia" w:ascii="仿宋_GB2312" w:eastAsia="仿宋_GB2312"/>
          <w:sz w:val="32"/>
          <w:szCs w:val="32"/>
        </w:rPr>
        <w:t>辆、越野车</w:t>
      </w:r>
      <w:r>
        <w:rPr>
          <w:rFonts w:hint="eastAsia" w:ascii="仿宋_GB2312" w:eastAsia="仿宋_GB2312"/>
          <w:sz w:val="32"/>
          <w:szCs w:val="32"/>
          <w:lang w:val="en-US" w:eastAsia="zh-CN"/>
        </w:rPr>
        <w:t>1</w:t>
      </w:r>
      <w:r>
        <w:rPr>
          <w:rFonts w:hint="eastAsia" w:ascii="仿宋_GB2312" w:eastAsia="仿宋_GB2312"/>
          <w:sz w:val="32"/>
          <w:szCs w:val="32"/>
        </w:rPr>
        <w:t>辆、载客汽车</w:t>
      </w:r>
      <w:r>
        <w:rPr>
          <w:rFonts w:ascii="仿宋_GB2312" w:eastAsia="仿宋_GB2312"/>
          <w:sz w:val="32"/>
          <w:szCs w:val="32"/>
        </w:rPr>
        <w:t>**</w:t>
      </w:r>
      <w:r>
        <w:rPr>
          <w:rFonts w:hint="eastAsia" w:ascii="仿宋_GB2312" w:eastAsia="仿宋_GB2312"/>
          <w:sz w:val="32"/>
          <w:szCs w:val="32"/>
        </w:rPr>
        <w:t>辆。</w:t>
      </w:r>
    </w:p>
    <w:p>
      <w:pPr>
        <w:spacing w:line="600" w:lineRule="exact"/>
        <w:ind w:firstLine="640"/>
        <w:rPr>
          <w:rFonts w:ascii="仿宋_GB2312" w:eastAsia="仿宋_GB2312"/>
          <w:sz w:val="32"/>
          <w:szCs w:val="32"/>
        </w:rPr>
      </w:pPr>
      <w:r>
        <w:rPr>
          <w:rFonts w:hint="eastAsia" w:ascii="仿宋_GB2312" w:eastAsia="仿宋_GB2312"/>
          <w:b/>
          <w:sz w:val="32"/>
          <w:szCs w:val="32"/>
        </w:rPr>
        <w:t>公务用车运行维护费支出</w:t>
      </w:r>
      <w:r>
        <w:rPr>
          <w:sz w:val="32"/>
          <w:szCs w:val="32"/>
        </w:rPr>
        <w:t>2.58</w:t>
      </w:r>
      <w:r>
        <w:rPr>
          <w:rFonts w:hint="eastAsia" w:ascii="仿宋_GB2312" w:eastAsia="仿宋_GB2312"/>
          <w:sz w:val="32"/>
          <w:szCs w:val="32"/>
        </w:rPr>
        <w:t>万元。主要用于</w:t>
      </w:r>
      <w:r>
        <w:rPr>
          <w:rFonts w:hint="eastAsia" w:ascii="仿宋_GB2312" w:hAnsi="Times New Roman" w:eastAsia="仿宋_GB2312" w:cs="Times New Roman"/>
          <w:sz w:val="32"/>
          <w:szCs w:val="32"/>
        </w:rPr>
        <w:t>镇政府干部下村入户、外出紧急任务和到镇内企业视察</w:t>
      </w:r>
      <w:r>
        <w:rPr>
          <w:rFonts w:hint="eastAsia" w:ascii="仿宋_GB2312" w:hAnsi="Times New Roman" w:eastAsia="仿宋_GB2312" w:cs="Times New Roman"/>
          <w:sz w:val="32"/>
          <w:szCs w:val="32"/>
          <w:lang w:val="en-US" w:eastAsia="zh-CN"/>
        </w:rPr>
        <w:t>安全工作</w:t>
      </w:r>
      <w:r>
        <w:rPr>
          <w:rFonts w:hint="eastAsia" w:ascii="仿宋_GB2312" w:hAnsi="Times New Roman" w:eastAsia="仿宋_GB2312" w:cs="Times New Roman"/>
          <w:sz w:val="32"/>
          <w:szCs w:val="32"/>
        </w:rPr>
        <w:t>等</w:t>
      </w:r>
      <w:r>
        <w:rPr>
          <w:rFonts w:hint="eastAsia" w:ascii="仿宋_GB2312" w:eastAsia="仿宋_GB2312"/>
          <w:sz w:val="32"/>
          <w:szCs w:val="32"/>
        </w:rPr>
        <w:t>（具体工作）等所需的公务用车燃料费、维修费、过路过桥费、保险费等支出。</w:t>
      </w:r>
    </w:p>
    <w:p>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sz w:val="32"/>
          <w:szCs w:val="32"/>
        </w:rPr>
        <w:t>0</w:t>
      </w:r>
      <w:r>
        <w:rPr>
          <w:rFonts w:hint="eastAsia" w:ascii="仿宋_GB2312" w:eastAsia="仿宋_GB2312"/>
          <w:sz w:val="32"/>
          <w:szCs w:val="32"/>
        </w:rPr>
        <w:t>万元，</w:t>
      </w:r>
      <w:r>
        <w:rPr>
          <w:rStyle w:val="17"/>
          <w:rFonts w:hint="eastAsia" w:ascii="仿宋" w:hAnsi="仿宋" w:eastAsia="仿宋"/>
          <w:b w:val="0"/>
          <w:bCs/>
          <w:sz w:val="32"/>
          <w:szCs w:val="32"/>
        </w:rPr>
        <w:t>完成预算</w:t>
      </w:r>
      <w:r>
        <w:rPr>
          <w:sz w:val="32"/>
          <w:szCs w:val="32"/>
        </w:rPr>
        <w:t>0%</w:t>
      </w:r>
      <w:r>
        <w:rPr>
          <w:rStyle w:val="17"/>
          <w:rFonts w:hint="eastAsia" w:ascii="仿宋" w:hAnsi="仿宋" w:eastAsia="仿宋"/>
          <w:b w:val="0"/>
          <w:bCs/>
          <w:sz w:val="32"/>
          <w:szCs w:val="32"/>
        </w:rPr>
        <w:t>。</w:t>
      </w:r>
      <w:r>
        <w:rPr>
          <w:rFonts w:hint="eastAsia" w:ascii="仿宋_GB2312" w:eastAsia="仿宋_GB2312"/>
          <w:sz w:val="32"/>
          <w:szCs w:val="32"/>
        </w:rPr>
        <w:t>公务接待费支出决算比2022年度增加</w:t>
      </w:r>
      <w:r>
        <w:rPr>
          <w:rFonts w:ascii="仿宋_GB2312" w:eastAsia="仿宋_GB2312"/>
          <w:sz w:val="32"/>
          <w:szCs w:val="32"/>
        </w:rPr>
        <w:t>/</w:t>
      </w:r>
      <w:r>
        <w:rPr>
          <w:rFonts w:hint="eastAsia" w:ascii="仿宋_GB2312" w:eastAsia="仿宋_GB2312"/>
          <w:sz w:val="32"/>
          <w:szCs w:val="32"/>
        </w:rPr>
        <w:t>减少</w:t>
      </w:r>
      <w:r>
        <w:rPr>
          <w:rFonts w:ascii="仿宋_GB2312" w:eastAsia="仿宋_GB2312"/>
          <w:sz w:val="32"/>
          <w:szCs w:val="32"/>
        </w:rPr>
        <w:t>**</w:t>
      </w:r>
      <w:r>
        <w:rPr>
          <w:rFonts w:hint="eastAsia" w:ascii="仿宋_GB2312" w:eastAsia="仿宋_GB2312"/>
          <w:sz w:val="32"/>
          <w:szCs w:val="32"/>
        </w:rPr>
        <w:t>万元，增长</w:t>
      </w:r>
      <w:r>
        <w:rPr>
          <w:rFonts w:ascii="仿宋_GB2312" w:eastAsia="仿宋_GB2312"/>
          <w:sz w:val="32"/>
          <w:szCs w:val="32"/>
        </w:rPr>
        <w:t>/</w:t>
      </w:r>
      <w:r>
        <w:rPr>
          <w:rFonts w:hint="eastAsia" w:ascii="仿宋_GB2312" w:eastAsia="仿宋_GB2312"/>
          <w:sz w:val="32"/>
          <w:szCs w:val="32"/>
        </w:rPr>
        <w:t>下降</w:t>
      </w:r>
      <w:r>
        <w:rPr>
          <w:rFonts w:ascii="仿宋_GB2312" w:eastAsia="仿宋_GB2312"/>
          <w:sz w:val="32"/>
          <w:szCs w:val="32"/>
        </w:rPr>
        <w:t>**%</w:t>
      </w:r>
      <w:r>
        <w:rPr>
          <w:rFonts w:hint="eastAsia" w:ascii="仿宋_GB2312" w:eastAsia="仿宋_GB2312"/>
          <w:sz w:val="32"/>
          <w:szCs w:val="32"/>
        </w:rPr>
        <w:t>。主要原因是……。其中：</w:t>
      </w:r>
    </w:p>
    <w:p>
      <w:pPr>
        <w:spacing w:line="600" w:lineRule="exact"/>
        <w:ind w:firstLine="640"/>
        <w:rPr>
          <w:rFonts w:ascii="仿宋_GB2312" w:eastAsia="仿宋_GB2312"/>
          <w:sz w:val="32"/>
          <w:szCs w:val="32"/>
        </w:rPr>
      </w:pPr>
      <w:r>
        <w:rPr>
          <w:rFonts w:hint="eastAsia" w:ascii="仿宋" w:hAnsi="仿宋" w:eastAsia="仿宋"/>
          <w:b/>
          <w:sz w:val="32"/>
          <w:szCs w:val="32"/>
        </w:rPr>
        <w:t>国内公务接待支出**</w:t>
      </w:r>
      <w:r>
        <w:rPr>
          <w:rFonts w:hint="eastAsia" w:ascii="仿宋_GB2312" w:eastAsia="仿宋_GB2312"/>
          <w:sz w:val="32"/>
          <w:szCs w:val="32"/>
        </w:rPr>
        <w:t>万元，主要用于……(执行公务、开展业务活动开支的交通费、住宿费、用餐费等)。国内公务接待</w:t>
      </w:r>
      <w:r>
        <w:rPr>
          <w:rFonts w:ascii="仿宋_GB2312" w:eastAsia="仿宋_GB2312"/>
          <w:sz w:val="32"/>
          <w:szCs w:val="32"/>
        </w:rPr>
        <w:t>**</w:t>
      </w:r>
      <w:r>
        <w:rPr>
          <w:rFonts w:hint="eastAsia" w:ascii="仿宋_GB2312" w:eastAsia="仿宋_GB2312"/>
          <w:sz w:val="32"/>
          <w:szCs w:val="32"/>
        </w:rPr>
        <w:t>批次，</w:t>
      </w:r>
      <w:r>
        <w:rPr>
          <w:rFonts w:ascii="仿宋_GB2312" w:eastAsia="仿宋_GB2312"/>
          <w:sz w:val="32"/>
          <w:szCs w:val="32"/>
        </w:rPr>
        <w:t>**</w:t>
      </w:r>
      <w:r>
        <w:rPr>
          <w:rFonts w:hint="eastAsia" w:ascii="仿宋_GB2312" w:eastAsia="仿宋_GB2312"/>
          <w:sz w:val="32"/>
          <w:szCs w:val="32"/>
        </w:rPr>
        <w:t>人次（不包括陪同人员），共计支出</w:t>
      </w:r>
      <w:r>
        <w:rPr>
          <w:rFonts w:ascii="仿宋_GB2312" w:eastAsia="仿宋_GB2312"/>
          <w:sz w:val="32"/>
          <w:szCs w:val="32"/>
        </w:rPr>
        <w:t>**</w:t>
      </w:r>
      <w:r>
        <w:rPr>
          <w:rFonts w:hint="eastAsia" w:ascii="仿宋_GB2312" w:eastAsia="仿宋_GB2312"/>
          <w:sz w:val="32"/>
          <w:szCs w:val="32"/>
        </w:rPr>
        <w:t>万元，具体内容包括：…（接待具体项目、金额）。</w:t>
      </w:r>
    </w:p>
    <w:p>
      <w:pPr>
        <w:spacing w:line="600" w:lineRule="exact"/>
        <w:ind w:firstLine="643" w:firstLineChars="200"/>
        <w:rPr>
          <w:rFonts w:ascii="仿宋_GB2312" w:eastAsia="仿宋_GB2312"/>
          <w:sz w:val="32"/>
          <w:szCs w:val="32"/>
        </w:rPr>
      </w:pPr>
      <w:r>
        <w:rPr>
          <w:rFonts w:hint="eastAsia" w:ascii="仿宋" w:hAnsi="仿宋" w:eastAsia="仿宋"/>
          <w:b/>
          <w:sz w:val="32"/>
          <w:szCs w:val="32"/>
        </w:rPr>
        <w:t>外事接待支出**</w:t>
      </w:r>
      <w:r>
        <w:rPr>
          <w:rFonts w:hint="eastAsia" w:ascii="仿宋_GB2312" w:eastAsia="仿宋_GB2312"/>
          <w:sz w:val="32"/>
          <w:szCs w:val="32"/>
        </w:rPr>
        <w:t>万元，主要用于接待</w:t>
      </w:r>
      <w:r>
        <w:rPr>
          <w:rFonts w:ascii="仿宋_GB2312" w:eastAsia="仿宋_GB2312"/>
          <w:sz w:val="32"/>
          <w:szCs w:val="32"/>
        </w:rPr>
        <w:t>…</w:t>
      </w:r>
      <w:r>
        <w:rPr>
          <w:rFonts w:hint="eastAsia" w:ascii="仿宋_GB2312" w:eastAsia="仿宋_GB2312"/>
          <w:sz w:val="32"/>
          <w:szCs w:val="32"/>
        </w:rPr>
        <w:t>（具体项目）。外事接待</w:t>
      </w:r>
      <w:r>
        <w:rPr>
          <w:rFonts w:ascii="仿宋_GB2312" w:eastAsia="仿宋_GB2312"/>
          <w:sz w:val="32"/>
          <w:szCs w:val="32"/>
        </w:rPr>
        <w:t>**</w:t>
      </w:r>
      <w:r>
        <w:rPr>
          <w:rFonts w:hint="eastAsia" w:ascii="仿宋_GB2312" w:eastAsia="仿宋_GB2312"/>
          <w:sz w:val="32"/>
          <w:szCs w:val="32"/>
        </w:rPr>
        <w:t>批次，</w:t>
      </w:r>
      <w:r>
        <w:rPr>
          <w:rFonts w:ascii="仿宋_GB2312" w:eastAsia="仿宋_GB2312"/>
          <w:sz w:val="32"/>
          <w:szCs w:val="32"/>
        </w:rPr>
        <w:t>**</w:t>
      </w:r>
      <w:r>
        <w:rPr>
          <w:rFonts w:hint="eastAsia" w:ascii="仿宋_GB2312" w:eastAsia="仿宋_GB2312"/>
          <w:sz w:val="32"/>
          <w:szCs w:val="32"/>
        </w:rPr>
        <w:t>人次（不包括陪同人员），共计支出</w:t>
      </w:r>
      <w:r>
        <w:rPr>
          <w:rFonts w:ascii="仿宋_GB2312" w:eastAsia="仿宋_GB2312"/>
          <w:sz w:val="32"/>
          <w:szCs w:val="32"/>
        </w:rPr>
        <w:t>**</w:t>
      </w:r>
      <w:r>
        <w:rPr>
          <w:rFonts w:hint="eastAsia" w:ascii="仿宋_GB2312" w:eastAsia="仿宋_GB2312"/>
          <w:sz w:val="32"/>
          <w:szCs w:val="32"/>
        </w:rPr>
        <w:t>万元。</w:t>
      </w:r>
    </w:p>
    <w:p>
      <w:pPr>
        <w:spacing w:line="600" w:lineRule="exact"/>
        <w:ind w:firstLine="640"/>
        <w:outlineLvl w:val="1"/>
        <w:rPr>
          <w:rFonts w:ascii="黑体" w:eastAsia="黑体"/>
          <w:sz w:val="32"/>
          <w:szCs w:val="32"/>
        </w:rPr>
      </w:pPr>
      <w:bookmarkStart w:id="44" w:name="_Toc15396610"/>
      <w:bookmarkStart w:id="45" w:name="_Toc15377218"/>
    </w:p>
    <w:p>
      <w:pPr>
        <w:spacing w:line="600" w:lineRule="exact"/>
        <w:ind w:firstLine="640"/>
        <w:outlineLvl w:val="1"/>
        <w:rPr>
          <w:rStyle w:val="29"/>
          <w:rFonts w:ascii="黑体" w:hAnsi="黑体" w:eastAsia="黑体"/>
        </w:rPr>
      </w:pPr>
      <w:r>
        <w:rPr>
          <w:rFonts w:hint="eastAsia" w:ascii="黑体" w:eastAsia="黑体"/>
          <w:sz w:val="32"/>
          <w:szCs w:val="32"/>
        </w:rPr>
        <w:t>八、</w:t>
      </w:r>
      <w:r>
        <w:rPr>
          <w:rStyle w:val="29"/>
          <w:rFonts w:hint="eastAsia" w:ascii="黑体" w:hAnsi="黑体" w:eastAsia="黑体"/>
          <w:b w:val="0"/>
        </w:rPr>
        <w:t>政府性基金预算支出决算情况说明</w:t>
      </w:r>
      <w:bookmarkEnd w:id="44"/>
      <w:bookmarkEnd w:id="45"/>
    </w:p>
    <w:p>
      <w:pPr>
        <w:spacing w:line="600" w:lineRule="exact"/>
        <w:ind w:firstLine="640"/>
        <w:rPr>
          <w:rFonts w:ascii="仿宋_GB2312" w:eastAsia="仿宋_GB2312"/>
          <w:sz w:val="32"/>
          <w:szCs w:val="32"/>
        </w:rPr>
      </w:pPr>
      <w:r>
        <w:rPr>
          <w:rFonts w:hint="eastAsia" w:ascii="仿宋_GB2312" w:eastAsia="仿宋_GB2312"/>
          <w:sz w:val="32"/>
          <w:szCs w:val="32"/>
        </w:rPr>
        <w:t>2023年度政府性基金预算财政拨款支出</w:t>
      </w:r>
      <w:r>
        <w:rPr>
          <w:sz w:val="32"/>
          <w:szCs w:val="32"/>
        </w:rPr>
        <w:t>90.42</w:t>
      </w:r>
      <w:r>
        <w:rPr>
          <w:rFonts w:hint="eastAsia" w:ascii="仿宋_GB2312" w:eastAsia="仿宋_GB2312"/>
          <w:sz w:val="32"/>
          <w:szCs w:val="32"/>
        </w:rPr>
        <w:t>万元。</w:t>
      </w:r>
    </w:p>
    <w:p>
      <w:pPr>
        <w:spacing w:line="600" w:lineRule="exact"/>
        <w:ind w:firstLine="640"/>
        <w:rPr>
          <w:rFonts w:ascii="仿宋_GB2312" w:eastAsia="仿宋_GB2312"/>
          <w:sz w:val="32"/>
          <w:szCs w:val="32"/>
        </w:rPr>
      </w:pPr>
    </w:p>
    <w:p>
      <w:pPr>
        <w:numPr>
          <w:ilvl w:val="0"/>
          <w:numId w:val="4"/>
        </w:numPr>
        <w:spacing w:line="600" w:lineRule="exact"/>
        <w:ind w:firstLine="640"/>
        <w:outlineLvl w:val="1"/>
        <w:rPr>
          <w:rStyle w:val="29"/>
          <w:rFonts w:ascii="黑体" w:hAnsi="黑体" w:eastAsia="黑体"/>
          <w:b w:val="0"/>
        </w:rPr>
      </w:pPr>
      <w:bookmarkStart w:id="46" w:name="_Toc15377219"/>
      <w:bookmarkStart w:id="47" w:name="_Toc15396611"/>
      <w:r>
        <w:rPr>
          <w:rStyle w:val="29"/>
          <w:rFonts w:hint="eastAsia" w:ascii="黑体" w:hAnsi="黑体" w:eastAsia="黑体"/>
          <w:b w:val="0"/>
        </w:rPr>
        <w:t>国有资本经营预算支出决算情况说明</w:t>
      </w:r>
      <w:bookmarkEnd w:id="46"/>
      <w:bookmarkEnd w:id="47"/>
    </w:p>
    <w:p>
      <w:pPr>
        <w:spacing w:line="600" w:lineRule="exact"/>
        <w:ind w:firstLine="640"/>
        <w:rPr>
          <w:rFonts w:ascii="仿宋_GB2312" w:eastAsia="仿宋_GB2312"/>
          <w:sz w:val="32"/>
          <w:szCs w:val="32"/>
        </w:rPr>
      </w:pPr>
      <w:r>
        <w:rPr>
          <w:rFonts w:hint="eastAsia" w:ascii="仿宋_GB2312" w:eastAsia="仿宋_GB2312"/>
          <w:sz w:val="32"/>
          <w:szCs w:val="32"/>
        </w:rPr>
        <w:t>2023年度国有资本经营预算财政拨款支出</w:t>
      </w:r>
      <w:r>
        <w:rPr>
          <w:sz w:val="32"/>
          <w:szCs w:val="32"/>
        </w:rPr>
        <w:t>0</w:t>
      </w:r>
      <w:r>
        <w:rPr>
          <w:rFonts w:hint="eastAsia" w:ascii="仿宋_GB2312" w:eastAsia="仿宋_GB2312"/>
          <w:sz w:val="32"/>
          <w:szCs w:val="32"/>
        </w:rPr>
        <w:t>万元。</w:t>
      </w:r>
    </w:p>
    <w:p>
      <w:pPr>
        <w:spacing w:line="580" w:lineRule="exact"/>
        <w:jc w:val="center"/>
        <w:rPr>
          <w:rFonts w:ascii="方正小标宋简体" w:hAnsi="方正小标宋简体" w:eastAsia="方正小标宋简体" w:cs="方正小标宋简体"/>
          <w:sz w:val="44"/>
          <w:szCs w:val="44"/>
        </w:rPr>
      </w:pPr>
    </w:p>
    <w:p>
      <w:pPr>
        <w:numPr>
          <w:ilvl w:val="0"/>
          <w:numId w:val="4"/>
        </w:numPr>
        <w:spacing w:line="600" w:lineRule="exact"/>
        <w:ind w:firstLine="640"/>
        <w:outlineLvl w:val="1"/>
        <w:rPr>
          <w:rStyle w:val="29"/>
          <w:rFonts w:ascii="黑体" w:hAnsi="黑体" w:eastAsia="黑体"/>
          <w:b w:val="0"/>
        </w:rPr>
      </w:pPr>
      <w:bookmarkStart w:id="48" w:name="_Toc15377221"/>
      <w:bookmarkStart w:id="49" w:name="_Toc15396612"/>
      <w:r>
        <w:rPr>
          <w:rStyle w:val="29"/>
          <w:rFonts w:hint="eastAsia" w:ascii="黑体" w:hAnsi="黑体" w:eastAsia="黑体"/>
          <w:b w:val="0"/>
        </w:rPr>
        <w:t>其他重要事项的情况说明</w:t>
      </w:r>
      <w:bookmarkEnd w:id="48"/>
      <w:bookmarkEnd w:id="49"/>
    </w:p>
    <w:p>
      <w:pPr>
        <w:spacing w:line="600" w:lineRule="exact"/>
        <w:ind w:firstLine="643" w:firstLineChars="200"/>
        <w:outlineLvl w:val="2"/>
        <w:rPr>
          <w:rFonts w:ascii="仿宋" w:hAnsi="仿宋" w:eastAsia="仿宋"/>
          <w:sz w:val="32"/>
          <w:szCs w:val="32"/>
        </w:rPr>
      </w:pPr>
      <w:bookmarkStart w:id="50" w:name="_Toc15377222"/>
      <w:r>
        <w:rPr>
          <w:rFonts w:hint="eastAsia" w:ascii="仿宋" w:hAnsi="仿宋" w:eastAsia="仿宋"/>
          <w:b/>
          <w:sz w:val="32"/>
          <w:szCs w:val="32"/>
        </w:rPr>
        <w:t>（一）机关运行经费支出情况</w:t>
      </w:r>
      <w:bookmarkEnd w:id="50"/>
    </w:p>
    <w:p>
      <w:pPr>
        <w:spacing w:line="600" w:lineRule="exact"/>
        <w:ind w:firstLine="640" w:firstLineChars="200"/>
        <w:rPr>
          <w:rFonts w:ascii="仿宋_GB2312" w:eastAsia="仿宋_GB2312"/>
          <w:sz w:val="32"/>
          <w:szCs w:val="32"/>
        </w:rPr>
      </w:pPr>
      <w:r>
        <w:rPr>
          <w:rFonts w:hint="eastAsia" w:ascii="仿宋_GB2312" w:eastAsia="仿宋_GB2312"/>
          <w:sz w:val="32"/>
          <w:szCs w:val="32"/>
        </w:rPr>
        <w:t>2023年度，</w:t>
      </w:r>
      <w:r>
        <w:rPr>
          <w:rFonts w:hint="eastAsia"/>
          <w:sz w:val="32"/>
          <w:szCs w:val="32"/>
        </w:rPr>
        <w:t>马边彝族自治县荣丁镇人民政府</w:t>
      </w:r>
      <w:r>
        <w:rPr>
          <w:rFonts w:hint="eastAsia" w:ascii="仿宋_GB2312" w:eastAsia="仿宋_GB2312"/>
          <w:sz w:val="32"/>
          <w:szCs w:val="32"/>
        </w:rPr>
        <w:t>机关运行经费支出</w:t>
      </w:r>
      <w:r>
        <w:rPr>
          <w:sz w:val="32"/>
          <w:szCs w:val="32"/>
        </w:rPr>
        <w:t>139.32</w:t>
      </w:r>
      <w:r>
        <w:rPr>
          <w:rFonts w:hint="eastAsia" w:ascii="仿宋_GB2312" w:eastAsia="仿宋_GB2312"/>
          <w:sz w:val="32"/>
          <w:szCs w:val="32"/>
        </w:rPr>
        <w:t>万元，比2022年度增加</w:t>
      </w:r>
      <w:r>
        <w:rPr>
          <w:rFonts w:hint="eastAsia" w:ascii="仿宋_GB2312" w:eastAsia="仿宋_GB2312"/>
          <w:sz w:val="32"/>
          <w:szCs w:val="32"/>
          <w:lang w:val="en-US" w:eastAsia="zh-CN"/>
        </w:rPr>
        <w:t>5.76</w:t>
      </w:r>
      <w:r>
        <w:rPr>
          <w:rFonts w:hint="eastAsia" w:ascii="仿宋_GB2312" w:eastAsia="仿宋_GB2312"/>
          <w:sz w:val="32"/>
          <w:szCs w:val="32"/>
        </w:rPr>
        <w:t>万元，增长</w:t>
      </w:r>
      <w:r>
        <w:rPr>
          <w:rFonts w:hint="eastAsia" w:ascii="仿宋_GB2312" w:eastAsia="仿宋_GB2312"/>
          <w:sz w:val="32"/>
          <w:szCs w:val="32"/>
          <w:lang w:val="en-US" w:eastAsia="zh-CN"/>
        </w:rPr>
        <w:t>4.3</w:t>
      </w:r>
      <w:r>
        <w:rPr>
          <w:rFonts w:ascii="仿宋_GB2312" w:eastAsia="仿宋_GB2312"/>
          <w:sz w:val="32"/>
          <w:szCs w:val="32"/>
        </w:rPr>
        <w:t>%</w:t>
      </w:r>
      <w:r>
        <w:rPr>
          <w:rFonts w:hint="eastAsia" w:ascii="仿宋_GB2312" w:eastAsia="仿宋_GB2312"/>
          <w:sz w:val="32"/>
          <w:szCs w:val="32"/>
        </w:rPr>
        <w:t>（或与2022年度决算数持平）。主要原因是</w:t>
      </w:r>
      <w:r>
        <w:rPr>
          <w:rFonts w:hint="eastAsia" w:ascii="仿宋_GB2312" w:eastAsia="仿宋_GB2312"/>
          <w:sz w:val="32"/>
          <w:szCs w:val="32"/>
          <w:lang w:val="en-US" w:eastAsia="zh-CN"/>
        </w:rPr>
        <w:t>2023年都人员增加，运行经费增加</w:t>
      </w:r>
      <w:r>
        <w:rPr>
          <w:rFonts w:hint="eastAsia" w:ascii="仿宋_GB2312" w:eastAsia="仿宋_GB2312"/>
          <w:sz w:val="32"/>
          <w:szCs w:val="32"/>
        </w:rPr>
        <w:t>。</w:t>
      </w:r>
    </w:p>
    <w:p>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（注：数据来源于财决附</w:t>
      </w:r>
      <w:r>
        <w:rPr>
          <w:rFonts w:ascii="仿宋" w:hAnsi="仿宋" w:eastAsia="仿宋"/>
          <w:b/>
          <w:sz w:val="32"/>
          <w:szCs w:val="32"/>
        </w:rPr>
        <w:t>03</w:t>
      </w:r>
      <w:r>
        <w:rPr>
          <w:rFonts w:hint="eastAsia" w:ascii="仿宋" w:hAnsi="仿宋" w:eastAsia="仿宋"/>
          <w:b/>
          <w:sz w:val="32"/>
          <w:szCs w:val="32"/>
        </w:rPr>
        <w:t>表）</w:t>
      </w:r>
    </w:p>
    <w:p>
      <w:pPr>
        <w:autoSpaceDE w:val="0"/>
        <w:autoSpaceDN w:val="0"/>
        <w:adjustRightInd w:val="0"/>
        <w:spacing w:line="600" w:lineRule="exact"/>
        <w:ind w:firstLine="643" w:firstLineChars="200"/>
        <w:jc w:val="left"/>
        <w:outlineLvl w:val="2"/>
        <w:rPr>
          <w:rFonts w:ascii="仿宋" w:hAnsi="仿宋" w:eastAsia="仿宋"/>
          <w:b/>
          <w:sz w:val="32"/>
          <w:szCs w:val="32"/>
        </w:rPr>
      </w:pPr>
      <w:bookmarkStart w:id="51" w:name="_Toc15377223"/>
      <w:r>
        <w:rPr>
          <w:rFonts w:hint="eastAsia" w:ascii="仿宋" w:hAnsi="仿宋" w:eastAsia="仿宋"/>
          <w:b/>
          <w:sz w:val="32"/>
          <w:szCs w:val="32"/>
        </w:rPr>
        <w:t>（二）政府采购支出情况</w:t>
      </w:r>
      <w:bookmarkEnd w:id="51"/>
    </w:p>
    <w:p>
      <w:pPr>
        <w:spacing w:line="600" w:lineRule="exact"/>
        <w:ind w:firstLine="640" w:firstLineChars="200"/>
        <w:rPr>
          <w:rFonts w:ascii="仿宋_GB2312" w:eastAsia="仿宋_GB2312"/>
          <w:sz w:val="32"/>
          <w:szCs w:val="32"/>
        </w:rPr>
      </w:pPr>
      <w:r>
        <w:rPr>
          <w:rFonts w:hint="eastAsia" w:ascii="仿宋_GB2312" w:eastAsia="仿宋_GB2312"/>
          <w:sz w:val="32"/>
          <w:szCs w:val="32"/>
        </w:rPr>
        <w:t>2023年度，</w:t>
      </w:r>
      <w:r>
        <w:rPr>
          <w:rFonts w:hint="eastAsia"/>
          <w:sz w:val="32"/>
          <w:szCs w:val="32"/>
        </w:rPr>
        <w:t>马边彝族自治县荣丁镇人民政府</w:t>
      </w:r>
      <w:r>
        <w:rPr>
          <w:rFonts w:hint="eastAsia" w:ascii="仿宋_GB2312" w:eastAsia="仿宋_GB2312"/>
          <w:sz w:val="32"/>
          <w:szCs w:val="32"/>
        </w:rPr>
        <w:t>政府采购支出总额</w:t>
      </w:r>
      <w:r>
        <w:rPr>
          <w:sz w:val="32"/>
          <w:szCs w:val="32"/>
        </w:rPr>
        <w:t>0</w:t>
      </w:r>
      <w:r>
        <w:rPr>
          <w:rFonts w:hint="eastAsia" w:ascii="仿宋_GB2312" w:eastAsia="仿宋_GB2312"/>
          <w:sz w:val="32"/>
          <w:szCs w:val="32"/>
        </w:rPr>
        <w:t>万元，其中：政府采购货物支出</w:t>
      </w:r>
      <w:r>
        <w:rPr>
          <w:sz w:val="32"/>
          <w:szCs w:val="32"/>
        </w:rPr>
        <w:t>0</w:t>
      </w:r>
      <w:r>
        <w:rPr>
          <w:rFonts w:hint="eastAsia" w:ascii="仿宋_GB2312" w:eastAsia="仿宋_GB2312"/>
          <w:sz w:val="32"/>
          <w:szCs w:val="32"/>
        </w:rPr>
        <w:t>万元、政府采购工程支出</w:t>
      </w:r>
      <w:r>
        <w:rPr>
          <w:sz w:val="32"/>
          <w:szCs w:val="32"/>
        </w:rPr>
        <w:t>0</w:t>
      </w:r>
      <w:r>
        <w:rPr>
          <w:rFonts w:hint="eastAsia" w:ascii="仿宋_GB2312" w:eastAsia="仿宋_GB2312"/>
          <w:sz w:val="32"/>
          <w:szCs w:val="32"/>
        </w:rPr>
        <w:t>万元、政府采购服务支出</w:t>
      </w:r>
      <w:r>
        <w:rPr>
          <w:sz w:val="32"/>
          <w:szCs w:val="32"/>
        </w:rPr>
        <w:t>0</w:t>
      </w:r>
      <w:r>
        <w:rPr>
          <w:rFonts w:hint="eastAsia" w:ascii="仿宋_GB2312" w:eastAsia="仿宋_GB2312"/>
          <w:sz w:val="32"/>
          <w:szCs w:val="32"/>
        </w:rPr>
        <w:t>万元。主要用于</w:t>
      </w:r>
      <w:r>
        <w:rPr>
          <w:rFonts w:ascii="仿宋_GB2312" w:eastAsia="仿宋_GB2312"/>
          <w:sz w:val="32"/>
          <w:szCs w:val="32"/>
        </w:rPr>
        <w:t>…</w:t>
      </w:r>
      <w:r>
        <w:rPr>
          <w:rFonts w:hint="eastAsia" w:ascii="仿宋_GB2312" w:eastAsia="仿宋_GB2312"/>
          <w:sz w:val="32"/>
          <w:szCs w:val="32"/>
        </w:rPr>
        <w:t>（具体工作）。授予中小企业合同金额</w:t>
      </w:r>
      <w:r>
        <w:rPr>
          <w:sz w:val="32"/>
          <w:szCs w:val="32"/>
        </w:rPr>
        <w:t>0</w:t>
      </w:r>
      <w:r>
        <w:rPr>
          <w:rFonts w:hint="eastAsia" w:ascii="仿宋_GB2312" w:eastAsia="仿宋_GB2312"/>
          <w:sz w:val="32"/>
          <w:szCs w:val="32"/>
        </w:rPr>
        <w:t>万元，占政府采购支出总额的</w:t>
      </w:r>
      <w:r>
        <w:rPr>
          <w:sz w:val="32"/>
          <w:szCs w:val="32"/>
        </w:rPr>
        <w:t>0</w:t>
      </w:r>
      <w:r>
        <w:rPr>
          <w:rFonts w:ascii="仿宋_GB2312" w:eastAsia="仿宋_GB2312"/>
          <w:sz w:val="32"/>
          <w:szCs w:val="32"/>
        </w:rPr>
        <w:t>%</w:t>
      </w:r>
      <w:r>
        <w:rPr>
          <w:rFonts w:hint="eastAsia" w:ascii="仿宋_GB2312" w:eastAsia="仿宋_GB2312"/>
          <w:sz w:val="32"/>
          <w:szCs w:val="32"/>
        </w:rPr>
        <w:t>，其中：授予小微企业合同金额</w:t>
      </w:r>
      <w:r>
        <w:rPr>
          <w:sz w:val="32"/>
          <w:szCs w:val="32"/>
        </w:rPr>
        <w:t>0</w:t>
      </w:r>
      <w:r>
        <w:rPr>
          <w:rFonts w:hint="eastAsia" w:ascii="仿宋_GB2312" w:eastAsia="仿宋_GB2312"/>
          <w:sz w:val="32"/>
          <w:szCs w:val="32"/>
        </w:rPr>
        <w:t>万元，占政府采购支出总额的</w:t>
      </w:r>
      <w:r>
        <w:rPr>
          <w:sz w:val="32"/>
          <w:szCs w:val="32"/>
        </w:rPr>
        <w:t>0</w:t>
      </w:r>
      <w:r>
        <w:rPr>
          <w:rFonts w:ascii="仿宋_GB2312" w:eastAsia="仿宋_GB2312"/>
          <w:sz w:val="32"/>
          <w:szCs w:val="32"/>
        </w:rPr>
        <w:t>%</w:t>
      </w:r>
      <w:r>
        <w:rPr>
          <w:rFonts w:hint="eastAsia" w:ascii="仿宋_GB2312" w:eastAsia="仿宋_GB2312"/>
          <w:sz w:val="32"/>
          <w:szCs w:val="32"/>
        </w:rPr>
        <w:t>。</w:t>
      </w:r>
    </w:p>
    <w:p>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（注：数据来源于财决附</w:t>
      </w:r>
      <w:r>
        <w:rPr>
          <w:rFonts w:ascii="仿宋" w:hAnsi="仿宋" w:eastAsia="仿宋"/>
          <w:b/>
          <w:sz w:val="32"/>
          <w:szCs w:val="32"/>
        </w:rPr>
        <w:t>03</w:t>
      </w:r>
      <w:r>
        <w:rPr>
          <w:rFonts w:hint="eastAsia" w:ascii="仿宋" w:hAnsi="仿宋" w:eastAsia="仿宋"/>
          <w:b/>
          <w:sz w:val="32"/>
          <w:szCs w:val="32"/>
        </w:rPr>
        <w:t>表）</w:t>
      </w:r>
    </w:p>
    <w:p>
      <w:pPr>
        <w:autoSpaceDE w:val="0"/>
        <w:autoSpaceDN w:val="0"/>
        <w:adjustRightInd w:val="0"/>
        <w:spacing w:line="600" w:lineRule="exact"/>
        <w:ind w:firstLine="643" w:firstLineChars="200"/>
        <w:jc w:val="left"/>
        <w:outlineLvl w:val="2"/>
        <w:rPr>
          <w:rFonts w:ascii="仿宋" w:hAnsi="仿宋" w:eastAsia="仿宋"/>
          <w:b/>
          <w:sz w:val="32"/>
          <w:szCs w:val="32"/>
        </w:rPr>
      </w:pPr>
      <w:bookmarkStart w:id="52" w:name="_Toc15377224"/>
      <w:r>
        <w:rPr>
          <w:rFonts w:hint="eastAsia" w:ascii="仿宋" w:hAnsi="仿宋" w:eastAsia="仿宋"/>
          <w:b/>
          <w:sz w:val="32"/>
          <w:szCs w:val="32"/>
        </w:rPr>
        <w:t>（三）国有资产占有使用情况</w:t>
      </w:r>
      <w:bookmarkEnd w:id="52"/>
    </w:p>
    <w:p>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eastAsia="仿宋_GB2312"/>
          <w:sz w:val="32"/>
          <w:szCs w:val="32"/>
        </w:rPr>
        <w:t>截至2023年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w:t>
      </w:r>
      <w:r>
        <w:rPr>
          <w:rFonts w:hint="eastAsia"/>
          <w:sz w:val="32"/>
          <w:szCs w:val="32"/>
        </w:rPr>
        <w:t>马边彝族自治县荣丁镇人民政府</w:t>
      </w:r>
      <w:r>
        <w:rPr>
          <w:rFonts w:hint="eastAsia" w:ascii="仿宋_GB2312" w:eastAsia="仿宋_GB2312"/>
          <w:sz w:val="32"/>
          <w:szCs w:val="32"/>
        </w:rPr>
        <w:t>共有车辆</w:t>
      </w:r>
      <w:r>
        <w:rPr>
          <w:rFonts w:ascii="仿宋_GB2312" w:eastAsia="仿宋_GB2312"/>
          <w:sz w:val="32"/>
          <w:szCs w:val="32"/>
        </w:rPr>
        <w:t>1</w:t>
      </w:r>
      <w:r>
        <w:rPr>
          <w:rFonts w:hint="eastAsia" w:ascii="仿宋_GB2312" w:eastAsia="仿宋_GB2312"/>
          <w:sz w:val="32"/>
          <w:szCs w:val="32"/>
        </w:rPr>
        <w:t>辆，其中：主要领导干部用车</w:t>
      </w:r>
      <w:r>
        <w:rPr>
          <w:rFonts w:ascii="仿宋_GB2312" w:eastAsia="仿宋_GB2312"/>
          <w:sz w:val="32"/>
          <w:szCs w:val="32"/>
        </w:rPr>
        <w:t>**</w:t>
      </w:r>
      <w:r>
        <w:rPr>
          <w:rFonts w:hint="eastAsia" w:ascii="仿宋_GB2312" w:eastAsia="仿宋_GB2312"/>
          <w:sz w:val="32"/>
          <w:szCs w:val="32"/>
        </w:rPr>
        <w:t>辆、机要通信用车</w:t>
      </w:r>
      <w:r>
        <w:rPr>
          <w:rFonts w:ascii="仿宋_GB2312" w:eastAsia="仿宋_GB2312"/>
          <w:sz w:val="32"/>
          <w:szCs w:val="32"/>
        </w:rPr>
        <w:t>**</w:t>
      </w:r>
      <w:r>
        <w:rPr>
          <w:rFonts w:hint="eastAsia" w:ascii="仿宋_GB2312" w:eastAsia="仿宋_GB2312"/>
          <w:sz w:val="32"/>
          <w:szCs w:val="32"/>
        </w:rPr>
        <w:t>辆、应急保障用车</w:t>
      </w:r>
      <w:r>
        <w:rPr>
          <w:rFonts w:hint="eastAsia" w:ascii="仿宋_GB2312" w:eastAsia="仿宋_GB2312"/>
          <w:sz w:val="32"/>
          <w:szCs w:val="32"/>
          <w:lang w:val="en-US" w:eastAsia="zh-CN"/>
        </w:rPr>
        <w:t>1</w:t>
      </w:r>
      <w:r>
        <w:rPr>
          <w:rFonts w:hint="eastAsia" w:ascii="仿宋_GB2312" w:eastAsia="仿宋_GB2312"/>
          <w:sz w:val="32"/>
          <w:szCs w:val="32"/>
        </w:rPr>
        <w:t>辆、其他用车</w:t>
      </w:r>
      <w:r>
        <w:rPr>
          <w:rFonts w:ascii="仿宋_GB2312" w:eastAsia="仿宋_GB2312"/>
          <w:sz w:val="32"/>
          <w:szCs w:val="32"/>
        </w:rPr>
        <w:t>**</w:t>
      </w:r>
      <w:r>
        <w:rPr>
          <w:rFonts w:hint="eastAsia" w:ascii="仿宋_GB2312" w:eastAsia="仿宋_GB2312"/>
          <w:sz w:val="32"/>
          <w:szCs w:val="32"/>
        </w:rPr>
        <w:t>辆，其他用车主要是用于……。单价</w:t>
      </w:r>
      <w:r>
        <w:rPr>
          <w:rFonts w:ascii="仿宋_GB2312" w:eastAsia="仿宋_GB2312"/>
          <w:sz w:val="32"/>
          <w:szCs w:val="32"/>
        </w:rPr>
        <w:t>100</w:t>
      </w:r>
      <w:r>
        <w:rPr>
          <w:rFonts w:hint="eastAsia" w:ascii="仿宋_GB2312" w:eastAsia="仿宋_GB2312"/>
          <w:sz w:val="32"/>
          <w:szCs w:val="32"/>
        </w:rPr>
        <w:t>万元以上设备（不含车辆）</w:t>
      </w:r>
      <w:r>
        <w:rPr>
          <w:sz w:val="32"/>
          <w:szCs w:val="32"/>
        </w:rPr>
        <w:t>0</w:t>
      </w:r>
      <w:r>
        <w:rPr>
          <w:rFonts w:hint="eastAsia" w:ascii="仿宋_GB2312" w:eastAsia="仿宋_GB2312"/>
          <w:sz w:val="32"/>
          <w:szCs w:val="32"/>
        </w:rPr>
        <w:t>台（套）。</w:t>
      </w:r>
    </w:p>
    <w:p>
      <w:pPr>
        <w:autoSpaceDE w:val="0"/>
        <w:autoSpaceDN w:val="0"/>
        <w:adjustRightInd w:val="0"/>
        <w:spacing w:line="600" w:lineRule="exact"/>
        <w:ind w:firstLine="643" w:firstLineChars="200"/>
        <w:jc w:val="left"/>
        <w:rPr>
          <w:rFonts w:ascii="仿宋" w:hAnsi="仿宋" w:eastAsia="仿宋"/>
          <w:b/>
          <w:sz w:val="32"/>
          <w:szCs w:val="32"/>
        </w:rPr>
      </w:pPr>
      <w:r>
        <w:rPr>
          <w:rFonts w:hint="eastAsia" w:ascii="仿宋" w:hAnsi="仿宋" w:eastAsia="仿宋"/>
          <w:b/>
          <w:sz w:val="32"/>
          <w:szCs w:val="32"/>
        </w:rPr>
        <w:t>（注：数据来源于财决附</w:t>
      </w:r>
      <w:r>
        <w:rPr>
          <w:rFonts w:ascii="仿宋" w:hAnsi="仿宋" w:eastAsia="仿宋"/>
          <w:b/>
          <w:sz w:val="32"/>
          <w:szCs w:val="32"/>
        </w:rPr>
        <w:t>03</w:t>
      </w:r>
      <w:r>
        <w:rPr>
          <w:rFonts w:hint="eastAsia" w:ascii="仿宋" w:hAnsi="仿宋" w:eastAsia="仿宋"/>
          <w:b/>
          <w:sz w:val="32"/>
          <w:szCs w:val="32"/>
        </w:rPr>
        <w:t>表，按部门决算报表填报数据罗列车辆情况。）</w:t>
      </w:r>
    </w:p>
    <w:p>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根据预算绩效管理要求，本部门在2023年度预算编制阶段，组织对XX项目（项目名称）等XX个项目开展了预算事前绩效评估，对XX个项目编制了绩效目标，预算执行过程中，选取XX个项目开展绩效监控。</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组织对2023年度一般公共预算、政府性基金预算、国有资本经营预算、社会保险基金预算以及资本资产、债券资金等全面开展绩效自评，形成XX部门整体（含部门预算项目）绩效自评报告、XX等专项预算项目绩效自评报告，其中，XX部门整体（含部门预算项目）绩效自评得分为XX分，绩效自评综述：......；XX专项预算项目绩效自评得分为XX分，绩效自评综述：......。绩效自评报告详见附件。（如不涉及，可根据实际修改表述。）</w:t>
      </w:r>
    </w:p>
    <w:p>
      <w:pPr>
        <w:pStyle w:val="2"/>
        <w:jc w:val="center"/>
      </w:pPr>
      <w:r>
        <w:rPr>
          <w:rFonts w:hint="eastAsia"/>
        </w:rPr>
        <w:t>第三部分 名词解释</w:t>
      </w:r>
    </w:p>
    <w:p/>
    <w:p>
      <w:pPr>
        <w:numPr>
          <w:ilvl w:val="0"/>
          <w:numId w:val="0"/>
        </w:numPr>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财政拨款收入：指单位从同级财政部门取得的财政预算资金。</w:t>
      </w:r>
    </w:p>
    <w:p>
      <w:pPr>
        <w:numPr>
          <w:ilvl w:val="0"/>
          <w:numId w:val="0"/>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2.</w:t>
      </w:r>
      <w:r>
        <w:rPr>
          <w:rFonts w:hint="eastAsia" w:ascii="仿宋_GB2312" w:hAnsi="Times New Roman" w:eastAsia="仿宋_GB2312" w:cs="Times New Roman"/>
          <w:sz w:val="32"/>
          <w:szCs w:val="32"/>
        </w:rPr>
        <w:t>事业收入：指事业单位开展专业业务活动及辅助活动取得的收入。</w:t>
      </w:r>
    </w:p>
    <w:p>
      <w:pPr>
        <w:numPr>
          <w:ilvl w:val="0"/>
          <w:numId w:val="0"/>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3.经营收入：指事业单位在专业业务活动及其辅助活动之外开展非独立核算经营活动取得的收入。</w:t>
      </w:r>
    </w:p>
    <w:p>
      <w:pPr>
        <w:numPr>
          <w:ilvl w:val="0"/>
          <w:numId w:val="0"/>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4.其他收入：指单位取得的除上述收入以外的各项收入。</w:t>
      </w:r>
    </w:p>
    <w:p>
      <w:pPr>
        <w:numPr>
          <w:ilvl w:val="0"/>
          <w:numId w:val="0"/>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5.使用非财政拨款结余（含专用结余）：指事业单位使用以前年度积累的非财政拨款结余弥补当年收支差额的金额。</w:t>
      </w:r>
    </w:p>
    <w:p>
      <w:pPr>
        <w:numPr>
          <w:ilvl w:val="0"/>
          <w:numId w:val="0"/>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6.年初结转和结余：指以前年度尚未完成、结转到本年按有关规定继续使用的资金。</w:t>
      </w:r>
    </w:p>
    <w:p>
      <w:pPr>
        <w:numPr>
          <w:ilvl w:val="0"/>
          <w:numId w:val="0"/>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7.结余分配：指事业单位按照会计制度规定缴纳的所得税、提取的专用结余以及转入非财政拨款结余的金额等。</w:t>
      </w:r>
    </w:p>
    <w:p>
      <w:pPr>
        <w:numPr>
          <w:ilvl w:val="0"/>
          <w:numId w:val="0"/>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8.年末结转和结余：指单位按有关规定结转到下年或以后年度继续使用的资金。</w:t>
      </w:r>
    </w:p>
    <w:p>
      <w:pPr>
        <w:numPr>
          <w:ilvl w:val="0"/>
          <w:numId w:val="0"/>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9.一般公共服务（类）人大事务（款）行政运行（项）：指办公经费。一般公共服务（类）人大事务（款）人大会议（项）:指行政单位的基本支出。一般公共服务（类）政府办公厅（室）及相关机构事务（款）行政运行（项）:指行政单位的基本支出。一般公共服务（类）政府办公厅（室）及相关机构事务（款）一般行政管理事务（项）:指行政单位未单独设置项级科目的其他项目支出。一般公共服务（类）政府办公厅（室）及相关机构事务（款）事业运行（项）:指事业单位的基本支出。一般公共服务（类）民族事务（款）民族工作专项（项）：指民族事务管理方面的专项支出。一般公共服务（类）民族事务（款）其他民族事务支出（项）：指民族事务管理方面的专项支出。一般公共服务（类）组织事务（款）行政运行（项）:指行政单位的基本支出。</w:t>
      </w:r>
    </w:p>
    <w:p>
      <w:pPr>
        <w:numPr>
          <w:ilvl w:val="0"/>
          <w:numId w:val="0"/>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10.文化旅游体育与传媒（类）文化和旅游（款）其他文化和旅游支出（项）:指群众文化方面的支出，包括基层文化馆（站）、群众艺术馆支出等。文化旅游体育与传媒（类）其他文化旅游体育与传媒支出（款）宣传文化发展专项支出（项）:指对群众宣传相关政策的支出。</w:t>
      </w:r>
    </w:p>
    <w:p>
      <w:pPr>
        <w:numPr>
          <w:ilvl w:val="0"/>
          <w:numId w:val="0"/>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11.社会保障和就业支出（类）人力资源和社会保障管理事务（款）其他人力资源和社会保障管理事务支出（项）：指三支一扶的工资绩效等。社会保障和就业支出（类）行政事业单位养老支出（款）机关事业单位基本养老保险缴费支出（项）：指机关事业单位基本养老保险缴费支出。社会保障和就业支出（类）行政事业单位养老支出（款）机关事业单位职业年金缴费支出（项）：指缴纳职业年金的单位部分。社会保障和就业支出（类）其他社会保障和就业支出（款）其他社会保障和就业支出（项）：指其他社保支出。</w:t>
      </w:r>
    </w:p>
    <w:p>
      <w:pPr>
        <w:numPr>
          <w:ilvl w:val="0"/>
          <w:numId w:val="0"/>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12.卫生健康支出（类）行政事业单位医疗（款）行政单位医疗（项）:指财政安排的行政单位基本医疗保险缴费经费。卫生健康支出（类）行政事业单位医疗（款）事业单位医疗（项）:指财政安排的事业单位基本医疗保险缴费经费。</w:t>
      </w:r>
    </w:p>
    <w:p>
      <w:pPr>
        <w:numPr>
          <w:ilvl w:val="0"/>
          <w:numId w:val="0"/>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1</w:t>
      </w:r>
      <w:r>
        <w:rPr>
          <w:rFonts w:hint="eastAsia" w:ascii="仿宋_GB2312" w:hAnsi="Times New Roman" w:eastAsia="仿宋_GB2312" w:cs="Times New Roman"/>
          <w:sz w:val="32"/>
          <w:szCs w:val="32"/>
          <w:lang w:val="en-US" w:eastAsia="zh-CN"/>
        </w:rPr>
        <w:t>3</w:t>
      </w:r>
      <w:r>
        <w:rPr>
          <w:rFonts w:hint="eastAsia" w:ascii="仿宋_GB2312" w:hAnsi="Times New Roman" w:eastAsia="仿宋_GB2312" w:cs="Times New Roman"/>
          <w:sz w:val="32"/>
          <w:szCs w:val="32"/>
        </w:rPr>
        <w:t>.农林水支出（类）农业农村（款）行政运行（项）:指畜牧兽医站办公经费。农林水支出（类）巩固脱贫衔接乡村振兴（款）其他巩固脱贫衔接乡村振兴支出（项）:指反映驻村工作队员生活补助、2023年农村公路养护资金和工程项目的监理费设计费等。农林水支出（类）农村综合改革（款）对村民委员会和村党支部的补助（项）:反映对村民委员会和村党支部的补助支出，支持建立县级基本财力保障机制安排的村级组织运转奖补资金以及县级财政对农村综合改革示范试点补助、新型农业社会化服务体系建设等补助支出。农林水支出（类）农村综合改革（款）其他农村综合改革支出（项）:本单位指其他对农村的补助。</w:t>
      </w:r>
    </w:p>
    <w:p>
      <w:pPr>
        <w:numPr>
          <w:ilvl w:val="0"/>
          <w:numId w:val="0"/>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1</w:t>
      </w:r>
      <w:r>
        <w:rPr>
          <w:rFonts w:hint="eastAsia" w:ascii="仿宋_GB2312" w:hAnsi="Times New Roman" w:eastAsia="仿宋_GB2312" w:cs="Times New Roman"/>
          <w:sz w:val="32"/>
          <w:szCs w:val="32"/>
          <w:lang w:val="en-US" w:eastAsia="zh-CN"/>
        </w:rPr>
        <w:t>4</w:t>
      </w:r>
      <w:r>
        <w:rPr>
          <w:rFonts w:hint="eastAsia" w:ascii="仿宋_GB2312" w:hAnsi="Times New Roman" w:eastAsia="仿宋_GB2312" w:cs="Times New Roman"/>
          <w:sz w:val="32"/>
          <w:szCs w:val="32"/>
        </w:rPr>
        <w:t>.住房保障支出（类）住房改革支出（款）住房公积金（项）：反映行政事业单位按照人社部门、财政部门规定额基本工资和津贴补贴以及规定比例为职工缴纳的住房公积金。（解释本单位决算报表中涉及的全部功能分类科目至项级，不涉及的科目请自行删除。请参照《2023年政府收支分类科目》增减内容。）</w:t>
      </w:r>
    </w:p>
    <w:p>
      <w:pPr>
        <w:numPr>
          <w:ilvl w:val="0"/>
          <w:numId w:val="0"/>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1</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rPr>
        <w:t>.基本支出：指为保障机构正常运转、完成日常工作任务而发生的人员支出和公用支出。</w:t>
      </w:r>
    </w:p>
    <w:p>
      <w:pPr>
        <w:numPr>
          <w:ilvl w:val="0"/>
          <w:numId w:val="0"/>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1</w:t>
      </w:r>
      <w:r>
        <w:rPr>
          <w:rFonts w:hint="eastAsia" w:ascii="仿宋_GB2312" w:hAnsi="Times New Roman" w:eastAsia="仿宋_GB2312" w:cs="Times New Roman"/>
          <w:sz w:val="32"/>
          <w:szCs w:val="32"/>
          <w:lang w:val="en-US" w:eastAsia="zh-CN"/>
        </w:rPr>
        <w:t>6</w:t>
      </w:r>
      <w:r>
        <w:rPr>
          <w:rFonts w:hint="eastAsia" w:ascii="仿宋_GB2312" w:hAnsi="Times New Roman" w:eastAsia="仿宋_GB2312" w:cs="Times New Roman"/>
          <w:sz w:val="32"/>
          <w:szCs w:val="32"/>
        </w:rPr>
        <w:t>.项目支出：指在基本支出之外为完成特定行政任务 和事业发展目标所发生的支出。</w:t>
      </w:r>
    </w:p>
    <w:p>
      <w:pPr>
        <w:numPr>
          <w:ilvl w:val="0"/>
          <w:numId w:val="0"/>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1</w:t>
      </w:r>
      <w:r>
        <w:rPr>
          <w:rFonts w:hint="eastAsia" w:ascii="仿宋_GB2312" w:hAnsi="Times New Roman" w:eastAsia="仿宋_GB2312" w:cs="Times New Roman"/>
          <w:sz w:val="32"/>
          <w:szCs w:val="32"/>
          <w:lang w:val="en-US" w:eastAsia="zh-CN"/>
        </w:rPr>
        <w:t>7</w:t>
      </w:r>
      <w:r>
        <w:rPr>
          <w:rFonts w:hint="eastAsia" w:ascii="仿宋_GB2312" w:hAnsi="Times New Roman" w:eastAsia="仿宋_GB2312" w:cs="Times New Roman"/>
          <w:sz w:val="32"/>
          <w:szCs w:val="32"/>
        </w:rPr>
        <w:t>.经营支出：指事业单位在专业业务活动及其辅助活动之外开展非独立核算经营活动发生的支出。</w:t>
      </w:r>
    </w:p>
    <w:p>
      <w:pPr>
        <w:numPr>
          <w:ilvl w:val="0"/>
          <w:numId w:val="0"/>
        </w:numPr>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1</w:t>
      </w:r>
      <w:r>
        <w:rPr>
          <w:rFonts w:hint="eastAsia" w:ascii="仿宋_GB2312" w:hAnsi="Times New Roman" w:eastAsia="仿宋_GB2312" w:cs="Times New Roman"/>
          <w:sz w:val="32"/>
          <w:szCs w:val="32"/>
          <w:lang w:val="en-US" w:eastAsia="zh-CN"/>
        </w:rPr>
        <w:t>8</w:t>
      </w:r>
      <w:r>
        <w:rPr>
          <w:rFonts w:hint="eastAsia" w:ascii="仿宋_GB2312" w:hAnsi="Times New Roman" w:eastAsia="仿宋_GB2312" w:cs="Times New Roman"/>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numPr>
          <w:ilvl w:val="0"/>
          <w:numId w:val="0"/>
        </w:numPr>
        <w:ind w:firstLine="640" w:firstLineChars="200"/>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val="en-US" w:eastAsia="zh-CN"/>
        </w:rPr>
        <w:t>19</w:t>
      </w:r>
      <w:r>
        <w:rPr>
          <w:rFonts w:hint="eastAsia" w:ascii="仿宋_GB2312" w:hAnsi="Times New Roman" w:eastAsia="仿宋_GB2312" w:cs="Times New Roman"/>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hAnsi="Times New Roman" w:eastAsia="仿宋_GB2312" w:cs="Times New Roman"/>
          <w:sz w:val="32"/>
          <w:szCs w:val="32"/>
          <w:lang w:eastAsia="zh-CN"/>
        </w:rPr>
        <w:t>。</w:t>
      </w:r>
    </w:p>
    <w:p>
      <w:pPr>
        <w:ind w:firstLine="643" w:firstLineChars="200"/>
        <w:rPr>
          <w:rFonts w:ascii="仿宋" w:hAnsi="仿宋" w:eastAsia="仿宋"/>
          <w:b/>
          <w:sz w:val="32"/>
          <w:szCs w:val="32"/>
        </w:rPr>
      </w:pPr>
      <w:r>
        <w:rPr>
          <w:rFonts w:hint="eastAsia" w:ascii="仿宋" w:hAnsi="仿宋" w:eastAsia="仿宋"/>
          <w:b/>
          <w:sz w:val="32"/>
          <w:szCs w:val="32"/>
        </w:rPr>
        <w:t>（解释本部门决算报表中涉及的全部功能分类科目至项级，不涉及的科目请自行删除。请参照《2023年政府收支分类科目》增减内容。）</w:t>
      </w:r>
    </w:p>
    <w:p>
      <w:pPr>
        <w:ind w:firstLine="640" w:firstLineChars="200"/>
        <w:rPr>
          <w:rFonts w:ascii="仿宋_GB2312" w:eastAsia="仿宋_GB2312"/>
          <w:sz w:val="32"/>
          <w:szCs w:val="32"/>
        </w:rPr>
      </w:pPr>
      <w:r>
        <w:rPr>
          <w:rFonts w:hint="eastAsia" w:ascii="仿宋_GB2312" w:eastAsia="仿宋_GB2312"/>
          <w:sz w:val="32"/>
          <w:szCs w:val="32"/>
        </w:rPr>
        <w:t>27.基本支出：指为保障机构正常运转、完成日常工作任务而发生的人员支出和公用支出。</w:t>
      </w:r>
    </w:p>
    <w:p>
      <w:pPr>
        <w:ind w:firstLine="640" w:firstLineChars="200"/>
        <w:rPr>
          <w:rFonts w:ascii="仿宋_GB2312" w:eastAsia="仿宋_GB2312"/>
          <w:sz w:val="32"/>
          <w:szCs w:val="32"/>
        </w:rPr>
      </w:pPr>
      <w:r>
        <w:rPr>
          <w:rFonts w:hint="eastAsia" w:ascii="仿宋_GB2312" w:eastAsia="仿宋_GB2312"/>
          <w:sz w:val="32"/>
          <w:szCs w:val="32"/>
        </w:rPr>
        <w:t xml:space="preserve">28.项目支出：指在基本支出之外为完成特定行政任务和事业发展目标所发生的支出。 </w:t>
      </w:r>
    </w:p>
    <w:p>
      <w:pPr>
        <w:ind w:firstLine="640" w:firstLineChars="200"/>
        <w:rPr>
          <w:rFonts w:ascii="仿宋_GB2312" w:eastAsia="仿宋_GB2312"/>
          <w:sz w:val="32"/>
          <w:szCs w:val="32"/>
        </w:rPr>
      </w:pPr>
      <w:r>
        <w:rPr>
          <w:rFonts w:hint="eastAsia" w:ascii="仿宋_GB2312" w:eastAsia="仿宋_GB2312"/>
          <w:sz w:val="32"/>
          <w:szCs w:val="32"/>
        </w:rPr>
        <w:t>29.经营支出：指事业单位在专业业务活动及其辅助活动之外开展非独立核算经营活动发生的支出。</w:t>
      </w:r>
    </w:p>
    <w:p>
      <w:pPr>
        <w:ind w:firstLine="640" w:firstLineChars="200"/>
        <w:rPr>
          <w:rFonts w:ascii="仿宋_GB2312" w:eastAsia="仿宋_GB2312"/>
          <w:sz w:val="32"/>
          <w:szCs w:val="32"/>
        </w:rPr>
      </w:pPr>
      <w:r>
        <w:rPr>
          <w:rFonts w:hint="eastAsia" w:ascii="仿宋_GB2312" w:eastAsia="仿宋_GB2312"/>
          <w:sz w:val="32"/>
          <w:szCs w:val="32"/>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ind w:firstLine="640" w:firstLineChars="200"/>
        <w:rPr>
          <w:rFonts w:ascii="仿宋_GB2312" w:eastAsia="仿宋_GB2312"/>
          <w:sz w:val="32"/>
          <w:szCs w:val="32"/>
        </w:rPr>
      </w:pPr>
      <w:r>
        <w:rPr>
          <w:rFonts w:hint="eastAsia" w:ascii="仿宋_GB2312" w:eastAsia="仿宋_GB2312"/>
          <w:sz w:val="32"/>
          <w:szCs w:val="32"/>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ind w:firstLine="640" w:firstLineChars="200"/>
        <w:rPr>
          <w:rFonts w:ascii="仿宋_GB2312" w:eastAsia="仿宋_GB2312"/>
          <w:sz w:val="32"/>
          <w:szCs w:val="32"/>
        </w:rPr>
      </w:pPr>
      <w:r>
        <w:rPr>
          <w:rFonts w:hint="eastAsia" w:ascii="仿宋_GB2312" w:eastAsia="仿宋_GB2312"/>
          <w:sz w:val="32"/>
          <w:szCs w:val="32"/>
        </w:rPr>
        <w:t>32.……。</w:t>
      </w:r>
    </w:p>
    <w:p>
      <w:pPr>
        <w:ind w:firstLine="420" w:firstLineChars="200"/>
      </w:pPr>
    </w:p>
    <w:p>
      <w:pPr>
        <w:ind w:firstLine="643" w:firstLineChars="200"/>
        <w:rPr>
          <w:rFonts w:ascii="仿宋" w:hAnsi="仿宋" w:eastAsia="仿宋"/>
          <w:b/>
          <w:sz w:val="32"/>
          <w:szCs w:val="32"/>
        </w:rPr>
      </w:pPr>
      <w:r>
        <w:rPr>
          <w:rFonts w:hint="eastAsia" w:ascii="仿宋" w:hAnsi="仿宋" w:eastAsia="仿宋"/>
          <w:b/>
          <w:sz w:val="32"/>
          <w:szCs w:val="32"/>
        </w:rPr>
        <w:t>（名词解释部分请根据各部门实际列支情况罗列，并根据本部门职责职能增减名词解释内容。）</w:t>
      </w:r>
      <w:r>
        <w:rPr>
          <w:rFonts w:ascii="仿宋" w:hAnsi="仿宋" w:eastAsia="仿宋"/>
          <w:b/>
          <w:sz w:val="32"/>
          <w:szCs w:val="32"/>
        </w:rPr>
        <w:br w:type="page"/>
      </w:r>
    </w:p>
    <w:p>
      <w:pPr>
        <w:pStyle w:val="2"/>
        <w:jc w:val="center"/>
        <w:rPr>
          <w:rFonts w:ascii="黑体" w:hAnsi="黑体" w:eastAsia="黑体"/>
          <w:b w:val="0"/>
        </w:rPr>
      </w:pPr>
      <w:r>
        <w:rPr>
          <w:rFonts w:hint="eastAsia" w:ascii="黑体" w:hAnsi="黑体" w:eastAsia="黑体"/>
          <w:b w:val="0"/>
        </w:rPr>
        <w:t>第四部分 附件</w:t>
      </w:r>
    </w:p>
    <w:p>
      <w:r>
        <w:drawing>
          <wp:inline distT="0" distB="0" distL="114300" distR="114300">
            <wp:extent cx="5274310" cy="4507865"/>
            <wp:effectExtent l="0" t="0" r="8890" b="635"/>
            <wp:docPr id="1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2"/>
                    <pic:cNvPicPr>
                      <a:picLocks noChangeAspect="1"/>
                    </pic:cNvPicPr>
                  </pic:nvPicPr>
                  <pic:blipFill>
                    <a:blip r:embed="rId13"/>
                    <a:stretch>
                      <a:fillRect/>
                    </a:stretch>
                  </pic:blipFill>
                  <pic:spPr>
                    <a:xfrm>
                      <a:off x="0" y="0"/>
                      <a:ext cx="5274310" cy="4507865"/>
                    </a:xfrm>
                    <a:prstGeom prst="rect">
                      <a:avLst/>
                    </a:prstGeom>
                    <a:noFill/>
                    <a:ln>
                      <a:noFill/>
                    </a:ln>
                  </pic:spPr>
                </pic:pic>
              </a:graphicData>
            </a:graphic>
          </wp:inline>
        </w:drawing>
      </w:r>
      <w:r>
        <w:drawing>
          <wp:inline distT="0" distB="0" distL="114300" distR="114300">
            <wp:extent cx="5295900" cy="5159375"/>
            <wp:effectExtent l="0" t="0" r="0" b="9525"/>
            <wp:docPr id="1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3"/>
                    <pic:cNvPicPr>
                      <a:picLocks noChangeAspect="1"/>
                    </pic:cNvPicPr>
                  </pic:nvPicPr>
                  <pic:blipFill>
                    <a:blip r:embed="rId14"/>
                    <a:stretch>
                      <a:fillRect/>
                    </a:stretch>
                  </pic:blipFill>
                  <pic:spPr>
                    <a:xfrm>
                      <a:off x="0" y="0"/>
                      <a:ext cx="5295900" cy="5159375"/>
                    </a:xfrm>
                    <a:prstGeom prst="rect">
                      <a:avLst/>
                    </a:prstGeom>
                    <a:noFill/>
                    <a:ln>
                      <a:noFill/>
                    </a:ln>
                  </pic:spPr>
                </pic:pic>
              </a:graphicData>
            </a:graphic>
          </wp:inline>
        </w:drawing>
      </w:r>
      <w:r>
        <w:drawing>
          <wp:inline distT="0" distB="0" distL="114300" distR="114300">
            <wp:extent cx="5271770" cy="5153025"/>
            <wp:effectExtent l="0" t="0" r="11430" b="3175"/>
            <wp:docPr id="2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4"/>
                    <pic:cNvPicPr>
                      <a:picLocks noChangeAspect="1"/>
                    </pic:cNvPicPr>
                  </pic:nvPicPr>
                  <pic:blipFill>
                    <a:blip r:embed="rId15"/>
                    <a:stretch>
                      <a:fillRect/>
                    </a:stretch>
                  </pic:blipFill>
                  <pic:spPr>
                    <a:xfrm>
                      <a:off x="0" y="0"/>
                      <a:ext cx="5271770" cy="5153025"/>
                    </a:xfrm>
                    <a:prstGeom prst="rect">
                      <a:avLst/>
                    </a:prstGeom>
                    <a:noFill/>
                    <a:ln>
                      <a:noFill/>
                    </a:ln>
                  </pic:spPr>
                </pic:pic>
              </a:graphicData>
            </a:graphic>
          </wp:inline>
        </w:drawing>
      </w:r>
      <w:r>
        <w:drawing>
          <wp:inline distT="0" distB="0" distL="114300" distR="114300">
            <wp:extent cx="5389245" cy="5367020"/>
            <wp:effectExtent l="0" t="0" r="8255" b="5080"/>
            <wp:docPr id="2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5"/>
                    <pic:cNvPicPr>
                      <a:picLocks noChangeAspect="1"/>
                    </pic:cNvPicPr>
                  </pic:nvPicPr>
                  <pic:blipFill>
                    <a:blip r:embed="rId16"/>
                    <a:stretch>
                      <a:fillRect/>
                    </a:stretch>
                  </pic:blipFill>
                  <pic:spPr>
                    <a:xfrm>
                      <a:off x="0" y="0"/>
                      <a:ext cx="5389245" cy="5367020"/>
                    </a:xfrm>
                    <a:prstGeom prst="rect">
                      <a:avLst/>
                    </a:prstGeom>
                    <a:noFill/>
                    <a:ln>
                      <a:noFill/>
                    </a:ln>
                  </pic:spPr>
                </pic:pic>
              </a:graphicData>
            </a:graphic>
          </wp:inline>
        </w:drawing>
      </w:r>
      <w:r>
        <w:drawing>
          <wp:inline distT="0" distB="0" distL="114300" distR="114300">
            <wp:extent cx="5607050" cy="4994275"/>
            <wp:effectExtent l="0" t="0" r="6350" b="9525"/>
            <wp:docPr id="2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6"/>
                    <pic:cNvPicPr>
                      <a:picLocks noChangeAspect="1"/>
                    </pic:cNvPicPr>
                  </pic:nvPicPr>
                  <pic:blipFill>
                    <a:blip r:embed="rId17"/>
                    <a:stretch>
                      <a:fillRect/>
                    </a:stretch>
                  </pic:blipFill>
                  <pic:spPr>
                    <a:xfrm>
                      <a:off x="0" y="0"/>
                      <a:ext cx="5607050" cy="4994275"/>
                    </a:xfrm>
                    <a:prstGeom prst="rect">
                      <a:avLst/>
                    </a:prstGeom>
                    <a:noFill/>
                    <a:ln>
                      <a:noFill/>
                    </a:ln>
                  </pic:spPr>
                </pic:pic>
              </a:graphicData>
            </a:graphic>
          </wp:inline>
        </w:drawing>
      </w:r>
      <w:r>
        <w:drawing>
          <wp:inline distT="0" distB="0" distL="114300" distR="114300">
            <wp:extent cx="5419725" cy="5346700"/>
            <wp:effectExtent l="0" t="0" r="3175" b="0"/>
            <wp:docPr id="2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7"/>
                    <pic:cNvPicPr>
                      <a:picLocks noChangeAspect="1"/>
                    </pic:cNvPicPr>
                  </pic:nvPicPr>
                  <pic:blipFill>
                    <a:blip r:embed="rId18"/>
                    <a:stretch>
                      <a:fillRect/>
                    </a:stretch>
                  </pic:blipFill>
                  <pic:spPr>
                    <a:xfrm>
                      <a:off x="0" y="0"/>
                      <a:ext cx="5419725" cy="5346700"/>
                    </a:xfrm>
                    <a:prstGeom prst="rect">
                      <a:avLst/>
                    </a:prstGeom>
                    <a:noFill/>
                    <a:ln>
                      <a:noFill/>
                    </a:ln>
                  </pic:spPr>
                </pic:pic>
              </a:graphicData>
            </a:graphic>
          </wp:inline>
        </w:drawing>
      </w:r>
    </w:p>
    <w:p>
      <w:r>
        <w:drawing>
          <wp:inline distT="0" distB="0" distL="114300" distR="114300">
            <wp:extent cx="5283835" cy="5283835"/>
            <wp:effectExtent l="0" t="0" r="12065" b="12065"/>
            <wp:docPr id="2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8"/>
                    <pic:cNvPicPr>
                      <a:picLocks noChangeAspect="1"/>
                    </pic:cNvPicPr>
                  </pic:nvPicPr>
                  <pic:blipFill>
                    <a:blip r:embed="rId19"/>
                    <a:stretch>
                      <a:fillRect/>
                    </a:stretch>
                  </pic:blipFill>
                  <pic:spPr>
                    <a:xfrm>
                      <a:off x="0" y="0"/>
                      <a:ext cx="5283835" cy="5283835"/>
                    </a:xfrm>
                    <a:prstGeom prst="rect">
                      <a:avLst/>
                    </a:prstGeom>
                    <a:noFill/>
                    <a:ln>
                      <a:noFill/>
                    </a:ln>
                  </pic:spPr>
                </pic:pic>
              </a:graphicData>
            </a:graphic>
          </wp:inline>
        </w:drawing>
      </w:r>
    </w:p>
    <w:p>
      <w:r>
        <w:drawing>
          <wp:inline distT="0" distB="0" distL="114300" distR="114300">
            <wp:extent cx="5271135" cy="4785360"/>
            <wp:effectExtent l="0" t="0" r="12065" b="2540"/>
            <wp:docPr id="2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9"/>
                    <pic:cNvPicPr>
                      <a:picLocks noChangeAspect="1"/>
                    </pic:cNvPicPr>
                  </pic:nvPicPr>
                  <pic:blipFill>
                    <a:blip r:embed="rId20"/>
                    <a:stretch>
                      <a:fillRect/>
                    </a:stretch>
                  </pic:blipFill>
                  <pic:spPr>
                    <a:xfrm>
                      <a:off x="0" y="0"/>
                      <a:ext cx="5271135" cy="4785360"/>
                    </a:xfrm>
                    <a:prstGeom prst="rect">
                      <a:avLst/>
                    </a:prstGeom>
                    <a:noFill/>
                    <a:ln>
                      <a:noFill/>
                    </a:ln>
                  </pic:spPr>
                </pic:pic>
              </a:graphicData>
            </a:graphic>
          </wp:inline>
        </w:drawing>
      </w:r>
      <w:r>
        <w:drawing>
          <wp:inline distT="0" distB="0" distL="114300" distR="114300">
            <wp:extent cx="5417820" cy="5332095"/>
            <wp:effectExtent l="0" t="0" r="5080" b="1905"/>
            <wp:docPr id="2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0"/>
                    <pic:cNvPicPr>
                      <a:picLocks noChangeAspect="1"/>
                    </pic:cNvPicPr>
                  </pic:nvPicPr>
                  <pic:blipFill>
                    <a:blip r:embed="rId21"/>
                    <a:stretch>
                      <a:fillRect/>
                    </a:stretch>
                  </pic:blipFill>
                  <pic:spPr>
                    <a:xfrm>
                      <a:off x="0" y="0"/>
                      <a:ext cx="5417820" cy="5332095"/>
                    </a:xfrm>
                    <a:prstGeom prst="rect">
                      <a:avLst/>
                    </a:prstGeom>
                    <a:noFill/>
                    <a:ln>
                      <a:noFill/>
                    </a:ln>
                  </pic:spPr>
                </pic:pic>
              </a:graphicData>
            </a:graphic>
          </wp:inline>
        </w:drawing>
      </w:r>
    </w:p>
    <w:p/>
    <w:p/>
    <w:p/>
    <w:p/>
    <w:p/>
    <w:p/>
    <w:p/>
    <w:p/>
    <w:p/>
    <w:p/>
    <w:p/>
    <w:p/>
    <w:p/>
    <w:p/>
    <w:p/>
    <w:p/>
    <w:p/>
    <w:p/>
    <w:p/>
    <w:p/>
    <w:p/>
    <w:p/>
    <w:p/>
    <w:p/>
    <w:p/>
    <w:p/>
    <w:p/>
    <w:p/>
    <w:p/>
    <w:p/>
    <w:p/>
    <w:p/>
    <w:p/>
    <w:p/>
    <w:p/>
    <w:p/>
    <w:p/>
    <w:p/>
    <w:p>
      <w:pPr>
        <w:pStyle w:val="2"/>
        <w:jc w:val="center"/>
        <w:rPr>
          <w:rFonts w:ascii="黑体" w:hAnsi="黑体" w:eastAsia="黑体"/>
        </w:rPr>
      </w:pPr>
      <w:r>
        <w:rPr>
          <w:rFonts w:hint="eastAsia" w:ascii="黑体" w:hAnsi="黑体" w:eastAsia="黑体"/>
        </w:rPr>
        <w:t>第五部分 附表</w:t>
      </w:r>
    </w:p>
    <w:p>
      <w:pPr>
        <w:rPr>
          <w:rFonts w:ascii="仿宋" w:hAnsi="仿宋" w:eastAsia="仿宋"/>
          <w:sz w:val="32"/>
          <w:szCs w:val="32"/>
        </w:rPr>
      </w:pPr>
      <w:r>
        <w:rPr>
          <w:rFonts w:hint="eastAsia" w:ascii="仿宋" w:hAnsi="仿宋" w:eastAsia="仿宋"/>
          <w:sz w:val="32"/>
          <w:szCs w:val="32"/>
        </w:rPr>
        <w:t>一、收入支出决算总表</w:t>
      </w:r>
    </w:p>
    <w:p>
      <w:pPr>
        <w:rPr>
          <w:rFonts w:ascii="仿宋" w:hAnsi="仿宋" w:eastAsia="仿宋"/>
          <w:sz w:val="32"/>
          <w:szCs w:val="32"/>
        </w:rPr>
      </w:pPr>
      <w:r>
        <w:rPr>
          <w:rFonts w:hint="eastAsia" w:ascii="仿宋" w:hAnsi="仿宋" w:eastAsia="仿宋"/>
          <w:sz w:val="32"/>
          <w:szCs w:val="32"/>
        </w:rPr>
        <w:t>二、收入决算表</w:t>
      </w:r>
    </w:p>
    <w:p>
      <w:pPr>
        <w:rPr>
          <w:rFonts w:ascii="仿宋" w:hAnsi="仿宋" w:eastAsia="仿宋"/>
          <w:sz w:val="32"/>
          <w:szCs w:val="32"/>
        </w:rPr>
      </w:pPr>
      <w:r>
        <w:rPr>
          <w:rFonts w:hint="eastAsia" w:ascii="仿宋" w:hAnsi="仿宋" w:eastAsia="仿宋"/>
          <w:sz w:val="32"/>
          <w:szCs w:val="32"/>
        </w:rPr>
        <w:t>三、支出决算表</w:t>
      </w:r>
    </w:p>
    <w:p>
      <w:pPr>
        <w:rPr>
          <w:rFonts w:ascii="仿宋" w:hAnsi="仿宋" w:eastAsia="仿宋"/>
          <w:sz w:val="32"/>
          <w:szCs w:val="32"/>
        </w:rPr>
      </w:pPr>
      <w:r>
        <w:rPr>
          <w:rFonts w:hint="eastAsia" w:ascii="仿宋" w:hAnsi="仿宋" w:eastAsia="仿宋"/>
          <w:sz w:val="32"/>
          <w:szCs w:val="32"/>
        </w:rPr>
        <w:t>四、财政拨款收入支出决算总表</w:t>
      </w:r>
    </w:p>
    <w:p>
      <w:pPr>
        <w:rPr>
          <w:rFonts w:ascii="仿宋" w:hAnsi="仿宋" w:eastAsia="仿宋"/>
          <w:sz w:val="32"/>
          <w:szCs w:val="32"/>
        </w:rPr>
      </w:pPr>
      <w:r>
        <w:rPr>
          <w:rFonts w:hint="eastAsia" w:ascii="仿宋" w:hAnsi="仿宋" w:eastAsia="仿宋"/>
          <w:sz w:val="32"/>
          <w:szCs w:val="32"/>
        </w:rPr>
        <w:t>五、财政拨款支出决算明细表</w:t>
      </w:r>
    </w:p>
    <w:p>
      <w:pPr>
        <w:rPr>
          <w:rFonts w:ascii="仿宋" w:hAnsi="仿宋" w:eastAsia="仿宋"/>
          <w:sz w:val="32"/>
          <w:szCs w:val="32"/>
        </w:rPr>
      </w:pPr>
      <w:r>
        <w:rPr>
          <w:rFonts w:hint="eastAsia" w:ascii="仿宋" w:hAnsi="仿宋" w:eastAsia="仿宋"/>
          <w:sz w:val="32"/>
          <w:szCs w:val="32"/>
        </w:rPr>
        <w:t>六、一般公共预算财政拨款支出决算表</w:t>
      </w:r>
    </w:p>
    <w:p>
      <w:pPr>
        <w:rPr>
          <w:rFonts w:ascii="仿宋" w:hAnsi="仿宋" w:eastAsia="仿宋"/>
          <w:sz w:val="32"/>
          <w:szCs w:val="32"/>
        </w:rPr>
      </w:pPr>
      <w:r>
        <w:rPr>
          <w:rFonts w:hint="eastAsia" w:ascii="仿宋" w:hAnsi="仿宋" w:eastAsia="仿宋"/>
          <w:sz w:val="32"/>
          <w:szCs w:val="32"/>
        </w:rPr>
        <w:t>七、一般公共预算财政拨款支出决算明细表</w:t>
      </w:r>
    </w:p>
    <w:p>
      <w:pPr>
        <w:rPr>
          <w:rFonts w:ascii="仿宋" w:hAnsi="仿宋" w:eastAsia="仿宋"/>
          <w:sz w:val="32"/>
          <w:szCs w:val="32"/>
        </w:rPr>
      </w:pPr>
      <w:r>
        <w:rPr>
          <w:rFonts w:hint="eastAsia" w:ascii="仿宋" w:hAnsi="仿宋" w:eastAsia="仿宋"/>
          <w:sz w:val="32"/>
          <w:szCs w:val="32"/>
        </w:rPr>
        <w:t>八、一般公共预算财政拨款基本支出决算表</w:t>
      </w:r>
    </w:p>
    <w:p>
      <w:pPr>
        <w:rPr>
          <w:rFonts w:ascii="仿宋" w:hAnsi="仿宋" w:eastAsia="仿宋"/>
          <w:sz w:val="32"/>
          <w:szCs w:val="32"/>
        </w:rPr>
      </w:pPr>
      <w:r>
        <w:rPr>
          <w:rFonts w:hint="eastAsia" w:ascii="仿宋" w:hAnsi="仿宋" w:eastAsia="仿宋"/>
          <w:sz w:val="32"/>
          <w:szCs w:val="32"/>
        </w:rPr>
        <w:t>九、一般公共预算财政拨款项目支出决算表</w:t>
      </w:r>
    </w:p>
    <w:p>
      <w:pPr>
        <w:rPr>
          <w:rFonts w:ascii="仿宋" w:hAnsi="仿宋" w:eastAsia="仿宋"/>
          <w:sz w:val="32"/>
          <w:szCs w:val="32"/>
        </w:rPr>
      </w:pPr>
      <w:r>
        <w:rPr>
          <w:rFonts w:hint="eastAsia" w:ascii="仿宋" w:hAnsi="仿宋" w:eastAsia="仿宋"/>
          <w:sz w:val="32"/>
          <w:szCs w:val="32"/>
        </w:rPr>
        <w:t>十、政府性基金预算财政拨款收入支出决算表</w:t>
      </w:r>
    </w:p>
    <w:p>
      <w:pPr>
        <w:rPr>
          <w:rFonts w:ascii="仿宋" w:hAnsi="仿宋" w:eastAsia="仿宋"/>
          <w:sz w:val="32"/>
          <w:szCs w:val="32"/>
        </w:rPr>
      </w:pPr>
      <w:r>
        <w:rPr>
          <w:rFonts w:hint="eastAsia" w:ascii="仿宋" w:hAnsi="仿宋" w:eastAsia="仿宋"/>
          <w:sz w:val="32"/>
          <w:szCs w:val="32"/>
        </w:rPr>
        <w:t>十一、国有资本经营预算财政拨款收入支出决算表</w:t>
      </w:r>
    </w:p>
    <w:p>
      <w:pPr>
        <w:rPr>
          <w:rFonts w:ascii="仿宋" w:hAnsi="仿宋" w:eastAsia="仿宋"/>
          <w:sz w:val="32"/>
          <w:szCs w:val="32"/>
        </w:rPr>
      </w:pPr>
      <w:r>
        <w:rPr>
          <w:rFonts w:hint="eastAsia" w:ascii="仿宋" w:hAnsi="仿宋" w:eastAsia="仿宋"/>
          <w:sz w:val="32"/>
          <w:szCs w:val="32"/>
        </w:rPr>
        <w:t>十二、国有资本经营预算财政拨款支出决算表</w:t>
      </w:r>
    </w:p>
    <w:p>
      <w:pPr>
        <w:rPr>
          <w:rFonts w:ascii="仿宋" w:hAnsi="仿宋" w:eastAsia="仿宋"/>
          <w:sz w:val="32"/>
          <w:szCs w:val="32"/>
        </w:rPr>
      </w:pPr>
      <w:r>
        <w:rPr>
          <w:rFonts w:hint="eastAsia" w:ascii="仿宋" w:hAnsi="仿宋" w:eastAsia="仿宋"/>
          <w:sz w:val="32"/>
          <w:szCs w:val="32"/>
        </w:rPr>
        <w:t>十三、财政拨款“三公”经费支出决算表</w:t>
      </w: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pPr>
          <w:pStyle w:val="9"/>
          <w:jc w:val="center"/>
        </w:pPr>
        <w:r>
          <w:fldChar w:fldCharType="begin"/>
        </w:r>
        <w:r>
          <w:instrText xml:space="preserve">PAGE   \* MERGEFORMAT</w:instrText>
        </w:r>
        <w:r>
          <w:fldChar w:fldCharType="separate"/>
        </w:r>
        <w:r>
          <w:rPr>
            <w:lang w:val="zh-CN"/>
          </w:rPr>
          <w:t>23</w:t>
        </w:r>
        <w:r>
          <w:fldChar w:fldCharType="end"/>
        </w:r>
      </w:p>
    </w:sdtContent>
  </w:sdt>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2">
    <w:nsid w:val="251D3A4F"/>
    <w:multiLevelType w:val="singleLevel"/>
    <w:tmpl w:val="251D3A4F"/>
    <w:lvl w:ilvl="0" w:tentative="0">
      <w:start w:val="1"/>
      <w:numFmt w:val="chineseCounting"/>
      <w:suff w:val="nothing"/>
      <w:lvlText w:val="%1、"/>
      <w:lvlJc w:val="left"/>
      <w:rPr>
        <w:rFonts w:hint="eastAsia"/>
      </w:rPr>
    </w:lvl>
  </w:abstractNum>
  <w:abstractNum w:abstractNumId="3">
    <w:nsid w:val="3C4CA41C"/>
    <w:multiLevelType w:val="singleLevel"/>
    <w:tmpl w:val="3C4CA41C"/>
    <w:lvl w:ilvl="0" w:tentative="0">
      <w:start w:val="1"/>
      <w:numFmt w:val="decimal"/>
      <w:lvlText w:val="%1."/>
      <w:lvlJc w:val="left"/>
      <w:pPr>
        <w:tabs>
          <w:tab w:val="left" w:pos="312"/>
        </w:tabs>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Q1NTI0ZmNlZGFiZDg4NThhZDQ1M2IxN2FhYjI1ZDAifQ=="/>
  </w:docVars>
  <w:rsids>
    <w:rsidRoot w:val="00F1361C"/>
    <w:rsid w:val="00014A1C"/>
    <w:rsid w:val="000222C6"/>
    <w:rsid w:val="0002549F"/>
    <w:rsid w:val="00035392"/>
    <w:rsid w:val="000468DB"/>
    <w:rsid w:val="0006487A"/>
    <w:rsid w:val="00065F8F"/>
    <w:rsid w:val="00070A43"/>
    <w:rsid w:val="000768F2"/>
    <w:rsid w:val="00082EAC"/>
    <w:rsid w:val="0009184B"/>
    <w:rsid w:val="00094236"/>
    <w:rsid w:val="0009593C"/>
    <w:rsid w:val="00097322"/>
    <w:rsid w:val="00097358"/>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30E5"/>
    <w:rsid w:val="00174518"/>
    <w:rsid w:val="0018106D"/>
    <w:rsid w:val="001877A7"/>
    <w:rsid w:val="00191536"/>
    <w:rsid w:val="00196687"/>
    <w:rsid w:val="001C0962"/>
    <w:rsid w:val="001C2738"/>
    <w:rsid w:val="001D7531"/>
    <w:rsid w:val="001E737D"/>
    <w:rsid w:val="001F0592"/>
    <w:rsid w:val="001F6419"/>
    <w:rsid w:val="001F7506"/>
    <w:rsid w:val="002006CD"/>
    <w:rsid w:val="00202B36"/>
    <w:rsid w:val="00204B7A"/>
    <w:rsid w:val="00204CDE"/>
    <w:rsid w:val="0021101A"/>
    <w:rsid w:val="00220536"/>
    <w:rsid w:val="00235629"/>
    <w:rsid w:val="00260289"/>
    <w:rsid w:val="00260C38"/>
    <w:rsid w:val="002616C0"/>
    <w:rsid w:val="002643DB"/>
    <w:rsid w:val="00265372"/>
    <w:rsid w:val="002662AA"/>
    <w:rsid w:val="00280496"/>
    <w:rsid w:val="00283D47"/>
    <w:rsid w:val="00294DC9"/>
    <w:rsid w:val="00295495"/>
    <w:rsid w:val="002A31DE"/>
    <w:rsid w:val="002A62F7"/>
    <w:rsid w:val="002B2613"/>
    <w:rsid w:val="002C1468"/>
    <w:rsid w:val="002D6D05"/>
    <w:rsid w:val="002F1818"/>
    <w:rsid w:val="002F5109"/>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2919"/>
    <w:rsid w:val="003D66DA"/>
    <w:rsid w:val="003E1310"/>
    <w:rsid w:val="003E2E6A"/>
    <w:rsid w:val="003E6F55"/>
    <w:rsid w:val="00406254"/>
    <w:rsid w:val="00410559"/>
    <w:rsid w:val="0041585D"/>
    <w:rsid w:val="00420B47"/>
    <w:rsid w:val="004223DE"/>
    <w:rsid w:val="00434489"/>
    <w:rsid w:val="00437085"/>
    <w:rsid w:val="00443880"/>
    <w:rsid w:val="004464F4"/>
    <w:rsid w:val="00447329"/>
    <w:rsid w:val="00471401"/>
    <w:rsid w:val="00473F31"/>
    <w:rsid w:val="0048263A"/>
    <w:rsid w:val="004826A2"/>
    <w:rsid w:val="00487E5D"/>
    <w:rsid w:val="004A711F"/>
    <w:rsid w:val="004B199D"/>
    <w:rsid w:val="004B4690"/>
    <w:rsid w:val="004E0A2D"/>
    <w:rsid w:val="004E206B"/>
    <w:rsid w:val="004E3607"/>
    <w:rsid w:val="004E6DF7"/>
    <w:rsid w:val="004F0FBD"/>
    <w:rsid w:val="00505A47"/>
    <w:rsid w:val="00512FDA"/>
    <w:rsid w:val="00520DA0"/>
    <w:rsid w:val="005664BB"/>
    <w:rsid w:val="00566FFA"/>
    <w:rsid w:val="0057481D"/>
    <w:rsid w:val="0058486E"/>
    <w:rsid w:val="00585B33"/>
    <w:rsid w:val="0059014D"/>
    <w:rsid w:val="005A09FD"/>
    <w:rsid w:val="005B0198"/>
    <w:rsid w:val="005B321C"/>
    <w:rsid w:val="005B5C64"/>
    <w:rsid w:val="005C5337"/>
    <w:rsid w:val="005C6BD0"/>
    <w:rsid w:val="005D1C8B"/>
    <w:rsid w:val="005D468D"/>
    <w:rsid w:val="005D5CED"/>
    <w:rsid w:val="005F1A4C"/>
    <w:rsid w:val="00605688"/>
    <w:rsid w:val="006070AF"/>
    <w:rsid w:val="00607E6C"/>
    <w:rsid w:val="006101B1"/>
    <w:rsid w:val="00614E44"/>
    <w:rsid w:val="00620030"/>
    <w:rsid w:val="0062270A"/>
    <w:rsid w:val="00622830"/>
    <w:rsid w:val="00623DA0"/>
    <w:rsid w:val="00630AEF"/>
    <w:rsid w:val="006325F8"/>
    <w:rsid w:val="00633463"/>
    <w:rsid w:val="00634C9A"/>
    <w:rsid w:val="00640417"/>
    <w:rsid w:val="00641F56"/>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516B"/>
    <w:rsid w:val="00746F48"/>
    <w:rsid w:val="0075404D"/>
    <w:rsid w:val="0076182A"/>
    <w:rsid w:val="00762406"/>
    <w:rsid w:val="0076493D"/>
    <w:rsid w:val="00767B7E"/>
    <w:rsid w:val="007770C3"/>
    <w:rsid w:val="00784D24"/>
    <w:rsid w:val="00785FBA"/>
    <w:rsid w:val="00786E4A"/>
    <w:rsid w:val="007875EB"/>
    <w:rsid w:val="0079426B"/>
    <w:rsid w:val="007D1682"/>
    <w:rsid w:val="007D312A"/>
    <w:rsid w:val="007D3F19"/>
    <w:rsid w:val="007E23B0"/>
    <w:rsid w:val="007E23E5"/>
    <w:rsid w:val="007E6A82"/>
    <w:rsid w:val="007F1991"/>
    <w:rsid w:val="007F2C2F"/>
    <w:rsid w:val="007F55FC"/>
    <w:rsid w:val="007F5665"/>
    <w:rsid w:val="007F7385"/>
    <w:rsid w:val="00800112"/>
    <w:rsid w:val="00813348"/>
    <w:rsid w:val="008253BB"/>
    <w:rsid w:val="0083706E"/>
    <w:rsid w:val="008408F6"/>
    <w:rsid w:val="008423A5"/>
    <w:rsid w:val="00850625"/>
    <w:rsid w:val="00853718"/>
    <w:rsid w:val="00855221"/>
    <w:rsid w:val="00860645"/>
    <w:rsid w:val="00871F71"/>
    <w:rsid w:val="00872FD8"/>
    <w:rsid w:val="00875641"/>
    <w:rsid w:val="00885AF4"/>
    <w:rsid w:val="00887F08"/>
    <w:rsid w:val="008914B9"/>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F0"/>
    <w:rsid w:val="00935C98"/>
    <w:rsid w:val="00946945"/>
    <w:rsid w:val="00951248"/>
    <w:rsid w:val="0095152F"/>
    <w:rsid w:val="009546E4"/>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E50C8"/>
    <w:rsid w:val="009F1185"/>
    <w:rsid w:val="009F18CD"/>
    <w:rsid w:val="009F2A13"/>
    <w:rsid w:val="009F7527"/>
    <w:rsid w:val="00A04EB0"/>
    <w:rsid w:val="00A13CC1"/>
    <w:rsid w:val="00A16847"/>
    <w:rsid w:val="00A237D8"/>
    <w:rsid w:val="00A25C9F"/>
    <w:rsid w:val="00A268C4"/>
    <w:rsid w:val="00A27C77"/>
    <w:rsid w:val="00A307CD"/>
    <w:rsid w:val="00A331C8"/>
    <w:rsid w:val="00A40A00"/>
    <w:rsid w:val="00A4142F"/>
    <w:rsid w:val="00A422EB"/>
    <w:rsid w:val="00A45BB7"/>
    <w:rsid w:val="00A56DF2"/>
    <w:rsid w:val="00A56E6E"/>
    <w:rsid w:val="00A67AB5"/>
    <w:rsid w:val="00A733B2"/>
    <w:rsid w:val="00A741C2"/>
    <w:rsid w:val="00A74A9E"/>
    <w:rsid w:val="00A91760"/>
    <w:rsid w:val="00A93B00"/>
    <w:rsid w:val="00A93C21"/>
    <w:rsid w:val="00AB64C9"/>
    <w:rsid w:val="00AC2E50"/>
    <w:rsid w:val="00AC3C6A"/>
    <w:rsid w:val="00AD5620"/>
    <w:rsid w:val="00AD656B"/>
    <w:rsid w:val="00AD7C1B"/>
    <w:rsid w:val="00AE16BA"/>
    <w:rsid w:val="00AE1EBE"/>
    <w:rsid w:val="00B03C9D"/>
    <w:rsid w:val="00B060AE"/>
    <w:rsid w:val="00B10517"/>
    <w:rsid w:val="00B12E8B"/>
    <w:rsid w:val="00B14E76"/>
    <w:rsid w:val="00B161B8"/>
    <w:rsid w:val="00B2048C"/>
    <w:rsid w:val="00B310B9"/>
    <w:rsid w:val="00B35F3F"/>
    <w:rsid w:val="00B36CBB"/>
    <w:rsid w:val="00B411A6"/>
    <w:rsid w:val="00B425E0"/>
    <w:rsid w:val="00B440AA"/>
    <w:rsid w:val="00B44B70"/>
    <w:rsid w:val="00B53C56"/>
    <w:rsid w:val="00B57DAF"/>
    <w:rsid w:val="00B76F9D"/>
    <w:rsid w:val="00B77EA6"/>
    <w:rsid w:val="00B81598"/>
    <w:rsid w:val="00B841F1"/>
    <w:rsid w:val="00B944D6"/>
    <w:rsid w:val="00BA579E"/>
    <w:rsid w:val="00BB4DF0"/>
    <w:rsid w:val="00BC289F"/>
    <w:rsid w:val="00BC2D50"/>
    <w:rsid w:val="00BC5361"/>
    <w:rsid w:val="00BC5460"/>
    <w:rsid w:val="00BC6B50"/>
    <w:rsid w:val="00BD0E25"/>
    <w:rsid w:val="00BF5BD6"/>
    <w:rsid w:val="00C03E31"/>
    <w:rsid w:val="00C33E72"/>
    <w:rsid w:val="00C354B2"/>
    <w:rsid w:val="00C35554"/>
    <w:rsid w:val="00C42709"/>
    <w:rsid w:val="00C46119"/>
    <w:rsid w:val="00C533CC"/>
    <w:rsid w:val="00C5751C"/>
    <w:rsid w:val="00C61BFC"/>
    <w:rsid w:val="00C62B85"/>
    <w:rsid w:val="00C65438"/>
    <w:rsid w:val="00C860D5"/>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950A1"/>
    <w:rsid w:val="00DA634F"/>
    <w:rsid w:val="00DA65AC"/>
    <w:rsid w:val="00DB1913"/>
    <w:rsid w:val="00DC410D"/>
    <w:rsid w:val="00DC5A81"/>
    <w:rsid w:val="00DC68CA"/>
    <w:rsid w:val="00DC7CBA"/>
    <w:rsid w:val="00DD73B7"/>
    <w:rsid w:val="00DF24DF"/>
    <w:rsid w:val="00DF28BC"/>
    <w:rsid w:val="00DF34B9"/>
    <w:rsid w:val="00E01053"/>
    <w:rsid w:val="00E01B70"/>
    <w:rsid w:val="00E07ACF"/>
    <w:rsid w:val="00E11813"/>
    <w:rsid w:val="00E331A1"/>
    <w:rsid w:val="00E33202"/>
    <w:rsid w:val="00E336A9"/>
    <w:rsid w:val="00E472B1"/>
    <w:rsid w:val="00E50624"/>
    <w:rsid w:val="00E568DF"/>
    <w:rsid w:val="00E64269"/>
    <w:rsid w:val="00E82267"/>
    <w:rsid w:val="00E853CE"/>
    <w:rsid w:val="00E867B6"/>
    <w:rsid w:val="00EA010F"/>
    <w:rsid w:val="00EB0FAE"/>
    <w:rsid w:val="00ED1B63"/>
    <w:rsid w:val="00ED3C1F"/>
    <w:rsid w:val="00ED4085"/>
    <w:rsid w:val="00ED420E"/>
    <w:rsid w:val="00ED6FBE"/>
    <w:rsid w:val="00EE2F57"/>
    <w:rsid w:val="00EF4C34"/>
    <w:rsid w:val="00EF77C6"/>
    <w:rsid w:val="00F03938"/>
    <w:rsid w:val="00F05438"/>
    <w:rsid w:val="00F1361C"/>
    <w:rsid w:val="00F156F0"/>
    <w:rsid w:val="00F160C7"/>
    <w:rsid w:val="00F2408F"/>
    <w:rsid w:val="00F240E9"/>
    <w:rsid w:val="00F36D8F"/>
    <w:rsid w:val="00F417B1"/>
    <w:rsid w:val="00F45853"/>
    <w:rsid w:val="00F5561B"/>
    <w:rsid w:val="00F602DF"/>
    <w:rsid w:val="00F754A1"/>
    <w:rsid w:val="00F81FD9"/>
    <w:rsid w:val="00F841AA"/>
    <w:rsid w:val="00F84A94"/>
    <w:rsid w:val="00F87E96"/>
    <w:rsid w:val="00FA23E8"/>
    <w:rsid w:val="00FA789D"/>
    <w:rsid w:val="00FC7DA4"/>
    <w:rsid w:val="00FD3CC1"/>
    <w:rsid w:val="00FF1E02"/>
    <w:rsid w:val="00FF30B4"/>
    <w:rsid w:val="015975B8"/>
    <w:rsid w:val="02FEBE30"/>
    <w:rsid w:val="036F8141"/>
    <w:rsid w:val="066E0107"/>
    <w:rsid w:val="07996F6E"/>
    <w:rsid w:val="07DFD8BA"/>
    <w:rsid w:val="0A2032A3"/>
    <w:rsid w:val="0D35B1ED"/>
    <w:rsid w:val="0E7ED1F5"/>
    <w:rsid w:val="0F98263C"/>
    <w:rsid w:val="101860EC"/>
    <w:rsid w:val="10C055FF"/>
    <w:rsid w:val="118107EC"/>
    <w:rsid w:val="13D50BC4"/>
    <w:rsid w:val="13F5616D"/>
    <w:rsid w:val="16BB723D"/>
    <w:rsid w:val="17F9714D"/>
    <w:rsid w:val="1918F934"/>
    <w:rsid w:val="1AF238E2"/>
    <w:rsid w:val="1BE8440E"/>
    <w:rsid w:val="1D155CEE"/>
    <w:rsid w:val="1D412E8A"/>
    <w:rsid w:val="1DA60D77"/>
    <w:rsid w:val="1DFBC4B3"/>
    <w:rsid w:val="1E740ACF"/>
    <w:rsid w:val="1F19C781"/>
    <w:rsid w:val="1F33FCE5"/>
    <w:rsid w:val="1F7F7398"/>
    <w:rsid w:val="1FD2DB6F"/>
    <w:rsid w:val="1FF35744"/>
    <w:rsid w:val="1FF6BC77"/>
    <w:rsid w:val="1FF9236D"/>
    <w:rsid w:val="22DD3655"/>
    <w:rsid w:val="2333840E"/>
    <w:rsid w:val="238567E8"/>
    <w:rsid w:val="23860B96"/>
    <w:rsid w:val="240371BF"/>
    <w:rsid w:val="257C638F"/>
    <w:rsid w:val="29FD04D3"/>
    <w:rsid w:val="2BFF7BC6"/>
    <w:rsid w:val="2C8A61B5"/>
    <w:rsid w:val="2CD59C95"/>
    <w:rsid w:val="2DF04E50"/>
    <w:rsid w:val="2EFD05E5"/>
    <w:rsid w:val="2F040D46"/>
    <w:rsid w:val="2F4F95CE"/>
    <w:rsid w:val="2FACAFDD"/>
    <w:rsid w:val="2FAE5751"/>
    <w:rsid w:val="2FB1A395"/>
    <w:rsid w:val="2FCF0B76"/>
    <w:rsid w:val="2FD9A7D8"/>
    <w:rsid w:val="319F7F4E"/>
    <w:rsid w:val="32877D0B"/>
    <w:rsid w:val="3304709D"/>
    <w:rsid w:val="34710119"/>
    <w:rsid w:val="36AA5135"/>
    <w:rsid w:val="36BE0DA7"/>
    <w:rsid w:val="376B6AA6"/>
    <w:rsid w:val="376D39B2"/>
    <w:rsid w:val="37E16F03"/>
    <w:rsid w:val="37F53A3B"/>
    <w:rsid w:val="386C3059"/>
    <w:rsid w:val="38D469F0"/>
    <w:rsid w:val="38F78389"/>
    <w:rsid w:val="397BAF1F"/>
    <w:rsid w:val="39E7B272"/>
    <w:rsid w:val="39F7642F"/>
    <w:rsid w:val="39FF7B37"/>
    <w:rsid w:val="3A2D5F22"/>
    <w:rsid w:val="3AB79AF3"/>
    <w:rsid w:val="3AFDCB77"/>
    <w:rsid w:val="3B7EF35A"/>
    <w:rsid w:val="3B9FDB6C"/>
    <w:rsid w:val="3BF5BC2F"/>
    <w:rsid w:val="3BF7C23A"/>
    <w:rsid w:val="3BFF223E"/>
    <w:rsid w:val="3C6EC0A1"/>
    <w:rsid w:val="3CDB0824"/>
    <w:rsid w:val="3CEBA265"/>
    <w:rsid w:val="3D44033B"/>
    <w:rsid w:val="3D6A7F9F"/>
    <w:rsid w:val="3D7E7F4D"/>
    <w:rsid w:val="3D98207C"/>
    <w:rsid w:val="3D9CF30A"/>
    <w:rsid w:val="3DFF5A3E"/>
    <w:rsid w:val="3E78745D"/>
    <w:rsid w:val="3EEE77E9"/>
    <w:rsid w:val="3F394AF5"/>
    <w:rsid w:val="3FBE5714"/>
    <w:rsid w:val="3FDD8615"/>
    <w:rsid w:val="3FDFB2FF"/>
    <w:rsid w:val="3FF4CAE0"/>
    <w:rsid w:val="3FF75FAF"/>
    <w:rsid w:val="3FF7B227"/>
    <w:rsid w:val="44E268DA"/>
    <w:rsid w:val="457F4F6B"/>
    <w:rsid w:val="4737FB58"/>
    <w:rsid w:val="47ECCB02"/>
    <w:rsid w:val="47FA6A3F"/>
    <w:rsid w:val="49D7AE48"/>
    <w:rsid w:val="4A3F6C7E"/>
    <w:rsid w:val="4A627F82"/>
    <w:rsid w:val="4B0E749A"/>
    <w:rsid w:val="4B4F25DA"/>
    <w:rsid w:val="4BBB4781"/>
    <w:rsid w:val="4BD709A5"/>
    <w:rsid w:val="4BDD9BFF"/>
    <w:rsid w:val="4BE068DB"/>
    <w:rsid w:val="4D577224"/>
    <w:rsid w:val="4DBF1CEB"/>
    <w:rsid w:val="4DBF6A6B"/>
    <w:rsid w:val="4DF6A672"/>
    <w:rsid w:val="4EAB630A"/>
    <w:rsid w:val="4ECE2238"/>
    <w:rsid w:val="4F0A3CC6"/>
    <w:rsid w:val="4F7EA413"/>
    <w:rsid w:val="4FAB812F"/>
    <w:rsid w:val="4FE9BD67"/>
    <w:rsid w:val="4FEE4C07"/>
    <w:rsid w:val="4FFB052F"/>
    <w:rsid w:val="53097145"/>
    <w:rsid w:val="537E6D0A"/>
    <w:rsid w:val="53AB6B88"/>
    <w:rsid w:val="53F74C96"/>
    <w:rsid w:val="5583522D"/>
    <w:rsid w:val="57BD3DD4"/>
    <w:rsid w:val="57F9CD1E"/>
    <w:rsid w:val="596E47DC"/>
    <w:rsid w:val="5AF92295"/>
    <w:rsid w:val="5AF9D8E9"/>
    <w:rsid w:val="5BDD38BD"/>
    <w:rsid w:val="5BDD79E6"/>
    <w:rsid w:val="5BEFC772"/>
    <w:rsid w:val="5BFF5DFC"/>
    <w:rsid w:val="5CD71FC4"/>
    <w:rsid w:val="5D1F11B5"/>
    <w:rsid w:val="5D3647F9"/>
    <w:rsid w:val="5DA644D4"/>
    <w:rsid w:val="5DAE1B18"/>
    <w:rsid w:val="5DE7D9E5"/>
    <w:rsid w:val="5ECEC941"/>
    <w:rsid w:val="5EFF8FC6"/>
    <w:rsid w:val="5F5BA39A"/>
    <w:rsid w:val="5F7D3B79"/>
    <w:rsid w:val="5F7F4610"/>
    <w:rsid w:val="5FBF9FF3"/>
    <w:rsid w:val="5FCD4E2C"/>
    <w:rsid w:val="5FEF394A"/>
    <w:rsid w:val="5FF67715"/>
    <w:rsid w:val="6005151A"/>
    <w:rsid w:val="61CA71D5"/>
    <w:rsid w:val="627EE9EA"/>
    <w:rsid w:val="63B23AA5"/>
    <w:rsid w:val="647F5392"/>
    <w:rsid w:val="64E322C4"/>
    <w:rsid w:val="65FB93B9"/>
    <w:rsid w:val="6633C463"/>
    <w:rsid w:val="67A05FCC"/>
    <w:rsid w:val="67D55B77"/>
    <w:rsid w:val="67EE7F84"/>
    <w:rsid w:val="686F5F53"/>
    <w:rsid w:val="69A54F2C"/>
    <w:rsid w:val="6AFFCEAF"/>
    <w:rsid w:val="6B96E9E6"/>
    <w:rsid w:val="6BCE57B5"/>
    <w:rsid w:val="6BFEA4DB"/>
    <w:rsid w:val="6BFFB662"/>
    <w:rsid w:val="6C4A05C8"/>
    <w:rsid w:val="6CBB7736"/>
    <w:rsid w:val="6CFF4FB8"/>
    <w:rsid w:val="6D6BD6E0"/>
    <w:rsid w:val="6D77E73C"/>
    <w:rsid w:val="6DBF5E93"/>
    <w:rsid w:val="6DFF077E"/>
    <w:rsid w:val="6E357378"/>
    <w:rsid w:val="6E7E3605"/>
    <w:rsid w:val="6E7FDCC7"/>
    <w:rsid w:val="6ED6A62E"/>
    <w:rsid w:val="6EE00B15"/>
    <w:rsid w:val="6EE737B2"/>
    <w:rsid w:val="6EEB2329"/>
    <w:rsid w:val="6EECE67A"/>
    <w:rsid w:val="6F6F90A8"/>
    <w:rsid w:val="6F6FB3EB"/>
    <w:rsid w:val="6F8731EA"/>
    <w:rsid w:val="6FBC2ADD"/>
    <w:rsid w:val="6FD57C00"/>
    <w:rsid w:val="6FEFFFD8"/>
    <w:rsid w:val="6FF5CC65"/>
    <w:rsid w:val="6FFB47EC"/>
    <w:rsid w:val="6FFF034A"/>
    <w:rsid w:val="712A28F1"/>
    <w:rsid w:val="715C0E4B"/>
    <w:rsid w:val="71FFD401"/>
    <w:rsid w:val="72233669"/>
    <w:rsid w:val="7231619E"/>
    <w:rsid w:val="72734D90"/>
    <w:rsid w:val="7332FE48"/>
    <w:rsid w:val="73AD73D5"/>
    <w:rsid w:val="73B6EB34"/>
    <w:rsid w:val="73FA497D"/>
    <w:rsid w:val="744731E5"/>
    <w:rsid w:val="74BBD01D"/>
    <w:rsid w:val="74ED5379"/>
    <w:rsid w:val="75DEEEC2"/>
    <w:rsid w:val="767F479D"/>
    <w:rsid w:val="76E3355F"/>
    <w:rsid w:val="76F742AF"/>
    <w:rsid w:val="76F7BE7D"/>
    <w:rsid w:val="76FF5125"/>
    <w:rsid w:val="773570D3"/>
    <w:rsid w:val="77597F31"/>
    <w:rsid w:val="776F6FFA"/>
    <w:rsid w:val="7777A522"/>
    <w:rsid w:val="77858688"/>
    <w:rsid w:val="778769C8"/>
    <w:rsid w:val="77CB741A"/>
    <w:rsid w:val="77D7BE3A"/>
    <w:rsid w:val="77DC22F5"/>
    <w:rsid w:val="797E3A6C"/>
    <w:rsid w:val="79CF70E2"/>
    <w:rsid w:val="79D7FD79"/>
    <w:rsid w:val="79E75806"/>
    <w:rsid w:val="79EE5BA4"/>
    <w:rsid w:val="7A641148"/>
    <w:rsid w:val="7A6F8BF5"/>
    <w:rsid w:val="7A894339"/>
    <w:rsid w:val="7ACF82B5"/>
    <w:rsid w:val="7AFF28C9"/>
    <w:rsid w:val="7AFF72A0"/>
    <w:rsid w:val="7AFF7572"/>
    <w:rsid w:val="7B6C7DFB"/>
    <w:rsid w:val="7B7D76A7"/>
    <w:rsid w:val="7BAE2FE2"/>
    <w:rsid w:val="7BAF6951"/>
    <w:rsid w:val="7BBFBED0"/>
    <w:rsid w:val="7BC3E394"/>
    <w:rsid w:val="7BF3FE4C"/>
    <w:rsid w:val="7BFB5035"/>
    <w:rsid w:val="7BFDE17E"/>
    <w:rsid w:val="7CBFC87B"/>
    <w:rsid w:val="7CFE0F48"/>
    <w:rsid w:val="7D3DE31C"/>
    <w:rsid w:val="7D7EC23E"/>
    <w:rsid w:val="7D7F8A13"/>
    <w:rsid w:val="7DBBCB01"/>
    <w:rsid w:val="7DC765D0"/>
    <w:rsid w:val="7DDB0EE0"/>
    <w:rsid w:val="7DFF51D8"/>
    <w:rsid w:val="7E634199"/>
    <w:rsid w:val="7E8ADEBF"/>
    <w:rsid w:val="7EEF11D3"/>
    <w:rsid w:val="7EF78C20"/>
    <w:rsid w:val="7F3F679B"/>
    <w:rsid w:val="7F4FC4EF"/>
    <w:rsid w:val="7F5E4D54"/>
    <w:rsid w:val="7F6B75FA"/>
    <w:rsid w:val="7F9F518D"/>
    <w:rsid w:val="7FA30C79"/>
    <w:rsid w:val="7FAF8ABF"/>
    <w:rsid w:val="7FB7269E"/>
    <w:rsid w:val="7FBD6753"/>
    <w:rsid w:val="7FBFABB4"/>
    <w:rsid w:val="7FC65084"/>
    <w:rsid w:val="7FC96657"/>
    <w:rsid w:val="7FD72595"/>
    <w:rsid w:val="7FDA9588"/>
    <w:rsid w:val="7FDF220F"/>
    <w:rsid w:val="7FDF4542"/>
    <w:rsid w:val="7FDF5405"/>
    <w:rsid w:val="7FEDC251"/>
    <w:rsid w:val="7FEDC5F7"/>
    <w:rsid w:val="7FEDD9DE"/>
    <w:rsid w:val="7FEFCDB9"/>
    <w:rsid w:val="7FF5890D"/>
    <w:rsid w:val="7FF5EB09"/>
    <w:rsid w:val="7FF89B92"/>
    <w:rsid w:val="7FF8F2E7"/>
    <w:rsid w:val="7FF93490"/>
    <w:rsid w:val="7FFA6237"/>
    <w:rsid w:val="7FFB5275"/>
    <w:rsid w:val="7FFD14DE"/>
    <w:rsid w:val="7FFFF783"/>
    <w:rsid w:val="93F70A9E"/>
    <w:rsid w:val="997D060E"/>
    <w:rsid w:val="99FF2014"/>
    <w:rsid w:val="9E59F895"/>
    <w:rsid w:val="9E7DEDC1"/>
    <w:rsid w:val="9EEF2B0D"/>
    <w:rsid w:val="9FF6F2A6"/>
    <w:rsid w:val="9FFE4AD9"/>
    <w:rsid w:val="9FFF61B9"/>
    <w:rsid w:val="A6DD0D7F"/>
    <w:rsid w:val="A7955197"/>
    <w:rsid w:val="A7FE5E0E"/>
    <w:rsid w:val="ADC6F725"/>
    <w:rsid w:val="AF0FFA84"/>
    <w:rsid w:val="AF9F0A5E"/>
    <w:rsid w:val="AFEF7964"/>
    <w:rsid w:val="B27A6F28"/>
    <w:rsid w:val="B35F0D5A"/>
    <w:rsid w:val="B3F7F693"/>
    <w:rsid w:val="B3FBBB6C"/>
    <w:rsid w:val="B5FFE407"/>
    <w:rsid w:val="B7CF06AB"/>
    <w:rsid w:val="B7CFA926"/>
    <w:rsid w:val="B7F8786B"/>
    <w:rsid w:val="B9EF5647"/>
    <w:rsid w:val="BABB6AA1"/>
    <w:rsid w:val="BAFCD398"/>
    <w:rsid w:val="BAFFDA0F"/>
    <w:rsid w:val="BB2F4199"/>
    <w:rsid w:val="BBFBD24E"/>
    <w:rsid w:val="BD079C78"/>
    <w:rsid w:val="BD2DD278"/>
    <w:rsid w:val="BD733540"/>
    <w:rsid w:val="BDF7970E"/>
    <w:rsid w:val="BDFE68BD"/>
    <w:rsid w:val="BE6FC990"/>
    <w:rsid w:val="BEBE9537"/>
    <w:rsid w:val="BEFF0D62"/>
    <w:rsid w:val="BEFF90EF"/>
    <w:rsid w:val="BF3735D5"/>
    <w:rsid w:val="BF7F09AC"/>
    <w:rsid w:val="BFB3380D"/>
    <w:rsid w:val="BFB7E7A2"/>
    <w:rsid w:val="BFC2F103"/>
    <w:rsid w:val="BFD475C3"/>
    <w:rsid w:val="BFDE5EA6"/>
    <w:rsid w:val="BFEF99E9"/>
    <w:rsid w:val="BFF9E564"/>
    <w:rsid w:val="BFFF3A69"/>
    <w:rsid w:val="C7BFEF9C"/>
    <w:rsid w:val="C8BD8F25"/>
    <w:rsid w:val="C94DA72E"/>
    <w:rsid w:val="CBEEAA00"/>
    <w:rsid w:val="CC7E9ECE"/>
    <w:rsid w:val="CDBFF9FF"/>
    <w:rsid w:val="CDF78664"/>
    <w:rsid w:val="CE3FF57E"/>
    <w:rsid w:val="CF3AB4AC"/>
    <w:rsid w:val="CF6FC6F3"/>
    <w:rsid w:val="CFD3D3D7"/>
    <w:rsid w:val="CFDF1009"/>
    <w:rsid w:val="D6B7E4F6"/>
    <w:rsid w:val="D6CB2739"/>
    <w:rsid w:val="D776A8DB"/>
    <w:rsid w:val="D7B6B268"/>
    <w:rsid w:val="D7D7B16A"/>
    <w:rsid w:val="D7EF2E2A"/>
    <w:rsid w:val="D8D6DB89"/>
    <w:rsid w:val="DB6F4CAB"/>
    <w:rsid w:val="DB777682"/>
    <w:rsid w:val="DBDDA52A"/>
    <w:rsid w:val="DCFFC0D1"/>
    <w:rsid w:val="DD1FB521"/>
    <w:rsid w:val="DDCB2E5E"/>
    <w:rsid w:val="DDFE75CA"/>
    <w:rsid w:val="DEFBBE33"/>
    <w:rsid w:val="DEFBFEAE"/>
    <w:rsid w:val="DF1F3B80"/>
    <w:rsid w:val="DF6F9789"/>
    <w:rsid w:val="DF9B8D55"/>
    <w:rsid w:val="DF9D198A"/>
    <w:rsid w:val="DFDF1D8E"/>
    <w:rsid w:val="DFEFC58B"/>
    <w:rsid w:val="DFF5F241"/>
    <w:rsid w:val="DFFFA9E8"/>
    <w:rsid w:val="E37D5D3F"/>
    <w:rsid w:val="E3FFE98D"/>
    <w:rsid w:val="E5F4E9DC"/>
    <w:rsid w:val="E67FF583"/>
    <w:rsid w:val="E70FE695"/>
    <w:rsid w:val="E7676621"/>
    <w:rsid w:val="E76B2B9A"/>
    <w:rsid w:val="E7AB7A34"/>
    <w:rsid w:val="E7DF1E20"/>
    <w:rsid w:val="E7FF6381"/>
    <w:rsid w:val="E9A30291"/>
    <w:rsid w:val="EBBF924C"/>
    <w:rsid w:val="ECFED1BC"/>
    <w:rsid w:val="ED1D69BB"/>
    <w:rsid w:val="ED2C2584"/>
    <w:rsid w:val="ED7FD312"/>
    <w:rsid w:val="EDBE03E0"/>
    <w:rsid w:val="EDD1A84A"/>
    <w:rsid w:val="EDFF8263"/>
    <w:rsid w:val="EE1FA0C7"/>
    <w:rsid w:val="EF53993F"/>
    <w:rsid w:val="EF7B8152"/>
    <w:rsid w:val="EF8E27E2"/>
    <w:rsid w:val="EFBFB2F4"/>
    <w:rsid w:val="EFBFFA21"/>
    <w:rsid w:val="EFDF4337"/>
    <w:rsid w:val="EFF7097E"/>
    <w:rsid w:val="F2BEBCB8"/>
    <w:rsid w:val="F36FB518"/>
    <w:rsid w:val="F3DE1A04"/>
    <w:rsid w:val="F3E244FA"/>
    <w:rsid w:val="F3EFB7CA"/>
    <w:rsid w:val="F3F722E5"/>
    <w:rsid w:val="F699BB1A"/>
    <w:rsid w:val="F6DEABFE"/>
    <w:rsid w:val="F7B650C7"/>
    <w:rsid w:val="F7EF9033"/>
    <w:rsid w:val="F7FDC2B1"/>
    <w:rsid w:val="F8DDDAC6"/>
    <w:rsid w:val="F96B55C8"/>
    <w:rsid w:val="FA2F5BEB"/>
    <w:rsid w:val="FA5F1E70"/>
    <w:rsid w:val="FA5FDB97"/>
    <w:rsid w:val="FB1BB959"/>
    <w:rsid w:val="FB75E3C8"/>
    <w:rsid w:val="FB7F461B"/>
    <w:rsid w:val="FB7F486A"/>
    <w:rsid w:val="FB7F6E28"/>
    <w:rsid w:val="FB8778F4"/>
    <w:rsid w:val="FBB61866"/>
    <w:rsid w:val="FBEE055A"/>
    <w:rsid w:val="FBF91527"/>
    <w:rsid w:val="FBFD1260"/>
    <w:rsid w:val="FBFF5B2E"/>
    <w:rsid w:val="FC833EBB"/>
    <w:rsid w:val="FCFE0B49"/>
    <w:rsid w:val="FD4B388D"/>
    <w:rsid w:val="FD77A83C"/>
    <w:rsid w:val="FD7FFE2B"/>
    <w:rsid w:val="FDADA43D"/>
    <w:rsid w:val="FDBDC432"/>
    <w:rsid w:val="FDEB412A"/>
    <w:rsid w:val="FDEE196B"/>
    <w:rsid w:val="FDEF50BC"/>
    <w:rsid w:val="FDFD5EC3"/>
    <w:rsid w:val="FDFE6575"/>
    <w:rsid w:val="FE9E11AB"/>
    <w:rsid w:val="FEBF38CD"/>
    <w:rsid w:val="FEDFDDC2"/>
    <w:rsid w:val="FEEB4E4D"/>
    <w:rsid w:val="FEED32F6"/>
    <w:rsid w:val="FEF781DD"/>
    <w:rsid w:val="FEF9D8C4"/>
    <w:rsid w:val="FF3F7E3F"/>
    <w:rsid w:val="FF3FF759"/>
    <w:rsid w:val="FF4749A3"/>
    <w:rsid w:val="FF4D3A28"/>
    <w:rsid w:val="FF5913BC"/>
    <w:rsid w:val="FF7F1E7E"/>
    <w:rsid w:val="FF9BAA5C"/>
    <w:rsid w:val="FFA57884"/>
    <w:rsid w:val="FFB513DD"/>
    <w:rsid w:val="FFBA12D7"/>
    <w:rsid w:val="FFBFE8C6"/>
    <w:rsid w:val="FFCF2925"/>
    <w:rsid w:val="FFD33B6C"/>
    <w:rsid w:val="FFDAD824"/>
    <w:rsid w:val="FFDE4064"/>
    <w:rsid w:val="FFDEA9D8"/>
    <w:rsid w:val="FFDF2DEC"/>
    <w:rsid w:val="FFDF624E"/>
    <w:rsid w:val="FFDF6BC0"/>
    <w:rsid w:val="FFDFFAEE"/>
    <w:rsid w:val="FFE3BA41"/>
    <w:rsid w:val="FFE3BED4"/>
    <w:rsid w:val="FFF316C1"/>
    <w:rsid w:val="FFF63ECC"/>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5">
    <w:name w:val="Body Text"/>
    <w:basedOn w:val="1"/>
    <w:link w:val="25"/>
    <w:autoRedefine/>
    <w:qFormat/>
    <w:uiPriority w:val="99"/>
    <w:pPr>
      <w:spacing w:beforeLines="30"/>
    </w:pPr>
    <w:rPr>
      <w:rFonts w:ascii="仿宋_GB2312" w:eastAsia="仿宋_GB2312"/>
      <w:kern w:val="0"/>
      <w:sz w:val="30"/>
    </w:rPr>
  </w:style>
  <w:style w:type="paragraph" w:styleId="6">
    <w:name w:val="Body Text Indent"/>
    <w:basedOn w:val="1"/>
    <w:autoRedefine/>
    <w:qFormat/>
    <w:uiPriority w:val="0"/>
    <w:pPr>
      <w:spacing w:after="120"/>
      <w:ind w:left="200" w:leftChars="200"/>
    </w:pPr>
    <w:rPr>
      <w:rFonts w:ascii="仿宋_GB2312"/>
      <w:szCs w:val="32"/>
    </w:rPr>
  </w:style>
  <w:style w:type="paragraph" w:styleId="7">
    <w:name w:val="toc 3"/>
    <w:basedOn w:val="1"/>
    <w:next w:val="1"/>
    <w:autoRedefine/>
    <w:unhideWhenUsed/>
    <w:qFormat/>
    <w:uiPriority w:val="39"/>
    <w:pPr>
      <w:tabs>
        <w:tab w:val="right" w:leader="dot" w:pos="8296"/>
      </w:tabs>
      <w:ind w:left="840" w:leftChars="400"/>
    </w:pPr>
  </w:style>
  <w:style w:type="paragraph" w:styleId="8">
    <w:name w:val="Balloon Text"/>
    <w:basedOn w:val="1"/>
    <w:link w:val="31"/>
    <w:autoRedefine/>
    <w:semiHidden/>
    <w:unhideWhenUsed/>
    <w:qFormat/>
    <w:uiPriority w:val="99"/>
    <w:rPr>
      <w:sz w:val="18"/>
      <w:szCs w:val="18"/>
    </w:rPr>
  </w:style>
  <w:style w:type="paragraph" w:styleId="9">
    <w:name w:val="footer"/>
    <w:basedOn w:val="1"/>
    <w:link w:val="23"/>
    <w:autoRedefine/>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1"/>
    <w:autoRedefine/>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autoRedefine/>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autoRedefine/>
    <w:unhideWhenUsed/>
    <w:qFormat/>
    <w:uiPriority w:val="39"/>
    <w:pPr>
      <w:tabs>
        <w:tab w:val="right" w:leader="dot" w:pos="8296"/>
      </w:tabs>
      <w:ind w:left="420" w:leftChars="200"/>
    </w:pPr>
  </w:style>
  <w:style w:type="paragraph" w:styleId="13">
    <w:name w:val="Normal (Web)"/>
    <w:basedOn w:val="1"/>
    <w:autoRedefine/>
    <w:qFormat/>
    <w:uiPriority w:val="99"/>
    <w:pPr>
      <w:spacing w:before="0" w:beforeAutospacing="1" w:after="0" w:afterAutospacing="1"/>
      <w:ind w:left="0" w:right="0"/>
      <w:jc w:val="left"/>
    </w:pPr>
    <w:rPr>
      <w:kern w:val="0"/>
      <w:sz w:val="24"/>
      <w:lang w:val="en-US" w:eastAsia="zh-CN" w:bidi="ar"/>
    </w:rPr>
  </w:style>
  <w:style w:type="paragraph" w:styleId="14">
    <w:name w:val="Body Text First Indent 2"/>
    <w:basedOn w:val="6"/>
    <w:autoRedefine/>
    <w:unhideWhenUsed/>
    <w:qFormat/>
    <w:uiPriority w:val="99"/>
    <w:pPr>
      <w:ind w:firstLine="420" w:firstLineChars="200"/>
    </w:pPr>
  </w:style>
  <w:style w:type="character" w:styleId="17">
    <w:name w:val="Strong"/>
    <w:basedOn w:val="16"/>
    <w:autoRedefine/>
    <w:qFormat/>
    <w:uiPriority w:val="99"/>
    <w:rPr>
      <w:b/>
    </w:rPr>
  </w:style>
  <w:style w:type="character" w:styleId="18">
    <w:name w:val="Hyperlink"/>
    <w:basedOn w:val="16"/>
    <w:autoRedefine/>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autoRedefine/>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autoRedefine/>
    <w:semiHidden/>
    <w:qFormat/>
    <w:uiPriority w:val="99"/>
    <w:rPr>
      <w:rFonts w:ascii="Times New Roman" w:hAnsi="Times New Roman"/>
      <w:sz w:val="18"/>
      <w:szCs w:val="18"/>
    </w:rPr>
  </w:style>
  <w:style w:type="character" w:customStyle="1" w:styleId="21">
    <w:name w:val="页眉 字符"/>
    <w:link w:val="10"/>
    <w:autoRedefine/>
    <w:semiHidden/>
    <w:qFormat/>
    <w:locked/>
    <w:uiPriority w:val="99"/>
    <w:rPr>
      <w:sz w:val="18"/>
    </w:rPr>
  </w:style>
  <w:style w:type="character" w:customStyle="1" w:styleId="22">
    <w:name w:val="Footer Char"/>
    <w:basedOn w:val="16"/>
    <w:autoRedefine/>
    <w:semiHidden/>
    <w:qFormat/>
    <w:uiPriority w:val="99"/>
    <w:rPr>
      <w:rFonts w:ascii="Times New Roman" w:hAnsi="Times New Roman"/>
      <w:sz w:val="18"/>
      <w:szCs w:val="18"/>
    </w:rPr>
  </w:style>
  <w:style w:type="character" w:customStyle="1" w:styleId="23">
    <w:name w:val="页脚 字符"/>
    <w:link w:val="9"/>
    <w:autoRedefine/>
    <w:qFormat/>
    <w:locked/>
    <w:uiPriority w:val="99"/>
    <w:rPr>
      <w:sz w:val="18"/>
    </w:rPr>
  </w:style>
  <w:style w:type="character" w:customStyle="1" w:styleId="24">
    <w:name w:val="Body Text Char"/>
    <w:basedOn w:val="16"/>
    <w:autoRedefine/>
    <w:semiHidden/>
    <w:qFormat/>
    <w:uiPriority w:val="99"/>
    <w:rPr>
      <w:rFonts w:ascii="Times New Roman" w:hAnsi="Times New Roman"/>
      <w:szCs w:val="24"/>
    </w:rPr>
  </w:style>
  <w:style w:type="character" w:customStyle="1" w:styleId="25">
    <w:name w:val="正文文本 字符"/>
    <w:link w:val="5"/>
    <w:autoRedefine/>
    <w:qFormat/>
    <w:locked/>
    <w:uiPriority w:val="99"/>
    <w:rPr>
      <w:rFonts w:ascii="仿宋_GB2312" w:hAnsi="Times New Roman" w:eastAsia="仿宋_GB2312"/>
      <w:sz w:val="24"/>
    </w:rPr>
  </w:style>
  <w:style w:type="paragraph" w:customStyle="1" w:styleId="26">
    <w:name w:val="Default"/>
    <w:autoRedefine/>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autoRedefine/>
    <w:qFormat/>
    <w:uiPriority w:val="34"/>
    <w:pPr>
      <w:ind w:firstLine="420" w:firstLineChars="200"/>
    </w:pPr>
  </w:style>
  <w:style w:type="character" w:customStyle="1" w:styleId="28">
    <w:name w:val="标题 1 字符"/>
    <w:basedOn w:val="16"/>
    <w:link w:val="2"/>
    <w:autoRedefine/>
    <w:qFormat/>
    <w:uiPriority w:val="9"/>
    <w:rPr>
      <w:rFonts w:ascii="Times New Roman" w:hAnsi="Times New Roman"/>
      <w:b/>
      <w:bCs/>
      <w:kern w:val="44"/>
      <w:sz w:val="44"/>
      <w:szCs w:val="44"/>
    </w:rPr>
  </w:style>
  <w:style w:type="character" w:customStyle="1" w:styleId="29">
    <w:name w:val="标题 2 字符"/>
    <w:basedOn w:val="16"/>
    <w:link w:val="3"/>
    <w:autoRedefine/>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字符"/>
    <w:basedOn w:val="16"/>
    <w:link w:val="8"/>
    <w:autoRedefine/>
    <w:semiHidden/>
    <w:qFormat/>
    <w:uiPriority w:val="99"/>
    <w:rPr>
      <w:rFonts w:ascii="Times New Roman" w:hAnsi="Times New Roman"/>
      <w:kern w:val="2"/>
      <w:sz w:val="18"/>
      <w:szCs w:val="18"/>
    </w:rPr>
  </w:style>
  <w:style w:type="character" w:customStyle="1" w:styleId="32">
    <w:name w:val="标题 3 字符"/>
    <w:basedOn w:val="16"/>
    <w:link w:val="4"/>
    <w:autoRedefine/>
    <w:qFormat/>
    <w:uiPriority w:val="9"/>
    <w:rPr>
      <w:rFonts w:ascii="Times New Roman" w:hAnsi="Times New Roman"/>
      <w:b/>
      <w:bCs/>
      <w:kern w:val="2"/>
      <w:sz w:val="32"/>
      <w:szCs w:val="32"/>
    </w:rPr>
  </w:style>
  <w:style w:type="paragraph" w:customStyle="1" w:styleId="33">
    <w:name w:val="TOC 标题2"/>
    <w:basedOn w:val="2"/>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autoRedefine/>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1535</Words>
  <Characters>8751</Characters>
  <Lines>72</Lines>
  <Paragraphs>20</Paragraphs>
  <TotalTime>48</TotalTime>
  <ScaleCrop>false</ScaleCrop>
  <LinksUpToDate>false</LinksUpToDate>
  <CharactersWithSpaces>10266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2024-08-05T07:12:00Z</dcterms:created>
  <dc:creator>曹颖</dc:creator>
  <cp:lastModifiedBy>随便取的</cp:lastModifiedBy>
  <cp:lastPrinted>2023-08-03T10:35:00Z</cp:lastPrinted>
  <dcterms:modified xsi:type="dcterms:W3CDTF">2024-10-23T04:34:11Z</dcterms:modified>
  <dc:title>四川省***</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9026ACAFECBC4223BC89AEA80FE62534_13</vt:lpwstr>
  </property>
</Properties>
</file>