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2AEDB">
      <w:pPr>
        <w:spacing w:line="600" w:lineRule="exact"/>
        <w:jc w:val="center"/>
        <w:outlineLvl w:val="0"/>
        <w:rPr>
          <w:rFonts w:ascii="方正小标宋简体" w:hAnsi="宋体" w:eastAsia="方正小标宋简体"/>
          <w:sz w:val="72"/>
          <w:szCs w:val="72"/>
        </w:rPr>
      </w:pPr>
      <w:bookmarkStart w:id="0" w:name="_Toc15396597"/>
      <w:bookmarkStart w:id="1" w:name="_Toc15377425"/>
      <w:bookmarkStart w:id="2" w:name="_Toc15378441"/>
      <w:bookmarkStart w:id="3" w:name="_Toc15377193"/>
      <w:bookmarkStart w:id="4" w:name="_Toc15396475"/>
      <w:bookmarkStart w:id="5" w:name="_Toc15306267"/>
    </w:p>
    <w:p w14:paraId="56B235B3">
      <w:pPr>
        <w:pStyle w:val="2"/>
        <w:spacing w:before="93"/>
      </w:pPr>
    </w:p>
    <w:p w14:paraId="0D84AC81">
      <w:pPr>
        <w:spacing w:line="600" w:lineRule="exact"/>
        <w:jc w:val="center"/>
        <w:outlineLvl w:val="0"/>
        <w:rPr>
          <w:rFonts w:ascii="方正小标宋简体" w:hAnsi="宋体" w:eastAsia="方正小标宋简体"/>
          <w:sz w:val="72"/>
          <w:szCs w:val="72"/>
        </w:rPr>
      </w:pPr>
    </w:p>
    <w:p w14:paraId="794089D5">
      <w:pPr>
        <w:spacing w:line="600" w:lineRule="exact"/>
        <w:jc w:val="center"/>
        <w:outlineLvl w:val="0"/>
        <w:rPr>
          <w:rFonts w:ascii="方正小标宋简体" w:hAnsi="宋体" w:eastAsia="方正小标宋简体"/>
          <w:sz w:val="72"/>
          <w:szCs w:val="72"/>
        </w:rPr>
      </w:pPr>
    </w:p>
    <w:p w14:paraId="2C8E48C6">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2023年度</w:t>
      </w:r>
      <w:bookmarkEnd w:id="0"/>
      <w:bookmarkEnd w:id="1"/>
      <w:bookmarkEnd w:id="2"/>
      <w:bookmarkEnd w:id="3"/>
      <w:bookmarkEnd w:id="4"/>
    </w:p>
    <w:p w14:paraId="6EB1198A">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78442"/>
      <w:bookmarkStart w:id="7" w:name="_Toc15396476"/>
      <w:bookmarkStart w:id="8" w:name="_Toc15377194"/>
      <w:bookmarkStart w:id="9" w:name="_Toc15377426"/>
      <w:bookmarkStart w:id="10" w:name="_Toc15396598"/>
      <w:r>
        <w:rPr>
          <w:rFonts w:hint="eastAsia" w:ascii="方正小标宋简体" w:hAnsi="方正小标宋简体" w:eastAsia="方正小标宋简体" w:cs="方正小标宋简体"/>
          <w:sz w:val="72"/>
          <w:szCs w:val="72"/>
        </w:rPr>
        <w:t>四川省</w:t>
      </w:r>
      <w:bookmarkEnd w:id="5"/>
      <w:bookmarkStart w:id="11" w:name="_Toc15306268"/>
      <w:r>
        <w:rPr>
          <w:rFonts w:hint="eastAsia" w:ascii="方正小标宋简体" w:hAnsi="方正小标宋简体" w:eastAsia="方正小标宋简体" w:cs="方正小标宋简体"/>
          <w:sz w:val="72"/>
          <w:szCs w:val="72"/>
          <w:lang w:eastAsia="zh-CN"/>
        </w:rPr>
        <w:t>雪口山镇</w:t>
      </w:r>
      <w:r>
        <w:rPr>
          <w:rFonts w:hint="eastAsia" w:ascii="方正小标宋简体" w:hAnsi="方正小标宋简体" w:eastAsia="方正小标宋简体" w:cs="方正小标宋简体"/>
          <w:sz w:val="72"/>
          <w:szCs w:val="72"/>
        </w:rPr>
        <w:t>决算</w:t>
      </w:r>
      <w:bookmarkEnd w:id="6"/>
      <w:bookmarkEnd w:id="7"/>
      <w:bookmarkEnd w:id="8"/>
      <w:bookmarkEnd w:id="9"/>
      <w:bookmarkEnd w:id="10"/>
      <w:bookmarkEnd w:id="11"/>
    </w:p>
    <w:p w14:paraId="215416C2">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48020BC4">
      <w:pPr>
        <w:widowControl/>
        <w:jc w:val="center"/>
        <w:rPr>
          <w:rFonts w:ascii="黑体" w:hAnsi="黑体" w:eastAsia="黑体" w:cstheme="minorBidi"/>
          <w:sz w:val="28"/>
          <w:szCs w:val="28"/>
        </w:rPr>
      </w:pPr>
    </w:p>
    <w:p w14:paraId="036AD662">
      <w:pPr>
        <w:pStyle w:val="11"/>
      </w:pPr>
      <w:r>
        <w:rPr>
          <w:rFonts w:hint="eastAsia"/>
        </w:rPr>
        <w:t>公开时间：202</w:t>
      </w:r>
      <w:r>
        <w:rPr>
          <w:rFonts w:hint="eastAsia"/>
          <w:lang w:val="en-US" w:eastAsia="zh-CN"/>
        </w:rPr>
        <w:t>4</w:t>
      </w:r>
      <w:r>
        <w:rPr>
          <w:rFonts w:hint="eastAsia"/>
        </w:rPr>
        <w:t>年</w:t>
      </w:r>
      <w:r>
        <w:rPr>
          <w:rFonts w:hint="eastAsia"/>
          <w:lang w:val="en-US" w:eastAsia="zh-CN"/>
        </w:rPr>
        <w:t>10</w:t>
      </w:r>
      <w:r>
        <w:rPr>
          <w:rFonts w:hint="eastAsia"/>
        </w:rPr>
        <w:t>月</w:t>
      </w:r>
      <w:r>
        <w:rPr>
          <w:rFonts w:hint="eastAsia"/>
          <w:lang w:val="en-US" w:eastAsia="zh-CN"/>
        </w:rPr>
        <w:t>21</w:t>
      </w:r>
      <w:r>
        <w:rPr>
          <w:rFonts w:hint="eastAsia"/>
        </w:rPr>
        <w:t>日</w:t>
      </w:r>
    </w:p>
    <w:p w14:paraId="131C1CB0"/>
    <w:p w14:paraId="6573CE94">
      <w:pPr>
        <w:pStyle w:val="11"/>
        <w:adjustRightInd w:val="0"/>
        <w:snapToGrid w:val="0"/>
        <w:spacing w:before="0" w:line="440" w:lineRule="exact"/>
        <w:jc w:val="left"/>
        <w:rPr>
          <w:rFonts w:cstheme="minorBidi"/>
          <w:sz w:val="24"/>
          <w:szCs w:val="24"/>
        </w:rPr>
      </w:pPr>
      <w:r>
        <w:rPr>
          <w:rFonts w:hint="eastAsia"/>
          <w:sz w:val="24"/>
        </w:rPr>
        <w:t>第一部分</w:t>
      </w:r>
      <w:r>
        <w:rPr>
          <w:sz w:val="24"/>
        </w:rPr>
        <w:t xml:space="preserve"> </w:t>
      </w:r>
      <w:r>
        <w:rPr>
          <w:rFonts w:hint="eastAsia"/>
          <w:sz w:val="24"/>
        </w:rPr>
        <w:t>部门概况</w:t>
      </w:r>
    </w:p>
    <w:p w14:paraId="07299885">
      <w:pPr>
        <w:pStyle w:val="12"/>
        <w:adjustRightInd w:val="0"/>
        <w:snapToGrid w:val="0"/>
        <w:spacing w:line="440" w:lineRule="exact"/>
        <w:jc w:val="left"/>
        <w:rPr>
          <w:rFonts w:ascii="仿宋" w:hAnsi="仿宋" w:eastAsia="仿宋"/>
          <w:sz w:val="24"/>
        </w:rPr>
      </w:pPr>
      <w:r>
        <w:rPr>
          <w:rFonts w:hint="eastAsia"/>
          <w:sz w:val="24"/>
        </w:rPr>
        <w:t>一、部门职责</w:t>
      </w:r>
    </w:p>
    <w:p w14:paraId="04A32E87">
      <w:pPr>
        <w:pStyle w:val="12"/>
        <w:adjustRightInd w:val="0"/>
        <w:snapToGrid w:val="0"/>
        <w:spacing w:line="440" w:lineRule="exact"/>
        <w:jc w:val="left"/>
        <w:rPr>
          <w:rFonts w:ascii="仿宋" w:hAnsi="仿宋" w:eastAsia="仿宋" w:cstheme="minorBidi"/>
          <w:sz w:val="24"/>
        </w:rPr>
      </w:pPr>
      <w:r>
        <w:rPr>
          <w:rFonts w:hint="eastAsia"/>
          <w:sz w:val="24"/>
        </w:rPr>
        <w:t>二、机构设置</w:t>
      </w:r>
    </w:p>
    <w:p w14:paraId="12574EB6">
      <w:pPr>
        <w:pStyle w:val="11"/>
        <w:adjustRightInd w:val="0"/>
        <w:snapToGrid w:val="0"/>
        <w:spacing w:before="0" w:line="440" w:lineRule="exact"/>
        <w:jc w:val="left"/>
        <w:rPr>
          <w:sz w:val="24"/>
          <w:szCs w:val="24"/>
        </w:rPr>
      </w:pPr>
      <w:r>
        <w:rPr>
          <w:rFonts w:hint="eastAsia"/>
          <w:sz w:val="24"/>
        </w:rPr>
        <w:t>第二部分 2023年度部门决算情况说明</w:t>
      </w:r>
    </w:p>
    <w:p w14:paraId="33D5D27F">
      <w:pPr>
        <w:pStyle w:val="12"/>
        <w:adjustRightInd w:val="0"/>
        <w:snapToGrid w:val="0"/>
        <w:spacing w:line="440" w:lineRule="exact"/>
        <w:jc w:val="left"/>
        <w:rPr>
          <w:rFonts w:ascii="仿宋" w:hAnsi="仿宋" w:eastAsia="仿宋" w:cstheme="minorBidi"/>
          <w:sz w:val="24"/>
        </w:rPr>
      </w:pPr>
      <w:r>
        <w:rPr>
          <w:rFonts w:hint="eastAsia"/>
          <w:sz w:val="24"/>
        </w:rPr>
        <w:t>一、收入支出决算总体情况说明</w:t>
      </w:r>
    </w:p>
    <w:p w14:paraId="0BF63DCF">
      <w:pPr>
        <w:pStyle w:val="12"/>
        <w:adjustRightInd w:val="0"/>
        <w:snapToGrid w:val="0"/>
        <w:spacing w:line="440" w:lineRule="exact"/>
        <w:jc w:val="left"/>
        <w:rPr>
          <w:rFonts w:ascii="仿宋" w:hAnsi="仿宋" w:eastAsia="仿宋" w:cstheme="minorBidi"/>
          <w:sz w:val="24"/>
        </w:rPr>
      </w:pPr>
      <w:r>
        <w:rPr>
          <w:rFonts w:hint="eastAsia"/>
          <w:sz w:val="24"/>
        </w:rPr>
        <w:t>二、收入决算情况说明</w:t>
      </w:r>
    </w:p>
    <w:p w14:paraId="04463524">
      <w:pPr>
        <w:pStyle w:val="12"/>
        <w:adjustRightInd w:val="0"/>
        <w:snapToGrid w:val="0"/>
        <w:spacing w:line="440" w:lineRule="exact"/>
        <w:jc w:val="left"/>
        <w:rPr>
          <w:rFonts w:ascii="仿宋" w:hAnsi="仿宋" w:eastAsia="仿宋" w:cstheme="minorBidi"/>
          <w:sz w:val="24"/>
        </w:rPr>
      </w:pPr>
      <w:r>
        <w:rPr>
          <w:rFonts w:hint="eastAsia"/>
          <w:sz w:val="24"/>
        </w:rPr>
        <w:t>三、支出决算情况说明</w:t>
      </w:r>
    </w:p>
    <w:p w14:paraId="1DE368F2">
      <w:pPr>
        <w:pStyle w:val="12"/>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p>
    <w:p w14:paraId="38427CB3">
      <w:pPr>
        <w:pStyle w:val="12"/>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p>
    <w:p w14:paraId="273A7167">
      <w:pPr>
        <w:pStyle w:val="12"/>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p>
    <w:p w14:paraId="2A440674">
      <w:pPr>
        <w:pStyle w:val="12"/>
        <w:adjustRightInd w:val="0"/>
        <w:snapToGrid w:val="0"/>
        <w:spacing w:line="440" w:lineRule="exact"/>
        <w:jc w:val="left"/>
        <w:rPr>
          <w:rFonts w:ascii="仿宋" w:hAnsi="仿宋" w:eastAsia="仿宋" w:cstheme="minorBidi"/>
          <w:sz w:val="24"/>
        </w:rPr>
      </w:pPr>
      <w:r>
        <w:rPr>
          <w:rFonts w:hint="eastAsia"/>
          <w:sz w:val="24"/>
        </w:rPr>
        <w:t>七、财政拨款“三公”经费支出决算情况说明</w:t>
      </w:r>
    </w:p>
    <w:p w14:paraId="3C025FDC">
      <w:pPr>
        <w:pStyle w:val="12"/>
        <w:adjustRightInd w:val="0"/>
        <w:snapToGrid w:val="0"/>
        <w:spacing w:line="440" w:lineRule="exact"/>
        <w:jc w:val="left"/>
        <w:rPr>
          <w:rFonts w:ascii="仿宋" w:hAnsi="仿宋" w:eastAsia="仿宋" w:cstheme="minorBidi"/>
          <w:sz w:val="24"/>
        </w:rPr>
      </w:pPr>
      <w:r>
        <w:rPr>
          <w:rFonts w:hint="eastAsia"/>
          <w:sz w:val="24"/>
        </w:rPr>
        <w:t>八、政府性基金预算支出决算情况说明</w:t>
      </w:r>
    </w:p>
    <w:p w14:paraId="6B70C403">
      <w:pPr>
        <w:pStyle w:val="12"/>
        <w:adjustRightInd w:val="0"/>
        <w:snapToGrid w:val="0"/>
        <w:spacing w:line="440" w:lineRule="exact"/>
        <w:ind w:leftChars="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九、国有资本经营预算支出决算情况说明</w:t>
      </w:r>
    </w:p>
    <w:p w14:paraId="21438E42">
      <w:pPr>
        <w:adjustRightInd w:val="0"/>
        <w:snapToGrid w:val="0"/>
        <w:spacing w:line="440" w:lineRule="exact"/>
        <w:ind w:firstLine="420" w:firstLineChars="175"/>
        <w:jc w:val="left"/>
        <w:rPr>
          <w:rFonts w:asciiTheme="minorEastAsia" w:hAnsiTheme="minorEastAsia" w:eastAsiaTheme="minorEastAsia" w:cstheme="minorEastAsia"/>
          <w:sz w:val="24"/>
        </w:rPr>
      </w:pPr>
      <w:r>
        <w:rPr>
          <w:rStyle w:val="17"/>
          <w:rFonts w:hint="eastAsia" w:asciiTheme="minorEastAsia" w:hAnsiTheme="minorEastAsia" w:eastAsiaTheme="minorEastAsia" w:cstheme="minorEastAsia"/>
          <w:color w:val="auto"/>
          <w:sz w:val="24"/>
          <w:u w:val="none"/>
        </w:rPr>
        <w:t>十、</w:t>
      </w:r>
      <w:r>
        <w:rPr>
          <w:rFonts w:hint="eastAsia" w:asciiTheme="minorEastAsia" w:hAnsiTheme="minorEastAsia" w:eastAsiaTheme="minorEastAsia" w:cstheme="minorEastAsia"/>
          <w:sz w:val="24"/>
        </w:rPr>
        <w:t>其他重要事项的情况说明</w:t>
      </w:r>
      <w:r>
        <w:rPr>
          <w:rFonts w:hint="eastAsia" w:asciiTheme="minorEastAsia" w:hAnsiTheme="minorEastAsia" w:eastAsiaTheme="minorEastAsia" w:cstheme="minorEastAsia"/>
          <w:sz w:val="24"/>
        </w:rPr>
        <w:tab/>
      </w:r>
    </w:p>
    <w:p w14:paraId="5D2B087E">
      <w:pPr>
        <w:pStyle w:val="11"/>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p>
    <w:p w14:paraId="4D0FD8FE">
      <w:pPr>
        <w:pStyle w:val="11"/>
        <w:adjustRightInd w:val="0"/>
        <w:snapToGrid w:val="0"/>
        <w:spacing w:before="0" w:line="440" w:lineRule="exact"/>
        <w:jc w:val="left"/>
        <w:rPr>
          <w:rFonts w:cstheme="minorBidi"/>
          <w:sz w:val="24"/>
          <w:szCs w:val="24"/>
        </w:rPr>
      </w:pPr>
      <w:r>
        <w:rPr>
          <w:rFonts w:hint="eastAsia"/>
          <w:sz w:val="24"/>
        </w:rPr>
        <w:t>第四部分</w:t>
      </w:r>
      <w:r>
        <w:rPr>
          <w:sz w:val="24"/>
        </w:rPr>
        <w:t xml:space="preserve"> </w:t>
      </w:r>
      <w:r>
        <w:rPr>
          <w:rFonts w:hint="eastAsia"/>
          <w:sz w:val="24"/>
        </w:rPr>
        <w:t>附件</w:t>
      </w:r>
    </w:p>
    <w:p w14:paraId="5B4F8115">
      <w:pPr>
        <w:pStyle w:val="11"/>
        <w:adjustRightInd w:val="0"/>
        <w:snapToGrid w:val="0"/>
        <w:spacing w:before="0" w:line="440" w:lineRule="exact"/>
        <w:jc w:val="left"/>
        <w:rPr>
          <w:rFonts w:cstheme="minorBidi"/>
          <w:sz w:val="24"/>
          <w:szCs w:val="24"/>
        </w:rPr>
      </w:pPr>
      <w:r>
        <w:rPr>
          <w:rFonts w:hint="eastAsia"/>
          <w:sz w:val="24"/>
        </w:rPr>
        <w:t>第五部分</w:t>
      </w:r>
      <w:r>
        <w:rPr>
          <w:sz w:val="24"/>
        </w:rPr>
        <w:t xml:space="preserve"> </w:t>
      </w:r>
      <w:r>
        <w:rPr>
          <w:rFonts w:hint="eastAsia"/>
          <w:sz w:val="24"/>
        </w:rPr>
        <w:t>附表</w:t>
      </w:r>
    </w:p>
    <w:p w14:paraId="45B900A7">
      <w:pPr>
        <w:pStyle w:val="12"/>
        <w:adjustRightInd w:val="0"/>
        <w:snapToGrid w:val="0"/>
        <w:spacing w:line="440" w:lineRule="exact"/>
        <w:jc w:val="left"/>
        <w:rPr>
          <w:sz w:val="24"/>
        </w:rPr>
      </w:pPr>
      <w:r>
        <w:rPr>
          <w:rFonts w:hint="eastAsia"/>
          <w:sz w:val="24"/>
        </w:rPr>
        <w:t>一、收入支出决算总表</w:t>
      </w:r>
    </w:p>
    <w:p w14:paraId="592FE335">
      <w:pPr>
        <w:pStyle w:val="12"/>
        <w:adjustRightInd w:val="0"/>
        <w:snapToGrid w:val="0"/>
        <w:spacing w:line="440" w:lineRule="exact"/>
        <w:jc w:val="left"/>
        <w:rPr>
          <w:sz w:val="24"/>
        </w:rPr>
      </w:pPr>
      <w:r>
        <w:rPr>
          <w:rFonts w:hint="eastAsia"/>
          <w:sz w:val="24"/>
        </w:rPr>
        <w:t>二、收入决算表</w:t>
      </w:r>
    </w:p>
    <w:p w14:paraId="4C511E6A">
      <w:pPr>
        <w:pStyle w:val="12"/>
        <w:adjustRightInd w:val="0"/>
        <w:snapToGrid w:val="0"/>
        <w:spacing w:line="440" w:lineRule="exact"/>
        <w:jc w:val="left"/>
        <w:rPr>
          <w:sz w:val="24"/>
        </w:rPr>
      </w:pPr>
      <w:r>
        <w:rPr>
          <w:rFonts w:hint="eastAsia"/>
          <w:sz w:val="24"/>
        </w:rPr>
        <w:t>三、支出决算表</w:t>
      </w:r>
    </w:p>
    <w:p w14:paraId="2F67EA97">
      <w:pPr>
        <w:pStyle w:val="12"/>
        <w:adjustRightInd w:val="0"/>
        <w:snapToGrid w:val="0"/>
        <w:spacing w:line="440" w:lineRule="exact"/>
        <w:jc w:val="left"/>
        <w:rPr>
          <w:sz w:val="24"/>
        </w:rPr>
      </w:pPr>
      <w:r>
        <w:rPr>
          <w:rFonts w:hint="eastAsia"/>
          <w:sz w:val="24"/>
        </w:rPr>
        <w:t>四、财政拨款收入支出决算总表</w:t>
      </w:r>
    </w:p>
    <w:p w14:paraId="1F4C1B5F">
      <w:pPr>
        <w:pStyle w:val="12"/>
        <w:adjustRightInd w:val="0"/>
        <w:snapToGrid w:val="0"/>
        <w:spacing w:line="440" w:lineRule="exact"/>
        <w:jc w:val="left"/>
        <w:rPr>
          <w:sz w:val="24"/>
        </w:rPr>
      </w:pPr>
      <w:r>
        <w:rPr>
          <w:rFonts w:hint="eastAsia"/>
          <w:sz w:val="24"/>
        </w:rPr>
        <w:t>五、财政拨款支出决算明细表</w:t>
      </w:r>
    </w:p>
    <w:p w14:paraId="1A0276C9">
      <w:pPr>
        <w:pStyle w:val="12"/>
        <w:adjustRightInd w:val="0"/>
        <w:snapToGrid w:val="0"/>
        <w:spacing w:line="440" w:lineRule="exact"/>
        <w:jc w:val="left"/>
        <w:rPr>
          <w:sz w:val="24"/>
        </w:rPr>
      </w:pPr>
      <w:r>
        <w:rPr>
          <w:rFonts w:hint="eastAsia"/>
          <w:sz w:val="24"/>
        </w:rPr>
        <w:t>六、一般公共预算财政拨款支出决算表</w:t>
      </w:r>
    </w:p>
    <w:p w14:paraId="3691EEC7">
      <w:pPr>
        <w:pStyle w:val="12"/>
        <w:adjustRightInd w:val="0"/>
        <w:snapToGrid w:val="0"/>
        <w:spacing w:line="440" w:lineRule="exact"/>
        <w:jc w:val="left"/>
        <w:rPr>
          <w:sz w:val="24"/>
        </w:rPr>
      </w:pPr>
      <w:r>
        <w:rPr>
          <w:rFonts w:hint="eastAsia"/>
          <w:sz w:val="24"/>
        </w:rPr>
        <w:t>七、一般公共预算财政拨款支出决算明细表</w:t>
      </w:r>
    </w:p>
    <w:p w14:paraId="6CA1DF10">
      <w:pPr>
        <w:pStyle w:val="12"/>
        <w:adjustRightInd w:val="0"/>
        <w:snapToGrid w:val="0"/>
        <w:spacing w:line="440" w:lineRule="exact"/>
        <w:jc w:val="left"/>
        <w:rPr>
          <w:sz w:val="24"/>
        </w:rPr>
      </w:pPr>
      <w:r>
        <w:rPr>
          <w:rFonts w:hint="eastAsia"/>
          <w:sz w:val="24"/>
        </w:rPr>
        <w:t>八、一般公共预算财政拨款基本支出决算明细表</w:t>
      </w:r>
    </w:p>
    <w:p w14:paraId="66EA7DF8">
      <w:pPr>
        <w:pStyle w:val="12"/>
        <w:adjustRightInd w:val="0"/>
        <w:snapToGrid w:val="0"/>
        <w:spacing w:line="440" w:lineRule="exact"/>
        <w:jc w:val="left"/>
        <w:rPr>
          <w:sz w:val="24"/>
        </w:rPr>
      </w:pPr>
      <w:r>
        <w:rPr>
          <w:rFonts w:hint="eastAsia"/>
          <w:sz w:val="24"/>
        </w:rPr>
        <w:t>九、一般公共预算财政拨款项目支出决算表</w:t>
      </w:r>
    </w:p>
    <w:p w14:paraId="762AFE7E">
      <w:pPr>
        <w:pStyle w:val="12"/>
        <w:adjustRightInd w:val="0"/>
        <w:snapToGrid w:val="0"/>
        <w:spacing w:line="440" w:lineRule="exact"/>
        <w:jc w:val="left"/>
        <w:rPr>
          <w:sz w:val="24"/>
        </w:rPr>
      </w:pPr>
      <w:r>
        <w:rPr>
          <w:rFonts w:hint="eastAsia"/>
          <w:sz w:val="24"/>
        </w:rPr>
        <w:t>十、政府性基金预算财政拨款收入支出决算表</w:t>
      </w:r>
    </w:p>
    <w:p w14:paraId="4A284770">
      <w:pPr>
        <w:pStyle w:val="12"/>
        <w:adjustRightInd w:val="0"/>
        <w:snapToGrid w:val="0"/>
        <w:spacing w:line="440" w:lineRule="exact"/>
        <w:jc w:val="left"/>
        <w:rPr>
          <w:sz w:val="24"/>
        </w:rPr>
      </w:pPr>
      <w:r>
        <w:rPr>
          <w:rFonts w:hint="eastAsia"/>
          <w:sz w:val="24"/>
        </w:rPr>
        <w:t>十一、国有资本经营预算财政拨款收入支出决算表</w:t>
      </w:r>
    </w:p>
    <w:p w14:paraId="7C410F23">
      <w:pPr>
        <w:pStyle w:val="12"/>
        <w:adjustRightInd w:val="0"/>
        <w:snapToGrid w:val="0"/>
        <w:spacing w:line="440" w:lineRule="exact"/>
        <w:jc w:val="left"/>
        <w:rPr>
          <w:sz w:val="24"/>
        </w:rPr>
      </w:pPr>
      <w:r>
        <w:rPr>
          <w:rFonts w:hint="eastAsia"/>
          <w:sz w:val="24"/>
        </w:rPr>
        <w:t>十二、国有资本经营预算财政拨款支出决算表</w:t>
      </w:r>
    </w:p>
    <w:p w14:paraId="1D28AEBE">
      <w:pPr>
        <w:pStyle w:val="12"/>
        <w:adjustRightInd w:val="0"/>
        <w:snapToGrid w:val="0"/>
        <w:spacing w:line="440" w:lineRule="exact"/>
        <w:jc w:val="left"/>
        <w:rPr>
          <w:rFonts w:asciiTheme="minorEastAsia" w:hAnsiTheme="minorEastAsia" w:eastAsiaTheme="minorEastAsia" w:cstheme="minorEastAsia"/>
          <w:sz w:val="24"/>
        </w:rPr>
      </w:pPr>
      <w:r>
        <w:rPr>
          <w:rFonts w:hint="eastAsia"/>
          <w:sz w:val="24"/>
        </w:rPr>
        <w:t>十三、财政拨款“三公”经费支出决算表</w:t>
      </w:r>
    </w:p>
    <w:p w14:paraId="2A83706B">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4D2EC2A0">
      <w:pPr>
        <w:pStyle w:val="3"/>
        <w:jc w:val="center"/>
        <w:rPr>
          <w:rStyle w:val="27"/>
          <w:rFonts w:ascii="黑体" w:hAnsi="黑体" w:eastAsia="黑体"/>
          <w:b/>
          <w:bCs w:val="0"/>
        </w:rPr>
      </w:pPr>
      <w:r>
        <w:rPr>
          <w:rFonts w:hint="eastAsia" w:ascii="黑体" w:hAnsi="黑体" w:eastAsia="黑体"/>
          <w:b w:val="0"/>
        </w:rPr>
        <w:t xml:space="preserve">第一部分 </w:t>
      </w:r>
      <w:r>
        <w:rPr>
          <w:rStyle w:val="27"/>
          <w:rFonts w:hint="eastAsia" w:ascii="黑体" w:hAnsi="黑体" w:eastAsia="黑体"/>
          <w:b w:val="0"/>
          <w:bCs w:val="0"/>
        </w:rPr>
        <w:t>部门概况</w:t>
      </w:r>
      <w:bookmarkEnd w:id="12"/>
      <w:bookmarkEnd w:id="13"/>
    </w:p>
    <w:p w14:paraId="7B72D6F1">
      <w:pPr>
        <w:widowControl/>
        <w:jc w:val="left"/>
        <w:rPr>
          <w:rFonts w:ascii="黑体" w:eastAsia="黑体"/>
          <w:sz w:val="32"/>
          <w:szCs w:val="32"/>
        </w:rPr>
      </w:pPr>
    </w:p>
    <w:p w14:paraId="476871E2">
      <w:pPr>
        <w:pStyle w:val="4"/>
        <w:rPr>
          <w:rStyle w:val="28"/>
          <w:rFonts w:ascii="仿宋" w:hAnsi="仿宋" w:eastAsia="黑体"/>
          <w:b w:val="0"/>
          <w:bCs w:val="0"/>
        </w:rPr>
      </w:pPr>
      <w:bookmarkStart w:id="14" w:name="_Toc15377197"/>
      <w:bookmarkStart w:id="15" w:name="_Toc15396600"/>
      <w:r>
        <w:rPr>
          <w:rFonts w:hint="eastAsia" w:ascii="黑体" w:hAnsi="黑体" w:eastAsia="黑体"/>
          <w:b w:val="0"/>
        </w:rPr>
        <w:t>一、</w:t>
      </w:r>
      <w:bookmarkEnd w:id="14"/>
      <w:bookmarkEnd w:id="15"/>
      <w:r>
        <w:rPr>
          <w:rFonts w:hint="eastAsia" w:ascii="黑体" w:hAnsi="黑体" w:eastAsia="黑体"/>
          <w:b w:val="0"/>
        </w:rPr>
        <w:t>部门职责</w:t>
      </w:r>
    </w:p>
    <w:p w14:paraId="669B3CAC">
      <w:pPr>
        <w:pStyle w:val="4"/>
        <w:rPr>
          <w:rStyle w:val="28"/>
          <w:b w:val="0"/>
          <w:bCs w:val="0"/>
        </w:rPr>
      </w:pPr>
      <w:bookmarkStart w:id="16" w:name="_Toc15396601"/>
      <w:bookmarkStart w:id="17" w:name="_Toc15377200"/>
      <w:r>
        <w:rPr>
          <w:rFonts w:hint="eastAsia" w:ascii="黑体" w:eastAsia="黑体"/>
          <w:b w:val="0"/>
        </w:rPr>
        <w:t>二、</w:t>
      </w:r>
      <w:r>
        <w:rPr>
          <w:rFonts w:hint="eastAsia" w:ascii="黑体" w:hAnsi="黑体" w:eastAsia="黑体"/>
          <w:b w:val="0"/>
        </w:rPr>
        <w:t>机</w:t>
      </w:r>
      <w:r>
        <w:rPr>
          <w:rStyle w:val="28"/>
          <w:rFonts w:hint="eastAsia" w:ascii="黑体" w:hAnsi="黑体" w:eastAsia="黑体"/>
          <w:b w:val="0"/>
          <w:bCs w:val="0"/>
        </w:rPr>
        <w:t>构设置</w:t>
      </w:r>
      <w:bookmarkEnd w:id="16"/>
      <w:bookmarkEnd w:id="17"/>
    </w:p>
    <w:p w14:paraId="72B5F61D">
      <w:pPr>
        <w:ind w:firstLine="800" w:firstLineChars="250"/>
        <w:rPr>
          <w:rFonts w:ascii="仿宋" w:hAnsi="仿宋" w:eastAsia="仿宋"/>
          <w:sz w:val="32"/>
          <w:szCs w:val="32"/>
        </w:rPr>
      </w:pPr>
      <w:r>
        <w:rPr>
          <w:sz w:val="32"/>
          <w:szCs w:val="32"/>
        </w:rPr>
        <w:t>马边彝族自治县雪口山镇人民政府</w:t>
      </w:r>
      <w:r>
        <w:rPr>
          <w:rFonts w:hint="eastAsia" w:ascii="仿宋" w:hAnsi="仿宋" w:eastAsia="仿宋"/>
          <w:sz w:val="32"/>
          <w:szCs w:val="32"/>
        </w:rPr>
        <w:t>下属二级预算单位</w:t>
      </w:r>
      <w:r>
        <w:rPr>
          <w:sz w:val="32"/>
          <w:szCs w:val="32"/>
        </w:rPr>
        <w:t>5</w:t>
      </w:r>
      <w:r>
        <w:rPr>
          <w:rFonts w:hint="eastAsia" w:ascii="仿宋" w:hAnsi="仿宋" w:eastAsia="仿宋"/>
          <w:sz w:val="32"/>
          <w:szCs w:val="32"/>
        </w:rPr>
        <w:t>个，其中行政单位</w:t>
      </w:r>
      <w:r>
        <w:rPr>
          <w:rFonts w:hint="eastAsia" w:ascii="仿宋" w:hAnsi="仿宋" w:eastAsia="仿宋"/>
          <w:sz w:val="32"/>
          <w:szCs w:val="32"/>
          <w:lang w:val="en-US" w:eastAsia="zh-CN"/>
        </w:rPr>
        <w:t>1</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0</w:t>
      </w:r>
      <w:r>
        <w:rPr>
          <w:rFonts w:hint="eastAsia" w:ascii="仿宋" w:hAnsi="仿宋" w:eastAsia="仿宋"/>
          <w:sz w:val="32"/>
          <w:szCs w:val="32"/>
        </w:rPr>
        <w:t>个，其他事业单位</w:t>
      </w:r>
      <w:r>
        <w:rPr>
          <w:rFonts w:hint="eastAsia" w:ascii="仿宋" w:hAnsi="仿宋" w:eastAsia="仿宋"/>
          <w:sz w:val="32"/>
          <w:szCs w:val="32"/>
          <w:lang w:val="en-US" w:eastAsia="zh-CN"/>
        </w:rPr>
        <w:t>4</w:t>
      </w:r>
      <w:r>
        <w:rPr>
          <w:rFonts w:hint="eastAsia" w:ascii="仿宋" w:hAnsi="仿宋" w:eastAsia="仿宋"/>
          <w:sz w:val="32"/>
          <w:szCs w:val="32"/>
        </w:rPr>
        <w:t>个。</w:t>
      </w:r>
    </w:p>
    <w:p w14:paraId="21160E8F">
      <w:pPr>
        <w:pStyle w:val="2"/>
        <w:adjustRightInd w:val="0"/>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纳入</w:t>
      </w:r>
      <w:r>
        <w:rPr>
          <w:rFonts w:ascii="Times New Roman" w:eastAsia="宋体"/>
          <w:kern w:val="2"/>
          <w:sz w:val="32"/>
          <w:szCs w:val="32"/>
        </w:rPr>
        <w:t>马边彝族自治县雪口山镇人民政府</w:t>
      </w:r>
      <w:r>
        <w:rPr>
          <w:rFonts w:hint="eastAsia" w:ascii="仿宋" w:hAnsi="仿宋" w:eastAsia="仿宋"/>
          <w:sz w:val="32"/>
          <w:szCs w:val="32"/>
        </w:rPr>
        <w:t>2023年度部门决算编制范围的二级预算单位包括：</w:t>
      </w:r>
    </w:p>
    <w:p w14:paraId="5EED7B70">
      <w:pPr>
        <w:pStyle w:val="2"/>
        <w:numPr>
          <w:ilvl w:val="0"/>
          <w:numId w:val="1"/>
        </w:numPr>
        <w:adjustRightInd w:val="0"/>
        <w:snapToGrid w:val="0"/>
        <w:spacing w:before="93" w:line="600" w:lineRule="exact"/>
        <w:outlineLvl w:val="2"/>
        <w:rPr>
          <w:rFonts w:ascii="仿宋" w:hAnsi="仿宋" w:eastAsia="仿宋"/>
          <w:sz w:val="32"/>
          <w:szCs w:val="32"/>
        </w:rPr>
      </w:pPr>
      <w:r>
        <w:rPr>
          <w:rFonts w:hint="eastAsia" w:ascii="仿宋" w:hAnsi="仿宋" w:eastAsia="仿宋"/>
          <w:sz w:val="32"/>
          <w:szCs w:val="32"/>
          <w:lang w:eastAsia="zh-CN"/>
        </w:rPr>
        <w:t>马边彝族自治县雪口山镇人民政府</w:t>
      </w:r>
    </w:p>
    <w:p w14:paraId="06457A14">
      <w:pPr>
        <w:pStyle w:val="2"/>
        <w:numPr>
          <w:ilvl w:val="0"/>
          <w:numId w:val="1"/>
        </w:numPr>
        <w:adjustRightInd w:val="0"/>
        <w:snapToGrid w:val="0"/>
        <w:spacing w:before="93" w:line="600" w:lineRule="exact"/>
        <w:outlineLvl w:val="2"/>
        <w:rPr>
          <w:rFonts w:ascii="仿宋" w:hAnsi="仿宋" w:eastAsia="仿宋"/>
          <w:sz w:val="32"/>
          <w:szCs w:val="32"/>
        </w:rPr>
      </w:pPr>
      <w:bookmarkStart w:id="18" w:name="_Toc15377434"/>
      <w:bookmarkStart w:id="19" w:name="_Toc15306277"/>
      <w:bookmarkStart w:id="20" w:name="_Toc15378450"/>
      <w:bookmarkStart w:id="21" w:name="_Toc15377203"/>
      <w:r>
        <w:rPr>
          <w:rFonts w:hint="eastAsia" w:ascii="仿宋" w:hAnsi="仿宋" w:eastAsia="仿宋"/>
          <w:sz w:val="32"/>
          <w:szCs w:val="32"/>
          <w:lang w:eastAsia="zh-CN"/>
        </w:rPr>
        <w:t>马边</w:t>
      </w:r>
      <w:bookmarkEnd w:id="18"/>
      <w:bookmarkEnd w:id="19"/>
      <w:bookmarkEnd w:id="20"/>
      <w:bookmarkEnd w:id="21"/>
      <w:r>
        <w:rPr>
          <w:rFonts w:hint="eastAsia" w:ascii="仿宋" w:hAnsi="仿宋" w:eastAsia="仿宋"/>
          <w:sz w:val="32"/>
          <w:szCs w:val="32"/>
          <w:lang w:eastAsia="zh-CN"/>
        </w:rPr>
        <w:t>彝族自治县雪口山镇便民服务中心</w:t>
      </w:r>
    </w:p>
    <w:p w14:paraId="0FBB5BB0">
      <w:pPr>
        <w:pStyle w:val="2"/>
        <w:numPr>
          <w:ilvl w:val="0"/>
          <w:numId w:val="1"/>
        </w:numPr>
        <w:adjustRightInd w:val="0"/>
        <w:snapToGrid w:val="0"/>
        <w:spacing w:before="93" w:line="600" w:lineRule="exact"/>
        <w:outlineLvl w:val="2"/>
        <w:rPr>
          <w:rFonts w:ascii="仿宋" w:hAnsi="仿宋" w:eastAsia="仿宋"/>
          <w:sz w:val="32"/>
          <w:szCs w:val="32"/>
        </w:rPr>
      </w:pPr>
      <w:r>
        <w:rPr>
          <w:rFonts w:hint="eastAsia" w:ascii="仿宋" w:hAnsi="仿宋" w:eastAsia="仿宋"/>
          <w:sz w:val="32"/>
          <w:szCs w:val="32"/>
          <w:lang w:eastAsia="zh-CN"/>
        </w:rPr>
        <w:t>马边彝族自治县雪口山镇农业综合服务中心</w:t>
      </w:r>
    </w:p>
    <w:p w14:paraId="17471786">
      <w:pPr>
        <w:pStyle w:val="2"/>
        <w:numPr>
          <w:ilvl w:val="0"/>
          <w:numId w:val="1"/>
        </w:numPr>
        <w:adjustRightInd w:val="0"/>
        <w:snapToGrid w:val="0"/>
        <w:spacing w:before="93" w:line="600" w:lineRule="exact"/>
        <w:outlineLvl w:val="2"/>
        <w:rPr>
          <w:rFonts w:ascii="仿宋" w:hAnsi="仿宋" w:eastAsia="仿宋"/>
          <w:sz w:val="32"/>
          <w:szCs w:val="32"/>
        </w:rPr>
      </w:pPr>
      <w:r>
        <w:rPr>
          <w:rFonts w:hint="eastAsia" w:ascii="仿宋" w:hAnsi="仿宋" w:eastAsia="仿宋"/>
          <w:sz w:val="32"/>
          <w:szCs w:val="32"/>
          <w:lang w:eastAsia="zh-CN"/>
        </w:rPr>
        <w:t>马边彝族自治县雪口山镇农民工服务中心</w:t>
      </w:r>
    </w:p>
    <w:p w14:paraId="0DA913FA">
      <w:pPr>
        <w:pStyle w:val="2"/>
        <w:numPr>
          <w:ilvl w:val="0"/>
          <w:numId w:val="1"/>
        </w:numPr>
        <w:adjustRightInd w:val="0"/>
        <w:snapToGrid w:val="0"/>
        <w:spacing w:before="93" w:line="600" w:lineRule="exact"/>
        <w:outlineLvl w:val="2"/>
        <w:rPr>
          <w:rFonts w:ascii="仿宋" w:hAnsi="仿宋" w:eastAsia="仿宋"/>
          <w:sz w:val="32"/>
          <w:szCs w:val="32"/>
        </w:rPr>
      </w:pPr>
      <w:r>
        <w:rPr>
          <w:rFonts w:hint="eastAsia" w:ascii="仿宋" w:hAnsi="仿宋" w:eastAsia="仿宋"/>
          <w:sz w:val="32"/>
          <w:szCs w:val="32"/>
          <w:lang w:eastAsia="zh-CN"/>
        </w:rPr>
        <w:t>马边彝族自治县雪口山镇文化旅游服务中心</w:t>
      </w:r>
    </w:p>
    <w:p w14:paraId="3AD2D02F">
      <w:pPr>
        <w:pStyle w:val="2"/>
        <w:adjustRightInd w:val="0"/>
        <w:snapToGrid w:val="0"/>
        <w:spacing w:before="93" w:line="600" w:lineRule="exact"/>
        <w:rPr>
          <w:rFonts w:ascii="仿宋" w:hAnsi="仿宋" w:eastAsia="仿宋"/>
          <w:sz w:val="32"/>
          <w:szCs w:val="32"/>
        </w:rPr>
      </w:pPr>
    </w:p>
    <w:p w14:paraId="55212184">
      <w:pPr>
        <w:widowControl/>
        <w:jc w:val="left"/>
        <w:rPr>
          <w:rFonts w:ascii="仿宋" w:hAnsi="仿宋" w:eastAsia="仿宋"/>
          <w:kern w:val="0"/>
          <w:sz w:val="32"/>
          <w:szCs w:val="32"/>
        </w:rPr>
      </w:pPr>
      <w:r>
        <w:rPr>
          <w:rFonts w:ascii="仿宋" w:hAnsi="仿宋" w:eastAsia="仿宋"/>
          <w:sz w:val="32"/>
          <w:szCs w:val="32"/>
        </w:rPr>
        <w:br w:type="page"/>
      </w:r>
    </w:p>
    <w:p w14:paraId="0D6A2798">
      <w:pPr>
        <w:pStyle w:val="3"/>
        <w:ind w:right="440"/>
        <w:jc w:val="center"/>
        <w:rPr>
          <w:rStyle w:val="27"/>
          <w:rFonts w:ascii="黑体" w:hAnsi="黑体" w:eastAsia="黑体"/>
          <w:b w:val="0"/>
          <w:bCs/>
        </w:rPr>
      </w:pPr>
      <w:bookmarkStart w:id="22" w:name="_Toc15396602"/>
      <w:bookmarkStart w:id="23" w:name="_Toc15377204"/>
      <w:r>
        <w:rPr>
          <w:rFonts w:hint="eastAsia" w:ascii="黑体" w:hAnsi="黑体" w:eastAsia="黑体"/>
          <w:b w:val="0"/>
        </w:rPr>
        <w:t>第二部分 2023年度</w:t>
      </w:r>
      <w:r>
        <w:rPr>
          <w:rStyle w:val="27"/>
          <w:rFonts w:hint="eastAsia" w:ascii="黑体" w:hAnsi="黑体" w:eastAsia="黑体"/>
          <w:b w:val="0"/>
          <w:bCs/>
        </w:rPr>
        <w:t>部门决算情况说明</w:t>
      </w:r>
      <w:bookmarkEnd w:id="22"/>
      <w:bookmarkEnd w:id="23"/>
    </w:p>
    <w:p w14:paraId="785ECCC0"/>
    <w:p w14:paraId="01441E48">
      <w:pPr>
        <w:pStyle w:val="26"/>
        <w:numPr>
          <w:ilvl w:val="0"/>
          <w:numId w:val="2"/>
        </w:numPr>
        <w:spacing w:line="600" w:lineRule="exact"/>
        <w:ind w:firstLineChars="0"/>
        <w:outlineLvl w:val="1"/>
        <w:rPr>
          <w:rStyle w:val="28"/>
          <w:rFonts w:ascii="黑体" w:hAnsi="黑体" w:eastAsia="黑体"/>
          <w:b w:val="0"/>
        </w:rPr>
      </w:pPr>
      <w:bookmarkStart w:id="24" w:name="_Toc15377205"/>
      <w:bookmarkStart w:id="25" w:name="_Toc15396603"/>
      <w:r>
        <w:rPr>
          <w:rFonts w:hint="eastAsia" w:ascii="黑体" w:hAnsi="黑体" w:eastAsia="黑体"/>
          <w:sz w:val="32"/>
          <w:szCs w:val="32"/>
        </w:rPr>
        <w:t>收</w:t>
      </w:r>
      <w:r>
        <w:rPr>
          <w:rStyle w:val="28"/>
          <w:rFonts w:hint="eastAsia" w:ascii="黑体" w:hAnsi="黑体" w:eastAsia="黑体"/>
          <w:b w:val="0"/>
        </w:rPr>
        <w:t>入支出决算总体情况说明</w:t>
      </w:r>
      <w:bookmarkEnd w:id="24"/>
      <w:bookmarkEnd w:id="25"/>
    </w:p>
    <w:p w14:paraId="1D59874C">
      <w:pPr>
        <w:spacing w:line="600" w:lineRule="exact"/>
        <w:ind w:firstLine="640" w:firstLineChars="200"/>
        <w:jc w:val="left"/>
        <w:rPr>
          <w:rFonts w:ascii="仿宋" w:hAnsi="仿宋" w:eastAsia="仿宋"/>
          <w:sz w:val="32"/>
          <w:szCs w:val="32"/>
        </w:rPr>
      </w:pPr>
      <w:r>
        <w:rPr>
          <w:rFonts w:hint="eastAsia" w:ascii="仿宋" w:hAnsi="仿宋" w:eastAsia="仿宋"/>
          <w:sz w:val="32"/>
          <w:szCs w:val="32"/>
        </w:rPr>
        <w:t>2023年度收、支总计均为</w:t>
      </w:r>
      <w:r>
        <w:rPr>
          <w:rFonts w:hint="eastAsia"/>
          <w:sz w:val="32"/>
          <w:szCs w:val="32"/>
        </w:rPr>
        <w:t>1789.22</w:t>
      </w:r>
      <w:r>
        <w:rPr>
          <w:rFonts w:hint="eastAsia" w:ascii="仿宋" w:hAnsi="仿宋" w:eastAsia="仿宋"/>
          <w:sz w:val="32"/>
          <w:szCs w:val="32"/>
        </w:rPr>
        <w:t>万元</w:t>
      </w:r>
      <w:r>
        <w:rPr>
          <w:rFonts w:hint="eastAsia"/>
          <w:sz w:val="32"/>
          <w:szCs w:val="32"/>
        </w:rPr>
        <w:t>。</w:t>
      </w:r>
      <w:r>
        <w:rPr>
          <w:rFonts w:hint="eastAsia" w:ascii="仿宋" w:hAnsi="仿宋" w:eastAsia="仿宋"/>
          <w:sz w:val="32"/>
          <w:szCs w:val="32"/>
        </w:rPr>
        <w:t>与2022年度相比，收、支总计减少</w:t>
      </w:r>
      <w:r>
        <w:rPr>
          <w:rFonts w:hint="eastAsia" w:ascii="仿宋" w:hAnsi="仿宋" w:eastAsia="仿宋"/>
          <w:sz w:val="32"/>
          <w:szCs w:val="32"/>
          <w:lang w:val="en-US" w:eastAsia="zh-CN"/>
        </w:rPr>
        <w:t>576.87</w:t>
      </w:r>
      <w:r>
        <w:rPr>
          <w:rFonts w:hint="eastAsia" w:ascii="仿宋" w:hAnsi="仿宋" w:eastAsia="仿宋"/>
          <w:sz w:val="32"/>
          <w:szCs w:val="32"/>
        </w:rPr>
        <w:t>万元，下降</w:t>
      </w:r>
      <w:r>
        <w:rPr>
          <w:rFonts w:hint="eastAsia" w:ascii="仿宋" w:hAnsi="仿宋" w:eastAsia="仿宋"/>
          <w:sz w:val="32"/>
          <w:szCs w:val="32"/>
          <w:lang w:val="en-US" w:eastAsia="zh-CN"/>
        </w:rPr>
        <w:t>24.38</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项目减少</w:t>
      </w:r>
      <w:r>
        <w:rPr>
          <w:rFonts w:hint="eastAsia" w:ascii="仿宋" w:hAnsi="仿宋" w:eastAsia="仿宋"/>
          <w:sz w:val="32"/>
          <w:szCs w:val="32"/>
        </w:rPr>
        <w:t>。</w:t>
      </w:r>
    </w:p>
    <w:p w14:paraId="7652D7A6">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r>
        <w:rPr>
          <w:rFonts w:hint="eastAsia" w:ascii="仿宋" w:hAnsi="仿宋" w:eastAsia="仿宋" w:cs="仿宋"/>
          <w:b w:val="0"/>
          <w:i w:val="0"/>
          <w:caps w:val="0"/>
          <w:color w:val="333333"/>
          <w:spacing w:val="0"/>
          <w:kern w:val="0"/>
          <w:sz w:val="32"/>
          <w:szCs w:val="32"/>
          <w:shd w:val="clear" w:color="auto" w:fill="FFFFFF"/>
          <w:lang w:val="en-US" w:eastAsia="zh-CN" w:bidi="ar"/>
        </w:rPr>
        <w:drawing>
          <wp:anchor distT="0" distB="0" distL="114300" distR="114300" simplePos="0" relativeHeight="251659264" behindDoc="0" locked="0" layoutInCell="1" allowOverlap="1">
            <wp:simplePos x="0" y="0"/>
            <wp:positionH relativeFrom="column">
              <wp:posOffset>410845</wp:posOffset>
            </wp:positionH>
            <wp:positionV relativeFrom="paragraph">
              <wp:posOffset>153670</wp:posOffset>
            </wp:positionV>
            <wp:extent cx="5080000" cy="3810000"/>
            <wp:effectExtent l="4445" t="4445" r="20955" b="14605"/>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1CCDFC80">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p>
    <w:p w14:paraId="39764A43">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p>
    <w:p w14:paraId="10899438">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p>
    <w:p w14:paraId="5FC7AF5E">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p>
    <w:p w14:paraId="1BF7BCCA">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p>
    <w:p w14:paraId="0077B495">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p>
    <w:p w14:paraId="085E36DF">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p>
    <w:p w14:paraId="62E7D885">
      <w:pPr>
        <w:pStyle w:val="2"/>
        <w:ind w:left="0" w:leftChars="0" w:firstLine="0" w:firstLineChars="0"/>
        <w:rPr>
          <w:rFonts w:hint="eastAsia"/>
          <w:lang w:eastAsia="zh-CN"/>
        </w:rPr>
      </w:pPr>
    </w:p>
    <w:p w14:paraId="21D26B99">
      <w:pPr>
        <w:spacing w:line="600" w:lineRule="exact"/>
        <w:ind w:firstLine="640" w:firstLineChars="200"/>
        <w:rPr>
          <w:rFonts w:hint="default" w:ascii="仿宋_GB2312" w:eastAsia="仿宋_GB2312"/>
          <w:sz w:val="32"/>
          <w:szCs w:val="32"/>
          <w:lang w:val="en-US" w:eastAsia="zh-CN"/>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0E940791">
      <w:pPr>
        <w:pStyle w:val="26"/>
        <w:numPr>
          <w:ilvl w:val="0"/>
          <w:numId w:val="2"/>
        </w:numPr>
        <w:spacing w:line="600" w:lineRule="exact"/>
        <w:ind w:firstLineChars="0"/>
        <w:outlineLvl w:val="1"/>
        <w:rPr>
          <w:rStyle w:val="28"/>
          <w:rFonts w:ascii="黑体" w:hAnsi="黑体" w:eastAsia="黑体"/>
          <w:b w:val="0"/>
        </w:rPr>
      </w:pPr>
      <w:bookmarkStart w:id="26" w:name="_Toc15377206"/>
      <w:bookmarkStart w:id="27" w:name="_Toc15396604"/>
      <w:r>
        <w:rPr>
          <w:rFonts w:hint="eastAsia" w:ascii="黑体" w:hAnsi="黑体" w:eastAsia="黑体"/>
          <w:sz w:val="32"/>
          <w:szCs w:val="32"/>
        </w:rPr>
        <w:t>收</w:t>
      </w:r>
      <w:r>
        <w:rPr>
          <w:rStyle w:val="28"/>
          <w:rFonts w:hint="eastAsia" w:ascii="黑体" w:hAnsi="黑体" w:eastAsia="黑体"/>
          <w:b w:val="0"/>
        </w:rPr>
        <w:t>入决算情况说明</w:t>
      </w:r>
      <w:bookmarkEnd w:id="26"/>
      <w:bookmarkEnd w:id="27"/>
    </w:p>
    <w:p w14:paraId="73A48637">
      <w:pPr>
        <w:spacing w:line="600" w:lineRule="exact"/>
        <w:ind w:firstLine="640" w:firstLineChars="200"/>
        <w:jc w:val="left"/>
        <w:outlineLvl w:val="1"/>
        <w:rPr>
          <w:rFonts w:ascii="仿宋" w:hAnsi="仿宋" w:eastAsia="仿宋"/>
          <w:sz w:val="32"/>
          <w:szCs w:val="32"/>
        </w:rPr>
      </w:pPr>
      <w:r>
        <w:rPr>
          <w:rFonts w:hint="eastAsia" w:ascii="仿宋" w:hAnsi="仿宋" w:eastAsia="仿宋"/>
          <w:sz w:val="32"/>
          <w:szCs w:val="32"/>
        </w:rPr>
        <w:t>2023年度本年收入合计</w:t>
      </w:r>
      <w:r>
        <w:rPr>
          <w:sz w:val="32"/>
          <w:szCs w:val="32"/>
        </w:rPr>
        <w:t>1694.03</w:t>
      </w:r>
      <w:r>
        <w:rPr>
          <w:rFonts w:hint="eastAsia" w:ascii="仿宋" w:hAnsi="仿宋" w:eastAsia="仿宋"/>
          <w:sz w:val="32"/>
          <w:szCs w:val="32"/>
        </w:rPr>
        <w:t>万元，其中：一般公共预算财政拨款收入</w:t>
      </w:r>
      <w:r>
        <w:rPr>
          <w:sz w:val="32"/>
          <w:szCs w:val="32"/>
        </w:rPr>
        <w:t>1544.58</w:t>
      </w:r>
      <w:r>
        <w:rPr>
          <w:rFonts w:hint="eastAsia" w:ascii="仿宋" w:hAnsi="仿宋" w:eastAsia="仿宋"/>
          <w:sz w:val="32"/>
          <w:szCs w:val="32"/>
        </w:rPr>
        <w:t>万元，占</w:t>
      </w:r>
      <w:r>
        <w:rPr>
          <w:sz w:val="32"/>
          <w:szCs w:val="32"/>
        </w:rPr>
        <w:t>91.17</w:t>
      </w:r>
      <w:r>
        <w:rPr>
          <w:rFonts w:ascii="仿宋" w:hAnsi="仿宋" w:eastAsia="仿宋"/>
          <w:sz w:val="32"/>
          <w:szCs w:val="32"/>
        </w:rPr>
        <w:t>%</w:t>
      </w:r>
      <w:r>
        <w:rPr>
          <w:rFonts w:hint="eastAsia" w:ascii="仿宋" w:hAnsi="仿宋" w:eastAsia="仿宋"/>
          <w:sz w:val="32"/>
          <w:szCs w:val="32"/>
        </w:rPr>
        <w:t>；政府性基金预算财政拨款收入</w:t>
      </w:r>
      <w:r>
        <w:rPr>
          <w:sz w:val="32"/>
          <w:szCs w:val="32"/>
        </w:rPr>
        <w:t>7</w:t>
      </w:r>
      <w:r>
        <w:rPr>
          <w:rFonts w:hint="eastAsia" w:ascii="仿宋" w:hAnsi="仿宋" w:eastAsia="仿宋"/>
          <w:sz w:val="32"/>
          <w:szCs w:val="32"/>
        </w:rPr>
        <w:t>万元，占</w:t>
      </w:r>
      <w:r>
        <w:rPr>
          <w:sz w:val="32"/>
          <w:szCs w:val="32"/>
        </w:rPr>
        <w:t>0.41</w:t>
      </w:r>
      <w:r>
        <w:rPr>
          <w:rFonts w:ascii="仿宋" w:hAnsi="仿宋" w:eastAsia="仿宋"/>
          <w:sz w:val="32"/>
          <w:szCs w:val="32"/>
        </w:rPr>
        <w:t>%</w:t>
      </w:r>
      <w:r>
        <w:rPr>
          <w:rFonts w:hint="eastAsia" w:ascii="仿宋" w:hAnsi="仿宋" w:eastAsia="仿宋"/>
          <w:sz w:val="32"/>
          <w:szCs w:val="32"/>
        </w:rPr>
        <w:t>；国有资本经营预算财政拨款收入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；上级补助收入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；事业收入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；经营收入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；附属单位上缴收入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；其他收入</w:t>
      </w:r>
      <w:r>
        <w:rPr>
          <w:sz w:val="32"/>
          <w:szCs w:val="32"/>
        </w:rPr>
        <w:t>142.45</w:t>
      </w:r>
      <w:r>
        <w:rPr>
          <w:rFonts w:hint="eastAsia" w:ascii="仿宋" w:hAnsi="仿宋" w:eastAsia="仿宋"/>
          <w:sz w:val="32"/>
          <w:szCs w:val="32"/>
        </w:rPr>
        <w:t>万元，占</w:t>
      </w:r>
      <w:r>
        <w:rPr>
          <w:sz w:val="32"/>
          <w:szCs w:val="32"/>
        </w:rPr>
        <w:t>8.4</w:t>
      </w:r>
      <w:r>
        <w:rPr>
          <w:rFonts w:hint="eastAsia"/>
          <w:sz w:val="32"/>
          <w:szCs w:val="32"/>
          <w:lang w:val="en-US" w:eastAsia="zh-CN"/>
        </w:rPr>
        <w:t>2</w:t>
      </w:r>
      <w:r>
        <w:rPr>
          <w:rFonts w:ascii="仿宋" w:hAnsi="仿宋" w:eastAsia="仿宋"/>
          <w:sz w:val="32"/>
          <w:szCs w:val="32"/>
        </w:rPr>
        <w:t>%</w:t>
      </w:r>
      <w:r>
        <w:rPr>
          <w:rFonts w:hint="eastAsia" w:ascii="仿宋" w:hAnsi="仿宋" w:eastAsia="仿宋"/>
          <w:sz w:val="32"/>
          <w:szCs w:val="32"/>
        </w:rPr>
        <w:t>。</w:t>
      </w:r>
    </w:p>
    <w:p w14:paraId="1FA6EE01">
      <w:pPr>
        <w:spacing w:line="600" w:lineRule="exact"/>
        <w:ind w:firstLine="640" w:firstLineChars="200"/>
        <w:outlineLvl w:val="9"/>
        <w:rPr>
          <w:rFonts w:hint="eastAsia" w:ascii="仿宋" w:hAnsi="仿宋" w:eastAsia="仿宋" w:cs="仿宋"/>
          <w:b w:val="0"/>
          <w:i w:val="0"/>
          <w:caps w:val="0"/>
          <w:color w:val="333333"/>
          <w:spacing w:val="0"/>
          <w:kern w:val="0"/>
          <w:sz w:val="32"/>
          <w:szCs w:val="32"/>
          <w:shd w:val="clear" w:color="auto" w:fill="FFFFFF"/>
          <w:lang w:val="en-US" w:eastAsia="zh-CN" w:bidi="ar"/>
        </w:rPr>
      </w:pPr>
    </w:p>
    <w:p w14:paraId="5AC1C6B3">
      <w:pPr>
        <w:spacing w:line="600" w:lineRule="exact"/>
        <w:ind w:firstLine="640" w:firstLineChars="200"/>
        <w:outlineLvl w:val="9"/>
        <w:rPr>
          <w:rFonts w:hint="eastAsia" w:ascii="仿宋" w:hAnsi="仿宋" w:eastAsia="仿宋" w:cs="仿宋"/>
          <w:b w:val="0"/>
          <w:i w:val="0"/>
          <w:caps w:val="0"/>
          <w:color w:val="333333"/>
          <w:spacing w:val="0"/>
          <w:kern w:val="0"/>
          <w:sz w:val="32"/>
          <w:szCs w:val="32"/>
          <w:shd w:val="clear" w:color="auto" w:fill="FFFFFF"/>
          <w:lang w:val="en-US" w:eastAsia="zh-CN" w:bidi="ar"/>
        </w:rPr>
      </w:pPr>
    </w:p>
    <w:p w14:paraId="3B296350">
      <w:pPr>
        <w:spacing w:line="600" w:lineRule="exact"/>
        <w:ind w:firstLine="640" w:firstLineChars="200"/>
        <w:outlineLvl w:val="9"/>
        <w:rPr>
          <w:rFonts w:hint="eastAsia" w:ascii="仿宋" w:hAnsi="仿宋" w:eastAsia="仿宋" w:cs="仿宋"/>
          <w:b w:val="0"/>
          <w:i w:val="0"/>
          <w:caps w:val="0"/>
          <w:color w:val="333333"/>
          <w:spacing w:val="0"/>
          <w:kern w:val="0"/>
          <w:sz w:val="32"/>
          <w:szCs w:val="32"/>
          <w:shd w:val="clear" w:color="auto" w:fill="FFFFFF"/>
          <w:lang w:val="en-US" w:eastAsia="zh-CN" w:bidi="ar"/>
        </w:rPr>
      </w:pPr>
    </w:p>
    <w:p w14:paraId="27E8C306">
      <w:pPr>
        <w:spacing w:line="600" w:lineRule="exact"/>
        <w:ind w:firstLine="640" w:firstLineChars="200"/>
        <w:outlineLvl w:val="9"/>
        <w:rPr>
          <w:rFonts w:hint="eastAsia" w:ascii="仿宋" w:hAnsi="仿宋" w:eastAsia="仿宋" w:cs="仿宋"/>
          <w:b w:val="0"/>
          <w:i w:val="0"/>
          <w:caps w:val="0"/>
          <w:color w:val="333333"/>
          <w:spacing w:val="0"/>
          <w:kern w:val="0"/>
          <w:sz w:val="32"/>
          <w:szCs w:val="32"/>
          <w:shd w:val="clear" w:color="auto" w:fill="FFFFFF"/>
          <w:lang w:val="en-US" w:eastAsia="zh-CN" w:bidi="ar"/>
        </w:rPr>
      </w:pPr>
    </w:p>
    <w:p w14:paraId="1E1633B7">
      <w:pPr>
        <w:spacing w:line="600" w:lineRule="exact"/>
        <w:ind w:firstLine="640" w:firstLineChars="200"/>
        <w:outlineLvl w:val="9"/>
        <w:rPr>
          <w:rFonts w:hint="eastAsia" w:ascii="仿宋" w:hAnsi="仿宋" w:eastAsia="仿宋" w:cs="仿宋"/>
          <w:b w:val="0"/>
          <w:i w:val="0"/>
          <w:caps w:val="0"/>
          <w:color w:val="333333"/>
          <w:spacing w:val="0"/>
          <w:kern w:val="0"/>
          <w:sz w:val="32"/>
          <w:szCs w:val="32"/>
          <w:shd w:val="clear" w:color="auto" w:fill="FFFFFF"/>
          <w:lang w:val="en-US" w:eastAsia="zh-CN" w:bidi="ar"/>
        </w:rPr>
      </w:pPr>
    </w:p>
    <w:p w14:paraId="3F74151E">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p>
    <w:p w14:paraId="39A6BF64">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p>
    <w:p w14:paraId="15FEE245">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p>
    <w:p w14:paraId="3C93DD88">
      <w:pPr>
        <w:pStyle w:val="2"/>
        <w:rPr>
          <w:rFonts w:hint="eastAsia" w:ascii="仿宋" w:hAnsi="仿宋" w:eastAsia="仿宋" w:cs="仿宋"/>
          <w:b w:val="0"/>
          <w:i w:val="0"/>
          <w:caps w:val="0"/>
          <w:color w:val="333333"/>
          <w:spacing w:val="0"/>
          <w:kern w:val="0"/>
          <w:sz w:val="32"/>
          <w:szCs w:val="32"/>
          <w:shd w:val="clear" w:color="auto" w:fill="FFFFFF"/>
          <w:lang w:val="en-US" w:eastAsia="zh-CN" w:bidi="ar"/>
        </w:rPr>
      </w:pPr>
    </w:p>
    <w:p w14:paraId="7149D69E">
      <w:pPr>
        <w:spacing w:line="600" w:lineRule="exact"/>
        <w:ind w:firstLine="640" w:firstLineChars="200"/>
        <w:outlineLvl w:val="9"/>
        <w:rPr>
          <w:rFonts w:ascii="仿宋" w:hAnsi="仿宋" w:eastAsia="仿宋"/>
          <w:sz w:val="32"/>
          <w:szCs w:val="32"/>
        </w:rPr>
      </w:pPr>
      <w:r>
        <w:rPr>
          <w:rFonts w:hint="eastAsia" w:ascii="仿宋" w:hAnsi="仿宋" w:eastAsia="仿宋" w:cs="仿宋"/>
          <w:b w:val="0"/>
          <w:i w:val="0"/>
          <w:caps w:val="0"/>
          <w:color w:val="333333"/>
          <w:spacing w:val="0"/>
          <w:kern w:val="0"/>
          <w:sz w:val="32"/>
          <w:szCs w:val="32"/>
          <w:shd w:val="clear" w:color="auto" w:fill="FFFFFF"/>
          <w:lang w:val="en-US" w:eastAsia="zh-CN" w:bidi="ar"/>
        </w:rPr>
        <w:drawing>
          <wp:anchor distT="0" distB="0" distL="114300" distR="114300" simplePos="0" relativeHeight="251660288" behindDoc="0" locked="0" layoutInCell="1" allowOverlap="1">
            <wp:simplePos x="0" y="0"/>
            <wp:positionH relativeFrom="column">
              <wp:posOffset>410845</wp:posOffset>
            </wp:positionH>
            <wp:positionV relativeFrom="paragraph">
              <wp:posOffset>-3519805</wp:posOffset>
            </wp:positionV>
            <wp:extent cx="5080000" cy="3810000"/>
            <wp:effectExtent l="4445" t="4445" r="20955" b="14605"/>
            <wp:wrapNone/>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30B6CE22">
      <w:pPr>
        <w:spacing w:line="600" w:lineRule="exact"/>
        <w:ind w:firstLine="640" w:firstLineChars="200"/>
        <w:rPr>
          <w:rFonts w:ascii="仿宋_GB2312" w:eastAsia="仿宋_GB2312"/>
          <w:sz w:val="32"/>
          <w:szCs w:val="32"/>
        </w:rPr>
      </w:pPr>
    </w:p>
    <w:p w14:paraId="0EAF2F8A">
      <w:pPr>
        <w:pStyle w:val="26"/>
        <w:numPr>
          <w:ilvl w:val="0"/>
          <w:numId w:val="2"/>
        </w:numPr>
        <w:spacing w:line="600" w:lineRule="exact"/>
        <w:ind w:firstLineChars="0"/>
        <w:outlineLvl w:val="1"/>
        <w:rPr>
          <w:rStyle w:val="28"/>
          <w:rFonts w:ascii="黑体" w:hAnsi="黑体" w:eastAsia="黑体"/>
          <w:b w:val="0"/>
        </w:rPr>
      </w:pPr>
      <w:bookmarkStart w:id="28" w:name="_Toc15377207"/>
      <w:bookmarkStart w:id="29" w:name="_Toc15396605"/>
      <w:r>
        <w:rPr>
          <w:rFonts w:hint="eastAsia" w:ascii="黑体" w:hAnsi="黑体" w:eastAsia="黑体"/>
          <w:sz w:val="32"/>
          <w:szCs w:val="32"/>
        </w:rPr>
        <w:t>支</w:t>
      </w:r>
      <w:r>
        <w:rPr>
          <w:rStyle w:val="28"/>
          <w:rFonts w:hint="eastAsia" w:ascii="黑体" w:hAnsi="黑体" w:eastAsia="黑体"/>
          <w:b w:val="0"/>
        </w:rPr>
        <w:t>出决算情况说明</w:t>
      </w:r>
      <w:bookmarkEnd w:id="28"/>
      <w:bookmarkEnd w:id="29"/>
    </w:p>
    <w:p w14:paraId="53DE9645">
      <w:pPr>
        <w:spacing w:line="600" w:lineRule="exact"/>
        <w:ind w:firstLine="640" w:firstLineChars="200"/>
        <w:outlineLvl w:val="1"/>
        <w:rPr>
          <w:rFonts w:ascii="仿宋" w:hAnsi="仿宋" w:eastAsia="仿宋"/>
          <w:sz w:val="32"/>
          <w:szCs w:val="32"/>
        </w:rPr>
      </w:pPr>
      <w:r>
        <w:rPr>
          <w:rFonts w:hint="eastAsia" w:ascii="仿宋" w:hAnsi="仿宋" w:eastAsia="仿宋"/>
          <w:sz w:val="32"/>
          <w:szCs w:val="32"/>
        </w:rPr>
        <w:t>2023年度本年支出合计</w:t>
      </w:r>
      <w:r>
        <w:rPr>
          <w:sz w:val="32"/>
          <w:szCs w:val="32"/>
        </w:rPr>
        <w:t>1789.22</w:t>
      </w:r>
      <w:r>
        <w:rPr>
          <w:rFonts w:hint="eastAsia" w:ascii="仿宋" w:hAnsi="仿宋" w:eastAsia="仿宋"/>
          <w:sz w:val="32"/>
          <w:szCs w:val="32"/>
        </w:rPr>
        <w:t>万元，其中：基本支出</w:t>
      </w:r>
      <w:r>
        <w:rPr>
          <w:sz w:val="32"/>
          <w:szCs w:val="32"/>
        </w:rPr>
        <w:t>1005.24</w:t>
      </w:r>
      <w:r>
        <w:rPr>
          <w:rFonts w:hint="eastAsia" w:ascii="仿宋" w:hAnsi="仿宋" w:eastAsia="仿宋"/>
          <w:sz w:val="32"/>
          <w:szCs w:val="32"/>
        </w:rPr>
        <w:t>万元，占</w:t>
      </w:r>
      <w:r>
        <w:rPr>
          <w:sz w:val="32"/>
          <w:szCs w:val="32"/>
        </w:rPr>
        <w:t>56.18</w:t>
      </w:r>
      <w:r>
        <w:rPr>
          <w:rFonts w:ascii="仿宋" w:hAnsi="仿宋" w:eastAsia="仿宋"/>
          <w:sz w:val="32"/>
          <w:szCs w:val="32"/>
        </w:rPr>
        <w:t>%</w:t>
      </w:r>
      <w:r>
        <w:rPr>
          <w:rFonts w:hint="eastAsia" w:ascii="仿宋" w:hAnsi="仿宋" w:eastAsia="仿宋"/>
          <w:sz w:val="32"/>
          <w:szCs w:val="32"/>
        </w:rPr>
        <w:t>；项目支出</w:t>
      </w:r>
      <w:r>
        <w:rPr>
          <w:sz w:val="32"/>
          <w:szCs w:val="32"/>
        </w:rPr>
        <w:t>783.99</w:t>
      </w:r>
      <w:r>
        <w:rPr>
          <w:rFonts w:hint="eastAsia" w:ascii="仿宋" w:hAnsi="仿宋" w:eastAsia="仿宋"/>
          <w:sz w:val="32"/>
          <w:szCs w:val="32"/>
        </w:rPr>
        <w:t>万元，占</w:t>
      </w:r>
      <w:r>
        <w:rPr>
          <w:sz w:val="32"/>
          <w:szCs w:val="32"/>
        </w:rPr>
        <w:t>43.8</w:t>
      </w:r>
      <w:r>
        <w:rPr>
          <w:rFonts w:hint="eastAsia"/>
          <w:sz w:val="32"/>
          <w:szCs w:val="32"/>
          <w:lang w:val="en-US" w:eastAsia="zh-CN"/>
        </w:rPr>
        <w:t>2</w:t>
      </w:r>
      <w:r>
        <w:rPr>
          <w:rFonts w:ascii="仿宋" w:hAnsi="仿宋" w:eastAsia="仿宋"/>
          <w:sz w:val="32"/>
          <w:szCs w:val="32"/>
        </w:rPr>
        <w:t>%</w:t>
      </w:r>
      <w:r>
        <w:rPr>
          <w:rFonts w:hint="eastAsia" w:ascii="仿宋" w:hAnsi="仿宋" w:eastAsia="仿宋"/>
          <w:sz w:val="32"/>
          <w:szCs w:val="32"/>
        </w:rPr>
        <w:t>；上缴上级支出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；经营支出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；对附属单位补助支出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w:t>
      </w:r>
    </w:p>
    <w:p w14:paraId="2EFF4195">
      <w:pPr>
        <w:spacing w:line="600" w:lineRule="exact"/>
        <w:ind w:firstLine="640"/>
        <w:rPr>
          <w:rFonts w:ascii="仿宋" w:hAnsi="仿宋" w:eastAsia="仿宋"/>
          <w:sz w:val="32"/>
          <w:szCs w:val="32"/>
          <w:shd w:val="pct10" w:color="auto" w:fill="FFFFFF"/>
        </w:rPr>
      </w:pPr>
    </w:p>
    <w:p w14:paraId="0E330745">
      <w:pPr>
        <w:pStyle w:val="2"/>
        <w:rPr>
          <w:rFonts w:ascii="仿宋" w:hAnsi="仿宋" w:eastAsia="仿宋"/>
          <w:sz w:val="32"/>
          <w:szCs w:val="32"/>
          <w:shd w:val="pct10" w:color="auto" w:fill="FFFFFF"/>
        </w:rPr>
      </w:pPr>
    </w:p>
    <w:p w14:paraId="2B4D7316">
      <w:pPr>
        <w:pStyle w:val="2"/>
        <w:rPr>
          <w:rFonts w:ascii="仿宋" w:hAnsi="仿宋" w:eastAsia="仿宋"/>
          <w:sz w:val="32"/>
          <w:szCs w:val="32"/>
          <w:shd w:val="pct10" w:color="auto" w:fill="FFFFFF"/>
        </w:rPr>
      </w:pPr>
    </w:p>
    <w:p w14:paraId="5EDEFC9B">
      <w:pPr>
        <w:pStyle w:val="2"/>
        <w:rPr>
          <w:rFonts w:ascii="仿宋" w:hAnsi="仿宋" w:eastAsia="仿宋"/>
          <w:sz w:val="32"/>
          <w:szCs w:val="32"/>
          <w:shd w:val="pct10" w:color="auto" w:fill="FFFFFF"/>
        </w:rPr>
      </w:pPr>
    </w:p>
    <w:p w14:paraId="159D68B5">
      <w:pPr>
        <w:spacing w:line="600" w:lineRule="exact"/>
        <w:ind w:firstLine="640"/>
        <w:rPr>
          <w:rFonts w:ascii="仿宋" w:hAnsi="仿宋" w:eastAsia="仿宋"/>
          <w:sz w:val="32"/>
          <w:szCs w:val="32"/>
          <w:shd w:val="pct10" w:color="auto" w:fill="FFFFFF"/>
        </w:rPr>
      </w:pPr>
    </w:p>
    <w:p w14:paraId="28CD0CB0">
      <w:pPr>
        <w:pStyle w:val="2"/>
      </w:pPr>
    </w:p>
    <w:p w14:paraId="2F3476F9">
      <w:pPr>
        <w:pStyle w:val="2"/>
      </w:pPr>
    </w:p>
    <w:p w14:paraId="108E09B8">
      <w:pPr>
        <w:spacing w:line="600" w:lineRule="exact"/>
        <w:ind w:firstLine="640"/>
        <w:rPr>
          <w:rFonts w:ascii="仿宋" w:hAnsi="仿宋" w:eastAsia="仿宋"/>
          <w:sz w:val="32"/>
          <w:szCs w:val="32"/>
          <w:shd w:val="pct10" w:color="auto" w:fill="FFFFFF"/>
        </w:rPr>
      </w:pPr>
    </w:p>
    <w:p w14:paraId="52B73FEB">
      <w:pPr>
        <w:spacing w:line="600" w:lineRule="exact"/>
        <w:ind w:firstLine="640"/>
        <w:rPr>
          <w:rFonts w:ascii="仿宋" w:hAnsi="仿宋" w:eastAsia="仿宋"/>
          <w:sz w:val="32"/>
          <w:szCs w:val="32"/>
          <w:shd w:val="pct10" w:color="auto" w:fill="FFFFFF"/>
        </w:rPr>
      </w:pPr>
    </w:p>
    <w:p w14:paraId="57C7B963">
      <w:pPr>
        <w:spacing w:line="600" w:lineRule="exact"/>
        <w:ind w:firstLine="640"/>
        <w:rPr>
          <w:rFonts w:ascii="仿宋" w:hAnsi="仿宋" w:eastAsia="仿宋"/>
          <w:sz w:val="32"/>
          <w:szCs w:val="32"/>
          <w:shd w:val="pct10" w:color="auto" w:fill="FFFFFF"/>
        </w:rPr>
      </w:pPr>
    </w:p>
    <w:p w14:paraId="09D443EC">
      <w:pPr>
        <w:spacing w:line="600" w:lineRule="exact"/>
        <w:ind w:firstLine="640"/>
        <w:rPr>
          <w:rFonts w:ascii="仿宋" w:hAnsi="仿宋" w:eastAsia="仿宋"/>
          <w:sz w:val="32"/>
          <w:szCs w:val="32"/>
          <w:shd w:val="pct10" w:color="auto" w:fill="FFFFFF"/>
        </w:rPr>
      </w:pPr>
    </w:p>
    <w:p w14:paraId="7F43C36F">
      <w:pPr>
        <w:spacing w:line="600" w:lineRule="exact"/>
        <w:ind w:firstLine="640"/>
        <w:rPr>
          <w:rFonts w:ascii="仿宋" w:hAnsi="仿宋" w:eastAsia="仿宋"/>
          <w:sz w:val="32"/>
          <w:szCs w:val="32"/>
          <w:shd w:val="pct10" w:color="auto" w:fill="FFFFFF"/>
        </w:rPr>
      </w:pPr>
    </w:p>
    <w:p w14:paraId="7379E955">
      <w:pPr>
        <w:spacing w:line="600" w:lineRule="exact"/>
        <w:ind w:firstLine="640"/>
        <w:rPr>
          <w:rFonts w:ascii="仿宋" w:hAnsi="仿宋" w:eastAsia="仿宋"/>
          <w:sz w:val="32"/>
          <w:szCs w:val="32"/>
          <w:shd w:val="pct10" w:color="auto" w:fill="FFFFFF"/>
        </w:rPr>
      </w:pPr>
    </w:p>
    <w:p w14:paraId="47A3B9E4">
      <w:pPr>
        <w:spacing w:line="600" w:lineRule="exact"/>
        <w:ind w:firstLine="640"/>
        <w:rPr>
          <w:rFonts w:ascii="仿宋" w:hAnsi="仿宋" w:eastAsia="仿宋"/>
          <w:sz w:val="32"/>
          <w:szCs w:val="32"/>
          <w:shd w:val="pct10" w:color="auto" w:fill="FFFFFF"/>
        </w:rPr>
      </w:pPr>
      <w:r>
        <w:rPr>
          <w:rFonts w:hint="eastAsia" w:ascii="仿宋" w:hAnsi="仿宋" w:eastAsia="仿宋" w:cs="仿宋"/>
          <w:b w:val="0"/>
          <w:i w:val="0"/>
          <w:caps w:val="0"/>
          <w:color w:val="333333"/>
          <w:spacing w:val="0"/>
          <w:kern w:val="0"/>
          <w:sz w:val="32"/>
          <w:szCs w:val="32"/>
          <w:shd w:val="clear" w:color="auto" w:fill="FFFFFF"/>
          <w:lang w:val="en-US" w:eastAsia="zh-CN" w:bidi="ar"/>
        </w:rPr>
        <w:drawing>
          <wp:anchor distT="0" distB="0" distL="114300" distR="114300" simplePos="0" relativeHeight="251661312" behindDoc="0" locked="0" layoutInCell="1" allowOverlap="1">
            <wp:simplePos x="0" y="0"/>
            <wp:positionH relativeFrom="column">
              <wp:posOffset>410845</wp:posOffset>
            </wp:positionH>
            <wp:positionV relativeFrom="paragraph">
              <wp:posOffset>-3519805</wp:posOffset>
            </wp:positionV>
            <wp:extent cx="5080000" cy="3810000"/>
            <wp:effectExtent l="4445" t="4445" r="20955" b="14605"/>
            <wp:wrapNone/>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508ADFDA">
      <w:pPr>
        <w:spacing w:line="600" w:lineRule="exact"/>
        <w:ind w:firstLine="640" w:firstLineChars="200"/>
        <w:rPr>
          <w:rFonts w:ascii="仿宋_GB2312" w:eastAsia="仿宋_GB2312"/>
          <w:sz w:val="32"/>
          <w:szCs w:val="32"/>
        </w:rPr>
      </w:pPr>
    </w:p>
    <w:p w14:paraId="446C2E37">
      <w:pPr>
        <w:spacing w:line="600" w:lineRule="exact"/>
        <w:ind w:firstLine="640" w:firstLineChars="200"/>
        <w:outlineLvl w:val="1"/>
        <w:rPr>
          <w:rStyle w:val="28"/>
          <w:rFonts w:ascii="黑体" w:hAnsi="黑体" w:eastAsia="黑体"/>
          <w:b w:val="0"/>
        </w:rPr>
      </w:pPr>
      <w:bookmarkStart w:id="30" w:name="_Toc15377208"/>
      <w:bookmarkStart w:id="31" w:name="_Toc15396606"/>
      <w:r>
        <w:rPr>
          <w:rFonts w:hint="eastAsia" w:ascii="黑体" w:hAnsi="黑体" w:eastAsia="黑体"/>
          <w:sz w:val="32"/>
          <w:szCs w:val="32"/>
        </w:rPr>
        <w:t>四、财</w:t>
      </w:r>
      <w:r>
        <w:rPr>
          <w:rStyle w:val="28"/>
          <w:rFonts w:hint="eastAsia" w:ascii="黑体" w:hAnsi="黑体" w:eastAsia="黑体"/>
          <w:b w:val="0"/>
        </w:rPr>
        <w:t>政拨款收入支出决算总体情况说明</w:t>
      </w:r>
      <w:bookmarkEnd w:id="30"/>
      <w:bookmarkEnd w:id="31"/>
    </w:p>
    <w:p w14:paraId="1A29B07B">
      <w:pPr>
        <w:spacing w:line="600" w:lineRule="exact"/>
        <w:ind w:firstLine="640"/>
        <w:rPr>
          <w:rFonts w:hint="eastAsia" w:ascii="仿宋" w:hAnsi="仿宋" w:eastAsia="仿宋"/>
          <w:sz w:val="32"/>
          <w:szCs w:val="32"/>
        </w:rPr>
      </w:pPr>
      <w:r>
        <w:rPr>
          <w:rFonts w:hint="eastAsia" w:ascii="仿宋" w:hAnsi="仿宋" w:eastAsia="仿宋"/>
          <w:sz w:val="32"/>
          <w:szCs w:val="32"/>
        </w:rPr>
        <w:t>2023年度财政拨款收、支总计均为</w:t>
      </w:r>
      <w:r>
        <w:rPr>
          <w:sz w:val="32"/>
          <w:szCs w:val="32"/>
        </w:rPr>
        <w:t>1646.78</w:t>
      </w:r>
      <w:r>
        <w:rPr>
          <w:rFonts w:hint="eastAsia" w:ascii="仿宋" w:hAnsi="仿宋" w:eastAsia="仿宋"/>
          <w:sz w:val="32"/>
          <w:szCs w:val="32"/>
        </w:rPr>
        <w:t>万元。与2022年度相比，财政拨款收、支总计减少</w:t>
      </w:r>
      <w:r>
        <w:rPr>
          <w:rFonts w:hint="eastAsia" w:ascii="仿宋" w:hAnsi="仿宋" w:eastAsia="仿宋"/>
          <w:sz w:val="32"/>
          <w:szCs w:val="32"/>
          <w:lang w:val="en-US" w:eastAsia="zh-CN"/>
        </w:rPr>
        <w:t>399.97</w:t>
      </w:r>
      <w:r>
        <w:rPr>
          <w:rFonts w:hint="eastAsia" w:ascii="仿宋" w:hAnsi="仿宋" w:eastAsia="仿宋"/>
          <w:sz w:val="32"/>
          <w:szCs w:val="32"/>
        </w:rPr>
        <w:t>万元，下降</w:t>
      </w:r>
      <w:r>
        <w:rPr>
          <w:rFonts w:hint="eastAsia" w:ascii="仿宋" w:hAnsi="仿宋" w:eastAsia="仿宋"/>
          <w:sz w:val="32"/>
          <w:szCs w:val="32"/>
          <w:lang w:val="en-US" w:eastAsia="zh-CN"/>
        </w:rPr>
        <w:t>19.54</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项目减少。</w:t>
      </w:r>
    </w:p>
    <w:p w14:paraId="64DB2DB7">
      <w:pPr>
        <w:spacing w:line="600" w:lineRule="exact"/>
        <w:ind w:firstLine="1920" w:firstLineChars="600"/>
        <w:rPr>
          <w:rFonts w:hint="eastAsia" w:ascii="仿宋" w:hAnsi="仿宋" w:eastAsia="仿宋"/>
          <w:sz w:val="32"/>
          <w:szCs w:val="32"/>
          <w:lang w:eastAsia="zh-CN"/>
        </w:rPr>
      </w:pPr>
      <w:r>
        <w:rPr>
          <w:rFonts w:hint="eastAsia" w:ascii="仿宋" w:hAnsi="仿宋" w:eastAsia="仿宋"/>
          <w:sz w:val="32"/>
          <w:szCs w:val="32"/>
        </w:rPr>
        <w:t>财政拨款收、支决算总计变动情况</w:t>
      </w:r>
      <w:r>
        <w:rPr>
          <w:rFonts w:hint="eastAsia" w:ascii="仿宋" w:hAnsi="仿宋" w:eastAsia="仿宋"/>
          <w:sz w:val="32"/>
          <w:szCs w:val="32"/>
          <w:lang w:eastAsia="zh-CN"/>
        </w:rPr>
        <w:t>图</w:t>
      </w:r>
    </w:p>
    <w:p w14:paraId="40192E11">
      <w:pPr>
        <w:spacing w:line="600" w:lineRule="exact"/>
        <w:rPr>
          <w:rFonts w:ascii="仿宋" w:hAnsi="仿宋" w:eastAsia="仿宋"/>
          <w:sz w:val="32"/>
          <w:szCs w:val="32"/>
        </w:rPr>
      </w:pPr>
    </w:p>
    <w:p w14:paraId="6ECEEE72">
      <w:pPr>
        <w:spacing w:line="600" w:lineRule="exact"/>
        <w:rPr>
          <w:rFonts w:ascii="仿宋" w:hAnsi="仿宋" w:eastAsia="仿宋"/>
          <w:sz w:val="32"/>
          <w:szCs w:val="32"/>
        </w:rPr>
      </w:pPr>
    </w:p>
    <w:p w14:paraId="10789D91">
      <w:pPr>
        <w:spacing w:line="600" w:lineRule="exact"/>
        <w:rPr>
          <w:rFonts w:ascii="仿宋" w:hAnsi="仿宋" w:eastAsia="仿宋"/>
          <w:sz w:val="32"/>
          <w:szCs w:val="32"/>
        </w:rPr>
      </w:pPr>
      <w:r>
        <w:rPr>
          <w:rFonts w:hint="eastAsia" w:ascii="仿宋" w:hAnsi="仿宋" w:eastAsia="仿宋" w:cs="仿宋"/>
          <w:b w:val="0"/>
          <w:i w:val="0"/>
          <w:caps w:val="0"/>
          <w:color w:val="333333"/>
          <w:spacing w:val="0"/>
          <w:kern w:val="0"/>
          <w:sz w:val="32"/>
          <w:szCs w:val="32"/>
          <w:shd w:val="clear" w:color="auto" w:fill="FFFFFF"/>
          <w:lang w:val="en-US" w:eastAsia="zh-CN" w:bidi="ar"/>
        </w:rPr>
        <w:drawing>
          <wp:anchor distT="0" distB="0" distL="114300" distR="114300" simplePos="0" relativeHeight="251662336" behindDoc="0" locked="0" layoutInCell="1" allowOverlap="1">
            <wp:simplePos x="0" y="0"/>
            <wp:positionH relativeFrom="column">
              <wp:posOffset>429895</wp:posOffset>
            </wp:positionH>
            <wp:positionV relativeFrom="paragraph">
              <wp:posOffset>-424180</wp:posOffset>
            </wp:positionV>
            <wp:extent cx="4584700" cy="3029585"/>
            <wp:effectExtent l="4445" t="4445" r="20955" b="13970"/>
            <wp:wrapNone/>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1A5F17B0">
      <w:pPr>
        <w:spacing w:line="600" w:lineRule="exact"/>
        <w:rPr>
          <w:rFonts w:ascii="仿宋" w:hAnsi="仿宋" w:eastAsia="仿宋"/>
          <w:sz w:val="32"/>
          <w:szCs w:val="32"/>
        </w:rPr>
      </w:pPr>
    </w:p>
    <w:p w14:paraId="27266B85">
      <w:pPr>
        <w:spacing w:line="600" w:lineRule="exact"/>
        <w:rPr>
          <w:rFonts w:ascii="仿宋" w:hAnsi="仿宋" w:eastAsia="仿宋"/>
          <w:sz w:val="32"/>
          <w:szCs w:val="32"/>
        </w:rPr>
      </w:pPr>
    </w:p>
    <w:p w14:paraId="612F5DBE">
      <w:pPr>
        <w:spacing w:line="600" w:lineRule="exact"/>
        <w:rPr>
          <w:rFonts w:ascii="仿宋" w:hAnsi="仿宋" w:eastAsia="仿宋"/>
          <w:sz w:val="32"/>
          <w:szCs w:val="32"/>
        </w:rPr>
      </w:pPr>
    </w:p>
    <w:p w14:paraId="26F0E34C">
      <w:pPr>
        <w:spacing w:line="600" w:lineRule="exact"/>
        <w:rPr>
          <w:rFonts w:ascii="仿宋" w:hAnsi="仿宋" w:eastAsia="仿宋"/>
          <w:sz w:val="32"/>
          <w:szCs w:val="32"/>
        </w:rPr>
      </w:pPr>
    </w:p>
    <w:p w14:paraId="432BD879">
      <w:pPr>
        <w:spacing w:line="600" w:lineRule="exact"/>
        <w:rPr>
          <w:rFonts w:ascii="仿宋" w:hAnsi="仿宋" w:eastAsia="仿宋"/>
          <w:b/>
          <w:sz w:val="32"/>
          <w:szCs w:val="32"/>
        </w:rPr>
      </w:pPr>
    </w:p>
    <w:p w14:paraId="56D42E84">
      <w:pPr>
        <w:spacing w:line="600" w:lineRule="exact"/>
        <w:ind w:firstLine="640" w:firstLineChars="200"/>
        <w:outlineLvl w:val="1"/>
        <w:rPr>
          <w:rStyle w:val="28"/>
          <w:rFonts w:ascii="黑体" w:hAnsi="黑体" w:eastAsia="黑体"/>
          <w:b w:val="0"/>
        </w:rPr>
      </w:pPr>
      <w:bookmarkStart w:id="32" w:name="_Toc15377209"/>
      <w:bookmarkStart w:id="33" w:name="_Toc15396607"/>
      <w:r>
        <w:rPr>
          <w:rFonts w:hint="eastAsia" w:ascii="黑体" w:hAnsi="黑体" w:eastAsia="黑体"/>
          <w:sz w:val="32"/>
          <w:szCs w:val="32"/>
        </w:rPr>
        <w:t>五、</w:t>
      </w:r>
      <w:r>
        <w:rPr>
          <w:rFonts w:hint="eastAsia" w:ascii="黑体" w:hAnsi="黑体" w:eastAsia="黑体"/>
          <w:b/>
          <w:sz w:val="32"/>
          <w:szCs w:val="32"/>
        </w:rPr>
        <w:t>一</w:t>
      </w:r>
      <w:r>
        <w:rPr>
          <w:rStyle w:val="28"/>
          <w:rFonts w:hint="eastAsia" w:ascii="黑体" w:hAnsi="黑体" w:eastAsia="黑体"/>
          <w:b w:val="0"/>
        </w:rPr>
        <w:t>般公共预算财政拨款支出决算情况说明</w:t>
      </w:r>
      <w:bookmarkEnd w:id="32"/>
      <w:bookmarkEnd w:id="33"/>
    </w:p>
    <w:p w14:paraId="6D169A07">
      <w:pPr>
        <w:spacing w:line="600" w:lineRule="exact"/>
        <w:ind w:firstLine="643" w:firstLineChars="200"/>
        <w:outlineLvl w:val="2"/>
        <w:rPr>
          <w:rFonts w:ascii="仿宋" w:hAnsi="仿宋" w:eastAsia="仿宋"/>
          <w:b/>
          <w:sz w:val="32"/>
          <w:szCs w:val="32"/>
        </w:rPr>
      </w:pPr>
      <w:bookmarkStart w:id="34" w:name="_Toc15377210"/>
      <w:r>
        <w:rPr>
          <w:rFonts w:hint="eastAsia" w:ascii="仿宋" w:hAnsi="仿宋" w:eastAsia="仿宋"/>
          <w:b/>
          <w:sz w:val="32"/>
          <w:szCs w:val="32"/>
        </w:rPr>
        <w:t>（一）一般公共预算财政拨款支出决算总体情况</w:t>
      </w:r>
      <w:bookmarkEnd w:id="34"/>
    </w:p>
    <w:p w14:paraId="446D1846">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2023年度一般公共预算财政拨款支出</w:t>
      </w:r>
      <w:r>
        <w:rPr>
          <w:sz w:val="32"/>
          <w:szCs w:val="32"/>
        </w:rPr>
        <w:t>1639.78</w:t>
      </w:r>
      <w:r>
        <w:rPr>
          <w:rFonts w:hint="eastAsia" w:ascii="仿宋" w:hAnsi="仿宋" w:eastAsia="仿宋"/>
          <w:sz w:val="32"/>
          <w:szCs w:val="32"/>
        </w:rPr>
        <w:t>万元，占本年支出合计的</w:t>
      </w:r>
      <w:r>
        <w:rPr>
          <w:sz w:val="32"/>
          <w:szCs w:val="32"/>
        </w:rPr>
        <w:t>91.64</w:t>
      </w:r>
      <w:r>
        <w:rPr>
          <w:rFonts w:ascii="仿宋" w:hAnsi="仿宋" w:eastAsia="仿宋"/>
          <w:sz w:val="32"/>
          <w:szCs w:val="32"/>
        </w:rPr>
        <w:t>%</w:t>
      </w:r>
      <w:r>
        <w:rPr>
          <w:rFonts w:hint="eastAsia" w:ascii="仿宋" w:hAnsi="仿宋" w:eastAsia="仿宋"/>
          <w:sz w:val="32"/>
          <w:szCs w:val="32"/>
        </w:rPr>
        <w:t>。与2022年度相比，一般公共预算财政拨款支出减少</w:t>
      </w:r>
      <w:r>
        <w:rPr>
          <w:rFonts w:hint="eastAsia" w:ascii="仿宋" w:hAnsi="仿宋" w:eastAsia="仿宋"/>
          <w:sz w:val="32"/>
          <w:szCs w:val="32"/>
          <w:lang w:val="en-US" w:eastAsia="zh-CN"/>
        </w:rPr>
        <w:t>406.97</w:t>
      </w:r>
      <w:r>
        <w:rPr>
          <w:rFonts w:hint="eastAsia" w:ascii="仿宋" w:hAnsi="仿宋" w:eastAsia="仿宋"/>
          <w:sz w:val="32"/>
          <w:szCs w:val="32"/>
        </w:rPr>
        <w:t>万元，下降</w:t>
      </w:r>
      <w:r>
        <w:rPr>
          <w:rFonts w:hint="eastAsia" w:ascii="仿宋" w:hAnsi="仿宋" w:eastAsia="仿宋"/>
          <w:sz w:val="32"/>
          <w:szCs w:val="32"/>
          <w:lang w:val="en-US" w:eastAsia="zh-CN"/>
        </w:rPr>
        <w:t>19.88</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项目减少。</w:t>
      </w:r>
    </w:p>
    <w:p w14:paraId="26508371">
      <w:pPr>
        <w:spacing w:line="600" w:lineRule="exact"/>
        <w:ind w:firstLine="640" w:firstLineChars="200"/>
        <w:rPr>
          <w:rFonts w:hint="eastAsia" w:ascii="仿宋" w:hAnsi="仿宋" w:eastAsia="仿宋"/>
          <w:sz w:val="32"/>
          <w:szCs w:val="32"/>
        </w:rPr>
      </w:pPr>
      <w:r>
        <w:rPr>
          <w:rFonts w:hint="eastAsia" w:ascii="仿宋" w:hAnsi="仿宋" w:eastAsia="仿宋" w:cs="仿宋"/>
          <w:b w:val="0"/>
          <w:i w:val="0"/>
          <w:caps w:val="0"/>
          <w:color w:val="333333"/>
          <w:spacing w:val="0"/>
          <w:kern w:val="0"/>
          <w:sz w:val="32"/>
          <w:szCs w:val="32"/>
          <w:shd w:val="clear" w:color="auto" w:fill="FFFFFF"/>
          <w:lang w:val="en-US" w:eastAsia="zh-CN" w:bidi="ar"/>
        </w:rPr>
        <w:drawing>
          <wp:anchor distT="0" distB="0" distL="114300" distR="114300" simplePos="0" relativeHeight="251663360" behindDoc="1" locked="0" layoutInCell="1" allowOverlap="1">
            <wp:simplePos x="0" y="0"/>
            <wp:positionH relativeFrom="column">
              <wp:posOffset>608330</wp:posOffset>
            </wp:positionH>
            <wp:positionV relativeFrom="paragraph">
              <wp:posOffset>69850</wp:posOffset>
            </wp:positionV>
            <wp:extent cx="4330065" cy="2972435"/>
            <wp:effectExtent l="4445" t="4445" r="8890" b="13970"/>
            <wp:wrapNone/>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1966714D">
      <w:pPr>
        <w:pStyle w:val="2"/>
        <w:rPr>
          <w:rFonts w:hint="eastAsia" w:ascii="仿宋" w:hAnsi="仿宋" w:eastAsia="仿宋"/>
          <w:sz w:val="32"/>
          <w:szCs w:val="32"/>
        </w:rPr>
      </w:pPr>
    </w:p>
    <w:p w14:paraId="5B519DE8">
      <w:pPr>
        <w:pStyle w:val="2"/>
        <w:rPr>
          <w:rFonts w:hint="eastAsia" w:ascii="仿宋" w:hAnsi="仿宋" w:eastAsia="仿宋"/>
          <w:sz w:val="32"/>
          <w:szCs w:val="32"/>
        </w:rPr>
      </w:pPr>
    </w:p>
    <w:p w14:paraId="45B0EA4F">
      <w:pPr>
        <w:pStyle w:val="2"/>
        <w:rPr>
          <w:rFonts w:hint="eastAsia" w:ascii="仿宋" w:hAnsi="仿宋" w:eastAsia="仿宋"/>
          <w:sz w:val="32"/>
          <w:szCs w:val="32"/>
        </w:rPr>
      </w:pPr>
    </w:p>
    <w:p w14:paraId="67DC726D">
      <w:pPr>
        <w:pStyle w:val="2"/>
        <w:ind w:left="0" w:leftChars="0" w:firstLine="0" w:firstLineChars="0"/>
        <w:rPr>
          <w:rFonts w:hint="eastAsia" w:ascii="仿宋" w:hAnsi="仿宋" w:eastAsia="仿宋"/>
          <w:sz w:val="32"/>
          <w:szCs w:val="32"/>
        </w:rPr>
      </w:pPr>
    </w:p>
    <w:p w14:paraId="610C71A0">
      <w:pPr>
        <w:spacing w:line="600" w:lineRule="exact"/>
        <w:ind w:left="0" w:leftChars="0" w:firstLine="0" w:firstLineChars="0"/>
        <w:rPr>
          <w:rFonts w:hint="eastAsia" w:ascii="仿宋" w:hAnsi="仿宋" w:eastAsia="仿宋"/>
          <w:sz w:val="32"/>
          <w:szCs w:val="32"/>
        </w:rPr>
      </w:pPr>
    </w:p>
    <w:p w14:paraId="392EEBE6">
      <w:pPr>
        <w:spacing w:line="600" w:lineRule="exact"/>
        <w:ind w:firstLine="640" w:firstLineChars="200"/>
        <w:rPr>
          <w:rFonts w:ascii="仿宋" w:hAnsi="仿宋" w:eastAsia="仿宋"/>
          <w:sz w:val="32"/>
          <w:szCs w:val="32"/>
        </w:rPr>
      </w:pPr>
    </w:p>
    <w:p w14:paraId="2E7E8234">
      <w:pPr>
        <w:pStyle w:val="2"/>
      </w:pPr>
    </w:p>
    <w:p w14:paraId="3FB0B24A">
      <w:pPr>
        <w:spacing w:line="600" w:lineRule="exact"/>
        <w:ind w:firstLine="643" w:firstLineChars="200"/>
        <w:outlineLvl w:val="2"/>
        <w:rPr>
          <w:rFonts w:ascii="仿宋" w:hAnsi="仿宋" w:eastAsia="仿宋"/>
          <w:b/>
          <w:sz w:val="32"/>
          <w:szCs w:val="32"/>
        </w:rPr>
      </w:pPr>
      <w:bookmarkStart w:id="35" w:name="_Toc15377211"/>
      <w:r>
        <w:rPr>
          <w:rFonts w:hint="eastAsia" w:ascii="仿宋" w:hAnsi="仿宋" w:eastAsia="仿宋"/>
          <w:b/>
          <w:sz w:val="32"/>
          <w:szCs w:val="32"/>
        </w:rPr>
        <w:t>（二）一般公共预算财政拨款支出决算结构情况</w:t>
      </w:r>
      <w:bookmarkEnd w:id="35"/>
    </w:p>
    <w:p w14:paraId="28F7F95E">
      <w:pPr>
        <w:spacing w:line="600" w:lineRule="exact"/>
        <w:ind w:firstLine="640"/>
        <w:rPr>
          <w:rFonts w:hint="default" w:ascii="仿宋" w:hAnsi="仿宋" w:eastAsia="仿宋"/>
          <w:sz w:val="32"/>
          <w:szCs w:val="32"/>
          <w:lang w:val="en-US" w:eastAsia="zh-CN"/>
        </w:rPr>
      </w:pPr>
      <w:r>
        <w:rPr>
          <w:rFonts w:hint="eastAsia" w:ascii="仿宋" w:hAnsi="仿宋" w:eastAsia="仿宋"/>
          <w:sz w:val="32"/>
          <w:szCs w:val="32"/>
        </w:rPr>
        <w:t>2023年度一般公共预算财政拨款支出</w:t>
      </w:r>
      <w:r>
        <w:rPr>
          <w:rFonts w:hint="eastAsia" w:ascii="仿宋" w:hAnsi="仿宋" w:eastAsia="仿宋" w:cs="Times New Roman"/>
          <w:sz w:val="32"/>
          <w:szCs w:val="32"/>
        </w:rPr>
        <w:t>1639.78万元，主要用于以下方面:一般公共服务支出</w:t>
      </w:r>
      <w:r>
        <w:rPr>
          <w:rFonts w:hint="eastAsia" w:ascii="仿宋" w:hAnsi="仿宋" w:eastAsia="仿宋" w:cs="Times New Roman"/>
          <w:sz w:val="32"/>
          <w:szCs w:val="32"/>
          <w:lang w:val="en-US" w:eastAsia="zh-CN"/>
        </w:rPr>
        <w:t>667.96</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40.73</w:t>
      </w:r>
      <w:r>
        <w:rPr>
          <w:rFonts w:hint="eastAsia" w:ascii="仿宋" w:hAnsi="仿宋" w:eastAsia="仿宋" w:cs="Times New Roman"/>
          <w:sz w:val="32"/>
          <w:szCs w:val="32"/>
        </w:rPr>
        <w:t>%；文化旅游体育与传媒支出</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0.24</w:t>
      </w:r>
      <w:r>
        <w:rPr>
          <w:rFonts w:hint="eastAsia" w:ascii="仿宋" w:hAnsi="仿宋" w:eastAsia="仿宋" w:cs="Times New Roman"/>
          <w:sz w:val="32"/>
          <w:szCs w:val="32"/>
        </w:rPr>
        <w:t>%；社会保障和就业支出</w:t>
      </w:r>
      <w:r>
        <w:rPr>
          <w:rFonts w:hint="eastAsia" w:ascii="仿宋" w:hAnsi="仿宋" w:eastAsia="仿宋" w:cs="Times New Roman"/>
          <w:sz w:val="32"/>
          <w:szCs w:val="32"/>
          <w:lang w:val="en-US" w:eastAsia="zh-CN"/>
        </w:rPr>
        <w:t>96.69</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5.9</w:t>
      </w:r>
      <w:r>
        <w:rPr>
          <w:rFonts w:hint="eastAsia" w:ascii="仿宋" w:hAnsi="仿宋" w:eastAsia="仿宋" w:cs="Times New Roman"/>
          <w:sz w:val="32"/>
          <w:szCs w:val="32"/>
        </w:rPr>
        <w:t>%；卫生健康支出</w:t>
      </w:r>
      <w:r>
        <w:rPr>
          <w:rFonts w:hint="eastAsia" w:ascii="仿宋" w:hAnsi="仿宋" w:eastAsia="仿宋" w:cs="Times New Roman"/>
          <w:sz w:val="32"/>
          <w:szCs w:val="32"/>
          <w:lang w:val="en-US" w:eastAsia="zh-CN"/>
        </w:rPr>
        <w:t>19.2</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1.17</w:t>
      </w:r>
      <w:r>
        <w:rPr>
          <w:rFonts w:hint="eastAsia" w:ascii="仿宋" w:hAnsi="仿宋" w:eastAsia="仿宋" w:cs="Times New Roman"/>
          <w:sz w:val="32"/>
          <w:szCs w:val="32"/>
        </w:rPr>
        <w:t>%；住房保障支出</w:t>
      </w:r>
      <w:r>
        <w:rPr>
          <w:rFonts w:hint="eastAsia" w:ascii="仿宋" w:hAnsi="仿宋" w:eastAsia="仿宋" w:cs="Times New Roman"/>
          <w:sz w:val="32"/>
          <w:szCs w:val="32"/>
          <w:lang w:val="en-US" w:eastAsia="zh-CN"/>
        </w:rPr>
        <w:t>56.32</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3.43</w:t>
      </w:r>
      <w:r>
        <w:rPr>
          <w:rFonts w:hint="eastAsia" w:ascii="仿宋" w:hAnsi="仿宋" w:eastAsia="仿宋" w:cs="Times New Roman"/>
          <w:sz w:val="32"/>
          <w:szCs w:val="32"/>
        </w:rPr>
        <w:t>%；</w:t>
      </w:r>
      <w:r>
        <w:rPr>
          <w:rFonts w:hint="eastAsia" w:ascii="仿宋" w:hAnsi="仿宋" w:eastAsia="仿宋" w:cs="Times New Roman"/>
          <w:sz w:val="32"/>
          <w:szCs w:val="32"/>
          <w:lang w:eastAsia="zh-CN"/>
        </w:rPr>
        <w:t>节能环保支出</w:t>
      </w:r>
      <w:r>
        <w:rPr>
          <w:rFonts w:hint="eastAsia" w:ascii="仿宋" w:hAnsi="仿宋" w:eastAsia="仿宋" w:cs="Times New Roman"/>
          <w:sz w:val="32"/>
          <w:szCs w:val="32"/>
          <w:lang w:val="en-US" w:eastAsia="zh-CN"/>
        </w:rPr>
        <w:t>66.68万元，占4.07%</w:t>
      </w:r>
      <w:r>
        <w:rPr>
          <w:rFonts w:hint="eastAsia" w:ascii="仿宋" w:hAnsi="仿宋" w:eastAsia="仿宋" w:cs="Times New Roman"/>
          <w:sz w:val="32"/>
          <w:szCs w:val="32"/>
        </w:rPr>
        <w:t>。</w:t>
      </w:r>
      <w:r>
        <w:rPr>
          <w:rFonts w:hint="eastAsia" w:ascii="仿宋" w:hAnsi="仿宋" w:eastAsia="仿宋" w:cs="Times New Roman"/>
          <w:sz w:val="32"/>
          <w:szCs w:val="32"/>
          <w:lang w:eastAsia="zh-CN"/>
        </w:rPr>
        <w:t>农林水支出</w:t>
      </w:r>
      <w:r>
        <w:rPr>
          <w:rFonts w:hint="eastAsia" w:ascii="仿宋" w:hAnsi="仿宋" w:eastAsia="仿宋" w:cs="Times New Roman"/>
          <w:sz w:val="32"/>
          <w:szCs w:val="32"/>
          <w:lang w:val="en-US" w:eastAsia="zh-CN"/>
        </w:rPr>
        <w:t>727.06万元，占44.34%。自然资源海洋气象等支出1.88万元，占0.11%。</w:t>
      </w:r>
    </w:p>
    <w:p w14:paraId="65CC596D">
      <w:pPr>
        <w:bidi w:val="0"/>
      </w:pPr>
    </w:p>
    <w:p w14:paraId="0E190EA7">
      <w:pPr>
        <w:spacing w:line="600" w:lineRule="exact"/>
        <w:ind w:firstLine="640"/>
        <w:rPr>
          <w:rFonts w:hint="eastAsia" w:eastAsia="仿宋"/>
          <w:lang w:val="en-US" w:eastAsia="zh-CN"/>
        </w:rPr>
      </w:pPr>
      <w:r>
        <w:rPr>
          <w:rFonts w:hint="eastAsia" w:ascii="仿宋" w:hAnsi="仿宋" w:eastAsia="仿宋"/>
          <w:color w:val="000000" w:themeColor="text1"/>
          <w:sz w:val="32"/>
          <w:szCs w:val="32"/>
          <w:lang w:eastAsia="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304800</wp:posOffset>
            </wp:positionH>
            <wp:positionV relativeFrom="paragraph">
              <wp:posOffset>44450</wp:posOffset>
            </wp:positionV>
            <wp:extent cx="4775200" cy="4827905"/>
            <wp:effectExtent l="4445" t="4445" r="20955" b="6350"/>
            <wp:wrapNone/>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
          <w:lang w:val="en-US" w:eastAsia="zh-CN"/>
        </w:rPr>
        <w:t xml:space="preserve"> </w:t>
      </w:r>
    </w:p>
    <w:p w14:paraId="598CF4F6">
      <w:pPr>
        <w:spacing w:line="600" w:lineRule="exact"/>
        <w:ind w:firstLine="640"/>
        <w:rPr>
          <w:rFonts w:hint="eastAsia" w:eastAsia="仿宋"/>
          <w:lang w:val="en-US" w:eastAsia="zh-CN"/>
        </w:rPr>
      </w:pPr>
    </w:p>
    <w:p w14:paraId="28F7FDDB">
      <w:pPr>
        <w:spacing w:line="600" w:lineRule="exact"/>
        <w:ind w:firstLine="640"/>
        <w:rPr>
          <w:rFonts w:hint="eastAsia" w:eastAsia="仿宋"/>
          <w:lang w:val="en-US" w:eastAsia="zh-CN"/>
        </w:rPr>
      </w:pPr>
    </w:p>
    <w:p w14:paraId="4DADE026">
      <w:pPr>
        <w:spacing w:line="600" w:lineRule="exact"/>
        <w:ind w:firstLine="640"/>
        <w:rPr>
          <w:rFonts w:hint="eastAsia" w:eastAsia="仿宋"/>
          <w:lang w:val="en-US" w:eastAsia="zh-CN"/>
        </w:rPr>
      </w:pPr>
    </w:p>
    <w:p w14:paraId="23107CD8">
      <w:pPr>
        <w:spacing w:line="600" w:lineRule="exact"/>
        <w:ind w:firstLine="640"/>
        <w:rPr>
          <w:rFonts w:hint="eastAsia" w:eastAsia="仿宋"/>
          <w:lang w:val="en-US" w:eastAsia="zh-CN"/>
        </w:rPr>
      </w:pPr>
    </w:p>
    <w:p w14:paraId="529F9F02">
      <w:pPr>
        <w:spacing w:line="600" w:lineRule="exact"/>
        <w:ind w:firstLine="640"/>
        <w:rPr>
          <w:rFonts w:hint="eastAsia" w:eastAsia="仿宋"/>
          <w:lang w:val="en-US" w:eastAsia="zh-CN"/>
        </w:rPr>
      </w:pPr>
    </w:p>
    <w:p w14:paraId="07E9C4F8">
      <w:pPr>
        <w:spacing w:line="600" w:lineRule="exact"/>
        <w:ind w:firstLine="640"/>
        <w:rPr>
          <w:rFonts w:hint="eastAsia" w:eastAsia="仿宋"/>
          <w:lang w:val="en-US" w:eastAsia="zh-CN"/>
        </w:rPr>
      </w:pPr>
    </w:p>
    <w:p w14:paraId="169A4FD0">
      <w:pPr>
        <w:spacing w:line="600" w:lineRule="exact"/>
        <w:ind w:firstLine="640"/>
        <w:rPr>
          <w:rFonts w:hint="eastAsia" w:eastAsia="仿宋"/>
          <w:lang w:val="en-US" w:eastAsia="zh-CN"/>
        </w:rPr>
      </w:pPr>
    </w:p>
    <w:p w14:paraId="54943058">
      <w:pPr>
        <w:spacing w:line="600" w:lineRule="exact"/>
        <w:ind w:firstLine="640"/>
        <w:rPr>
          <w:rFonts w:hint="eastAsia" w:eastAsia="仿宋"/>
          <w:lang w:val="en-US" w:eastAsia="zh-CN"/>
        </w:rPr>
      </w:pPr>
    </w:p>
    <w:p w14:paraId="35044658">
      <w:pPr>
        <w:spacing w:line="600" w:lineRule="exact"/>
        <w:ind w:firstLine="640"/>
        <w:rPr>
          <w:rFonts w:hint="eastAsia" w:eastAsia="仿宋"/>
          <w:lang w:val="en-US" w:eastAsia="zh-CN"/>
        </w:rPr>
      </w:pPr>
    </w:p>
    <w:p w14:paraId="3A076F4D">
      <w:pPr>
        <w:spacing w:line="600" w:lineRule="exact"/>
        <w:ind w:firstLine="640"/>
        <w:rPr>
          <w:rFonts w:hint="eastAsia" w:eastAsia="仿宋"/>
          <w:lang w:val="en-US" w:eastAsia="zh-CN"/>
        </w:rPr>
      </w:pPr>
    </w:p>
    <w:p w14:paraId="4B421B95">
      <w:pPr>
        <w:spacing w:line="600" w:lineRule="exact"/>
        <w:ind w:left="0" w:leftChars="0" w:firstLine="640" w:firstLineChars="200"/>
        <w:jc w:val="both"/>
        <w:rPr>
          <w:rFonts w:hint="eastAsia" w:ascii="仿宋" w:hAnsi="仿宋" w:eastAsia="仿宋"/>
          <w:sz w:val="32"/>
          <w:szCs w:val="32"/>
        </w:rPr>
      </w:pPr>
    </w:p>
    <w:p w14:paraId="6937AB12">
      <w:pPr>
        <w:spacing w:line="600" w:lineRule="exact"/>
        <w:rPr>
          <w:rFonts w:ascii="仿宋" w:hAnsi="仿宋" w:eastAsia="仿宋"/>
          <w:sz w:val="32"/>
          <w:szCs w:val="32"/>
        </w:rPr>
      </w:pPr>
    </w:p>
    <w:p w14:paraId="538CDB26">
      <w:pPr>
        <w:spacing w:line="600" w:lineRule="exact"/>
        <w:ind w:firstLine="643" w:firstLineChars="200"/>
        <w:outlineLvl w:val="2"/>
        <w:rPr>
          <w:rFonts w:ascii="仿宋" w:hAnsi="仿宋" w:eastAsia="仿宋"/>
          <w:b/>
          <w:sz w:val="32"/>
          <w:szCs w:val="32"/>
        </w:rPr>
      </w:pPr>
      <w:bookmarkStart w:id="36" w:name="_Toc15377212"/>
      <w:r>
        <w:rPr>
          <w:rFonts w:hint="eastAsia" w:ascii="仿宋" w:hAnsi="仿宋" w:eastAsia="仿宋"/>
          <w:b/>
          <w:sz w:val="32"/>
          <w:szCs w:val="32"/>
        </w:rPr>
        <w:t>（三）一般公共预算财政拨款支出决算具体情况</w:t>
      </w:r>
      <w:bookmarkEnd w:id="36"/>
    </w:p>
    <w:p w14:paraId="3DEBA071">
      <w:pPr>
        <w:spacing w:line="600" w:lineRule="exact"/>
        <w:ind w:firstLine="643" w:firstLineChars="200"/>
        <w:outlineLvl w:val="2"/>
        <w:rPr>
          <w:rFonts w:ascii="仿宋" w:hAnsi="仿宋" w:eastAsia="仿宋"/>
          <w:sz w:val="32"/>
          <w:szCs w:val="32"/>
        </w:rPr>
      </w:pPr>
      <w:bookmarkStart w:id="37" w:name="_Toc15377213"/>
      <w:bookmarkStart w:id="38" w:name="_Toc15377444"/>
      <w:bookmarkStart w:id="39" w:name="_Toc15378460"/>
      <w:r>
        <w:rPr>
          <w:rFonts w:hint="eastAsia" w:ascii="仿宋" w:hAnsi="仿宋" w:eastAsia="仿宋"/>
          <w:b/>
          <w:sz w:val="32"/>
          <w:szCs w:val="32"/>
        </w:rPr>
        <w:t>2023年度一般公共预算支出决算数为</w:t>
      </w:r>
      <w:r>
        <w:rPr>
          <w:sz w:val="32"/>
          <w:szCs w:val="32"/>
        </w:rPr>
        <w:t>1639.78</w:t>
      </w:r>
      <w:r>
        <w:rPr>
          <w:rFonts w:hint="eastAsia" w:ascii="仿宋" w:hAnsi="仿宋" w:eastAsia="仿宋"/>
          <w:sz w:val="32"/>
          <w:szCs w:val="32"/>
        </w:rPr>
        <w:t>，</w:t>
      </w:r>
      <w:r>
        <w:rPr>
          <w:rStyle w:val="16"/>
          <w:rFonts w:hint="eastAsia" w:ascii="仿宋" w:hAnsi="仿宋" w:eastAsia="仿宋"/>
          <w:bCs/>
          <w:sz w:val="32"/>
          <w:szCs w:val="32"/>
        </w:rPr>
        <w:t>完成预算</w:t>
      </w:r>
      <w:r>
        <w:rPr>
          <w:rStyle w:val="16"/>
          <w:rFonts w:hint="eastAsia" w:ascii="仿宋" w:hAnsi="仿宋" w:eastAsia="仿宋"/>
          <w:bCs/>
          <w:sz w:val="32"/>
          <w:szCs w:val="32"/>
          <w:lang w:val="en-US" w:eastAsia="zh-CN"/>
        </w:rPr>
        <w:t>100</w:t>
      </w:r>
      <w:r>
        <w:rPr>
          <w:rStyle w:val="16"/>
          <w:rFonts w:ascii="仿宋" w:hAnsi="仿宋" w:eastAsia="仿宋"/>
          <w:bCs/>
          <w:sz w:val="32"/>
          <w:szCs w:val="32"/>
        </w:rPr>
        <w:t>%</w:t>
      </w:r>
      <w:r>
        <w:rPr>
          <w:rStyle w:val="16"/>
          <w:rFonts w:hint="eastAsia" w:ascii="仿宋" w:hAnsi="仿宋" w:eastAsia="仿宋"/>
          <w:bCs/>
          <w:sz w:val="32"/>
          <w:szCs w:val="32"/>
        </w:rPr>
        <w:t>。其中：</w:t>
      </w:r>
      <w:bookmarkEnd w:id="37"/>
      <w:bookmarkEnd w:id="38"/>
      <w:bookmarkEnd w:id="39"/>
    </w:p>
    <w:p w14:paraId="38B0B309">
      <w:pPr>
        <w:bidi w:val="0"/>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eastAsia="zh-CN"/>
        </w:rPr>
        <w:t>人大事务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行政运行</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0.91</w:t>
      </w:r>
      <w:r>
        <w:rPr>
          <w:rFonts w:hint="eastAsia" w:ascii="Times New Roman" w:hAnsi="Times New Roman" w:eastAsia="仿宋_GB2312" w:cs="Times New Roman"/>
          <w:sz w:val="32"/>
        </w:rPr>
        <w:t>万元，完成预算100%，决算数与预算数持平。</w:t>
      </w:r>
    </w:p>
    <w:p w14:paraId="4E5DEADB">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2</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政府办公厅（室）及相关机构事务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行政运行</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524.55</w:t>
      </w:r>
      <w:r>
        <w:rPr>
          <w:rFonts w:hint="eastAsia" w:ascii="Times New Roman" w:hAnsi="Times New Roman" w:eastAsia="仿宋_GB2312" w:cs="Times New Roman"/>
          <w:sz w:val="32"/>
        </w:rPr>
        <w:t>万元，完成预算100%，决算数与预算数持平。</w:t>
      </w:r>
    </w:p>
    <w:p w14:paraId="673F4DE9">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3</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政府办公厅（室）及相关机构事务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一般行政管理事务</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62.83</w:t>
      </w:r>
      <w:r>
        <w:rPr>
          <w:rFonts w:hint="eastAsia" w:ascii="Times New Roman" w:hAnsi="Times New Roman" w:eastAsia="仿宋_GB2312" w:cs="Times New Roman"/>
          <w:sz w:val="32"/>
        </w:rPr>
        <w:t>万元，完成预算100%，决算数与预算数持平。</w:t>
      </w:r>
    </w:p>
    <w:p w14:paraId="570D6168">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4</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政府办公厅（室）及相关机构事务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事业运行</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62.48</w:t>
      </w:r>
      <w:r>
        <w:rPr>
          <w:rFonts w:hint="eastAsia" w:ascii="Times New Roman" w:hAnsi="Times New Roman" w:eastAsia="仿宋_GB2312" w:cs="Times New Roman"/>
          <w:sz w:val="32"/>
        </w:rPr>
        <w:t>万元，完成预算100%，决算数与预算数持平。</w:t>
      </w:r>
    </w:p>
    <w:p w14:paraId="25500BD7">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5</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民族事务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民族工作专项</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15.93</w:t>
      </w:r>
      <w:r>
        <w:rPr>
          <w:rFonts w:hint="eastAsia" w:ascii="Times New Roman" w:hAnsi="Times New Roman" w:eastAsia="仿宋_GB2312" w:cs="Times New Roman"/>
          <w:sz w:val="32"/>
        </w:rPr>
        <w:t>万元，完成预算100%，决算数与预算数持平。</w:t>
      </w:r>
    </w:p>
    <w:p w14:paraId="26080DA8">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6.</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民族事务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其他民族事务支出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1.25</w:t>
      </w:r>
      <w:r>
        <w:rPr>
          <w:rFonts w:hint="eastAsia" w:ascii="Times New Roman" w:hAnsi="Times New Roman" w:eastAsia="仿宋_GB2312" w:cs="Times New Roman"/>
          <w:sz w:val="32"/>
        </w:rPr>
        <w:t>万元，完成预算100%，决算数与预算数持平。</w:t>
      </w:r>
    </w:p>
    <w:p w14:paraId="199E372D">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7.</w:t>
      </w:r>
      <w:r>
        <w:rPr>
          <w:rFonts w:hint="eastAsia" w:ascii="Times New Roman" w:hAnsi="Times New Roman" w:eastAsia="仿宋_GB2312" w:cs="Times New Roman"/>
          <w:sz w:val="32"/>
        </w:rPr>
        <w:t>文化旅游体育与传媒（类）</w:t>
      </w:r>
      <w:r>
        <w:rPr>
          <w:rFonts w:hint="eastAsia" w:ascii="Times New Roman" w:hAnsi="Times New Roman" w:eastAsia="仿宋_GB2312" w:cs="Times New Roman"/>
          <w:sz w:val="32"/>
          <w:lang w:eastAsia="zh-CN"/>
        </w:rPr>
        <w:t>文化和旅游</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其他文化和旅游支出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4</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r>
        <w:rPr>
          <w:rFonts w:hint="eastAsia" w:ascii="Times New Roman" w:hAnsi="Times New Roman" w:eastAsia="仿宋_GB2312" w:cs="Times New Roman"/>
          <w:sz w:val="32"/>
          <w:lang w:val="en-US" w:eastAsia="zh-CN"/>
        </w:rPr>
        <w:t xml:space="preserve"> </w:t>
      </w:r>
    </w:p>
    <w:p w14:paraId="53898996">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8</w:t>
      </w:r>
      <w:r>
        <w:rPr>
          <w:rFonts w:ascii="Times New Roman" w:hAnsi="Times New Roman" w:eastAsia="仿宋_GB2312" w:cs="Times New Roman"/>
          <w:sz w:val="32"/>
        </w:rPr>
        <w:t>.</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行政单位养老支出</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机关事业单位基本养老保险缴费支出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77.68</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18DAACA0">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9.</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行政单位养老支出</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机关事业单位职业年金缴费支出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8.76</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2721290A">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10.</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抚恤</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其他优抚支出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3.1</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32AB4D80">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11.</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其他社会保障和就业支出</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其他社会保障和就业支出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7.14</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6DAFB374">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12.</w:t>
      </w:r>
      <w:r>
        <w:rPr>
          <w:rFonts w:hint="eastAsia" w:ascii="Times New Roman" w:hAnsi="Times New Roman" w:eastAsia="仿宋_GB2312" w:cs="Times New Roman"/>
          <w:sz w:val="32"/>
        </w:rPr>
        <w:t>卫生健康</w:t>
      </w:r>
      <w:r>
        <w:rPr>
          <w:rFonts w:hint="eastAsia" w:ascii="Times New Roman" w:hAnsi="Times New Roman" w:eastAsia="仿宋_GB2312" w:cs="Times New Roman"/>
          <w:sz w:val="32"/>
          <w:lang w:eastAsia="zh-CN"/>
        </w:rPr>
        <w:t>支出</w:t>
      </w:r>
      <w:r>
        <w:rPr>
          <w:rFonts w:hint="eastAsia" w:ascii="Times New Roman" w:hAnsi="Times New Roman" w:eastAsia="仿宋_GB2312" w:cs="Times New Roman"/>
          <w:sz w:val="32"/>
        </w:rPr>
        <w:t>（类）</w:t>
      </w:r>
      <w:r>
        <w:rPr>
          <w:rFonts w:hint="eastAsia" w:ascii="Times New Roman" w:hAnsi="Times New Roman" w:eastAsia="仿宋_GB2312" w:cs="Times New Roman"/>
          <w:sz w:val="32"/>
          <w:lang w:eastAsia="zh-CN"/>
        </w:rPr>
        <w:t>行政事业单位医疗</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行政单位医疗</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12.34</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673D3BD7">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13.</w:t>
      </w:r>
      <w:r>
        <w:rPr>
          <w:rFonts w:hint="eastAsia" w:ascii="Times New Roman" w:hAnsi="Times New Roman" w:eastAsia="仿宋_GB2312" w:cs="Times New Roman"/>
          <w:sz w:val="32"/>
        </w:rPr>
        <w:t>卫生健康</w:t>
      </w:r>
      <w:r>
        <w:rPr>
          <w:rFonts w:hint="eastAsia" w:ascii="Times New Roman" w:hAnsi="Times New Roman" w:eastAsia="仿宋_GB2312" w:cs="Times New Roman"/>
          <w:sz w:val="32"/>
          <w:lang w:eastAsia="zh-CN"/>
        </w:rPr>
        <w:t>支出</w:t>
      </w:r>
      <w:r>
        <w:rPr>
          <w:rFonts w:hint="eastAsia" w:ascii="Times New Roman" w:hAnsi="Times New Roman" w:eastAsia="仿宋_GB2312" w:cs="Times New Roman"/>
          <w:sz w:val="32"/>
        </w:rPr>
        <w:t>（类）</w:t>
      </w:r>
      <w:r>
        <w:rPr>
          <w:rFonts w:hint="eastAsia" w:ascii="Times New Roman" w:hAnsi="Times New Roman" w:eastAsia="仿宋_GB2312" w:cs="Times New Roman"/>
          <w:sz w:val="32"/>
          <w:lang w:eastAsia="zh-CN"/>
        </w:rPr>
        <w:t>行政事业单位医疗</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事业单位医疗</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6.86</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56F11EAA">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14.</w:t>
      </w:r>
      <w:r>
        <w:rPr>
          <w:rFonts w:hint="eastAsia" w:ascii="Times New Roman" w:hAnsi="Times New Roman" w:eastAsia="仿宋_GB2312" w:cs="Times New Roman"/>
          <w:sz w:val="32"/>
        </w:rPr>
        <w:t>节能环保支出（类）</w:t>
      </w:r>
      <w:r>
        <w:rPr>
          <w:rFonts w:hint="eastAsia" w:ascii="Times New Roman" w:hAnsi="Times New Roman" w:eastAsia="仿宋_GB2312" w:cs="Times New Roman"/>
          <w:sz w:val="32"/>
          <w:lang w:eastAsia="zh-CN"/>
        </w:rPr>
        <w:t>自然生态保护</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其他自然生态保护支出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66.68</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45ED5730">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15.农林水支出（类）农业农村（款）行政运行（项）:支出决算为9.4万元，完成预算100%，决算数与预算数持平。</w:t>
      </w:r>
    </w:p>
    <w:p w14:paraId="58AC532C">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16.农林水支出（类）农业农村（款）其他农业农村支出（项）:支出决算为10.67万元，完成预算100%，决算数与预算数持平。</w:t>
      </w:r>
    </w:p>
    <w:p w14:paraId="2C844A3E">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17.农林水支出（类）农业农村（款）农业生产发展（项）:支出决算为109.76万元，完成预算100%，决算数与预算数持平。</w:t>
      </w:r>
    </w:p>
    <w:p w14:paraId="1405DFC0">
      <w:pPr>
        <w:pStyle w:val="2"/>
        <w:ind w:firstLine="640" w:firstLineChars="200"/>
        <w:rPr>
          <w:rFonts w:hint="eastAsia"/>
          <w:lang w:val="en-US" w:eastAsia="zh-CN"/>
        </w:rPr>
      </w:pPr>
      <w:r>
        <w:rPr>
          <w:rFonts w:hint="eastAsia" w:ascii="Times New Roman" w:hAnsi="Times New Roman" w:eastAsia="仿宋_GB2312" w:cs="Times New Roman"/>
          <w:sz w:val="32"/>
          <w:lang w:val="en-US" w:eastAsia="zh-CN"/>
        </w:rPr>
        <w:t>1</w:t>
      </w:r>
      <w:r>
        <w:rPr>
          <w:rFonts w:hint="eastAsia" w:ascii="Times New Roman" w:hAnsi="Times New Roman" w:cs="Times New Roman"/>
          <w:sz w:val="32"/>
          <w:lang w:val="en-US" w:eastAsia="zh-CN"/>
        </w:rPr>
        <w:t>8</w:t>
      </w:r>
      <w:r>
        <w:rPr>
          <w:rFonts w:hint="eastAsia" w:ascii="Times New Roman" w:hAnsi="Times New Roman" w:eastAsia="仿宋_GB2312" w:cs="Times New Roman"/>
          <w:sz w:val="32"/>
          <w:lang w:val="en-US" w:eastAsia="zh-CN"/>
        </w:rPr>
        <w:t>.农林水支出（类）农业农村（款）农业资源保护修复与利用（项）:支出决算为</w:t>
      </w:r>
      <w:r>
        <w:rPr>
          <w:rFonts w:hint="eastAsia" w:ascii="Times New Roman" w:hAnsi="Times New Roman" w:cs="Times New Roman"/>
          <w:sz w:val="32"/>
          <w:lang w:val="en-US" w:eastAsia="zh-CN"/>
        </w:rPr>
        <w:t>0.4</w:t>
      </w:r>
      <w:r>
        <w:rPr>
          <w:rFonts w:hint="eastAsia" w:ascii="Times New Roman" w:hAnsi="Times New Roman" w:eastAsia="仿宋_GB2312" w:cs="Times New Roman"/>
          <w:sz w:val="32"/>
          <w:lang w:val="en-US" w:eastAsia="zh-CN"/>
        </w:rPr>
        <w:t>万元，完成预算100%，决算数与预算数持平</w:t>
      </w:r>
      <w:r>
        <w:rPr>
          <w:rFonts w:hint="eastAsia" w:ascii="Times New Roman" w:hAnsi="Times New Roman" w:cs="Times New Roman"/>
          <w:sz w:val="32"/>
          <w:lang w:val="en-US" w:eastAsia="zh-CN"/>
        </w:rPr>
        <w:t>。</w:t>
      </w:r>
    </w:p>
    <w:p w14:paraId="69909B03">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19. 农林水支出（类）巩固脱贫衔接乡村振兴（款）其他巩固脱贫衔接乡村振兴支出（项）:支出决算为243.37万元，完成预算100%，决算数与预算数持平。</w:t>
      </w:r>
    </w:p>
    <w:p w14:paraId="357A5777">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20.农林水支出（类）农村综合改革（款）对村民委员会和村党支部的补助（项）:支出决算为351.56万元，完成预算100%，决算数与预算数持平。</w:t>
      </w:r>
    </w:p>
    <w:p w14:paraId="1606D557">
      <w:pPr>
        <w:bidi w:val="0"/>
        <w:spacing w:line="600" w:lineRule="exact"/>
        <w:ind w:firstLine="640" w:firstLineChars="200"/>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21. 农林水支出（类）农村综合改革（款）其他农村综合改革支出（项）:支出决算为1.9万元，完成预算100%，决算数与预算数持平。</w:t>
      </w:r>
    </w:p>
    <w:p w14:paraId="011462EC">
      <w:pPr>
        <w:bidi w:val="0"/>
        <w:spacing w:line="600" w:lineRule="exact"/>
        <w:ind w:firstLine="640" w:firstLineChars="200"/>
        <w:rPr>
          <w:rFonts w:ascii="仿宋" w:hAnsi="仿宋" w:eastAsia="仿宋" w:cs="Times New Roman"/>
          <w:b/>
          <w:sz w:val="32"/>
          <w:szCs w:val="32"/>
        </w:rPr>
      </w:pPr>
      <w:r>
        <w:rPr>
          <w:rFonts w:hint="eastAsia" w:ascii="Times New Roman" w:hAnsi="Times New Roman" w:eastAsia="仿宋_GB2312" w:cs="Times New Roman"/>
          <w:b w:val="0"/>
          <w:bCs w:val="0"/>
          <w:kern w:val="2"/>
          <w:sz w:val="32"/>
          <w:szCs w:val="24"/>
          <w:lang w:val="en-US" w:eastAsia="zh-CN" w:bidi="ar-SA"/>
        </w:rPr>
        <w:t>22.住房保障支出（类）住房改革支</w:t>
      </w:r>
      <w:r>
        <w:rPr>
          <w:rFonts w:hint="eastAsia" w:ascii="Times New Roman" w:hAnsi="Times New Roman" w:eastAsia="仿宋_GB2312" w:cs="Times New Roman"/>
          <w:sz w:val="32"/>
        </w:rPr>
        <w:t>出（款）住房公积金（项）:支出决算为5</w:t>
      </w:r>
      <w:r>
        <w:rPr>
          <w:rFonts w:hint="eastAsia" w:ascii="Times New Roman" w:hAnsi="Times New Roman" w:eastAsia="仿宋_GB2312" w:cs="Times New Roman"/>
          <w:sz w:val="32"/>
          <w:lang w:val="en-US" w:eastAsia="zh-CN"/>
        </w:rPr>
        <w:t>6.32</w:t>
      </w:r>
      <w:r>
        <w:rPr>
          <w:rFonts w:hint="eastAsia" w:ascii="Times New Roman" w:hAnsi="Times New Roman" w:eastAsia="仿宋_GB2312" w:cs="Times New Roman"/>
          <w:sz w:val="32"/>
        </w:rPr>
        <w:t>万元，完成预算100%，决算数与预算数持平。</w:t>
      </w:r>
    </w:p>
    <w:p w14:paraId="1A3FE6A3">
      <w:pPr>
        <w:bidi w:val="0"/>
        <w:spacing w:line="600" w:lineRule="exact"/>
        <w:ind w:firstLine="640" w:firstLineChars="200"/>
        <w:rPr>
          <w:rFonts w:ascii="仿宋" w:hAnsi="仿宋" w:eastAsia="仿宋" w:cs="Times New Roman"/>
          <w:b/>
          <w:sz w:val="32"/>
          <w:szCs w:val="32"/>
        </w:rPr>
      </w:pPr>
      <w:r>
        <w:rPr>
          <w:rFonts w:hint="eastAsia" w:ascii="Times New Roman" w:hAnsi="Times New Roman" w:eastAsia="仿宋_GB2312" w:cs="Times New Roman"/>
          <w:b w:val="0"/>
          <w:bCs w:val="0"/>
          <w:kern w:val="2"/>
          <w:sz w:val="32"/>
          <w:szCs w:val="24"/>
          <w:lang w:val="en-US" w:eastAsia="zh-CN" w:bidi="ar-SA"/>
        </w:rPr>
        <w:t>23.自然资源海洋气象等支出（类）自然资源事务</w:t>
      </w:r>
      <w:r>
        <w:rPr>
          <w:rFonts w:hint="eastAsia" w:ascii="Times New Roman" w:hAnsi="Times New Roman" w:eastAsia="仿宋_GB2312" w:cs="Times New Roman"/>
          <w:sz w:val="32"/>
        </w:rPr>
        <w:t>（款）自然资源利用与保护（项）:支出决算为</w:t>
      </w:r>
      <w:r>
        <w:rPr>
          <w:rFonts w:hint="eastAsia" w:ascii="Times New Roman" w:hAnsi="Times New Roman" w:eastAsia="仿宋_GB2312" w:cs="Times New Roman"/>
          <w:sz w:val="32"/>
          <w:lang w:val="en-US" w:eastAsia="zh-CN"/>
        </w:rPr>
        <w:t>1.88</w:t>
      </w:r>
      <w:r>
        <w:rPr>
          <w:rFonts w:hint="eastAsia" w:ascii="Times New Roman" w:hAnsi="Times New Roman" w:eastAsia="仿宋_GB2312" w:cs="Times New Roman"/>
          <w:sz w:val="32"/>
        </w:rPr>
        <w:t>万元，完成预算100%，决算数与预算数持平。</w:t>
      </w:r>
    </w:p>
    <w:p w14:paraId="11ADC13A">
      <w:pPr>
        <w:spacing w:line="600" w:lineRule="exact"/>
        <w:ind w:firstLine="640"/>
        <w:rPr>
          <w:rFonts w:ascii="仿宋" w:hAnsi="仿宋" w:eastAsia="仿宋"/>
          <w:b/>
          <w:sz w:val="32"/>
          <w:szCs w:val="32"/>
        </w:rPr>
      </w:pPr>
    </w:p>
    <w:p w14:paraId="7C5E4D97">
      <w:pPr>
        <w:tabs>
          <w:tab w:val="right" w:pos="8306"/>
        </w:tabs>
        <w:spacing w:line="600" w:lineRule="exact"/>
        <w:ind w:firstLine="640"/>
        <w:outlineLvl w:val="1"/>
        <w:rPr>
          <w:rStyle w:val="28"/>
        </w:rPr>
      </w:pPr>
      <w:bookmarkStart w:id="40" w:name="_Toc15377214"/>
      <w:bookmarkStart w:id="41"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8"/>
          <w:rFonts w:hint="eastAsia" w:ascii="黑体" w:hAnsi="黑体" w:eastAsia="黑体"/>
          <w:b w:val="0"/>
        </w:rPr>
        <w:t>般公共预算财政拨款基本支出决算情况说明</w:t>
      </w:r>
      <w:bookmarkEnd w:id="40"/>
      <w:bookmarkEnd w:id="41"/>
      <w:r>
        <w:rPr>
          <w:rStyle w:val="28"/>
          <w:rFonts w:ascii="黑体" w:hAnsi="黑体" w:eastAsia="黑体"/>
          <w:b w:val="0"/>
        </w:rPr>
        <w:tab/>
      </w:r>
    </w:p>
    <w:p w14:paraId="3D287B68">
      <w:pPr>
        <w:spacing w:line="600" w:lineRule="exact"/>
        <w:ind w:firstLine="645"/>
        <w:rPr>
          <w:rFonts w:ascii="仿宋" w:hAnsi="仿宋" w:eastAsia="仿宋"/>
          <w:sz w:val="32"/>
          <w:szCs w:val="32"/>
        </w:rPr>
      </w:pPr>
      <w:r>
        <w:rPr>
          <w:rFonts w:hint="eastAsia" w:ascii="仿宋" w:hAnsi="仿宋" w:eastAsia="仿宋"/>
          <w:sz w:val="32"/>
          <w:szCs w:val="32"/>
        </w:rPr>
        <w:t>2023年度一般公共预算财政拨款基本支出</w:t>
      </w:r>
      <w:r>
        <w:rPr>
          <w:sz w:val="32"/>
          <w:szCs w:val="32"/>
        </w:rPr>
        <w:t>1005.24</w:t>
      </w:r>
      <w:r>
        <w:rPr>
          <w:rFonts w:hint="eastAsia" w:ascii="仿宋" w:hAnsi="仿宋" w:eastAsia="仿宋"/>
          <w:sz w:val="32"/>
          <w:szCs w:val="32"/>
        </w:rPr>
        <w:t>万元，其中：</w:t>
      </w:r>
    </w:p>
    <w:p w14:paraId="618986FC">
      <w:pPr>
        <w:spacing w:line="600" w:lineRule="exact"/>
        <w:ind w:firstLine="645"/>
        <w:rPr>
          <w:rFonts w:ascii="仿宋" w:hAnsi="仿宋" w:eastAsia="仿宋"/>
          <w:sz w:val="32"/>
          <w:szCs w:val="32"/>
        </w:rPr>
      </w:pPr>
      <w:r>
        <w:rPr>
          <w:rFonts w:hint="eastAsia" w:ascii="仿宋" w:hAnsi="仿宋" w:eastAsia="仿宋"/>
          <w:sz w:val="32"/>
          <w:szCs w:val="32"/>
        </w:rPr>
        <w:t>人员经费</w:t>
      </w:r>
      <w:r>
        <w:rPr>
          <w:sz w:val="32"/>
          <w:szCs w:val="32"/>
        </w:rPr>
        <w:t>887.37</w:t>
      </w:r>
      <w:r>
        <w:rPr>
          <w:rFonts w:hint="eastAsia" w:ascii="仿宋" w:hAns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sz w:val="32"/>
          <w:szCs w:val="32"/>
        </w:rPr>
        <w:br w:type="textWrapping"/>
      </w:r>
      <w:r>
        <w:rPr>
          <w:rFonts w:hint="eastAsia" w:ascii="仿宋" w:hAnsi="仿宋" w:eastAsia="仿宋"/>
          <w:sz w:val="32"/>
          <w:szCs w:val="32"/>
        </w:rPr>
        <w:t>　　公用经费</w:t>
      </w:r>
      <w:r>
        <w:rPr>
          <w:sz w:val="32"/>
          <w:szCs w:val="32"/>
        </w:rPr>
        <w:t>117.87</w:t>
      </w:r>
      <w:r>
        <w:rPr>
          <w:rFonts w:hint="eastAsia" w:ascii="仿宋" w:hAns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05AB768">
      <w:pPr>
        <w:spacing w:line="600" w:lineRule="exact"/>
        <w:ind w:firstLine="640"/>
        <w:rPr>
          <w:rFonts w:ascii="仿宋" w:hAnsi="仿宋" w:eastAsia="仿宋"/>
          <w:b/>
          <w:sz w:val="32"/>
          <w:szCs w:val="32"/>
        </w:rPr>
      </w:pPr>
    </w:p>
    <w:p w14:paraId="4E95B076">
      <w:pPr>
        <w:spacing w:line="600" w:lineRule="exact"/>
        <w:ind w:firstLine="640"/>
        <w:outlineLvl w:val="1"/>
        <w:rPr>
          <w:rStyle w:val="28"/>
          <w:rFonts w:ascii="黑体" w:hAnsi="黑体" w:eastAsia="黑体"/>
          <w:b w:val="0"/>
        </w:rPr>
      </w:pPr>
      <w:bookmarkStart w:id="42" w:name="_Toc15377215"/>
      <w:bookmarkStart w:id="43" w:name="_Toc15396609"/>
      <w:r>
        <w:rPr>
          <w:rFonts w:hint="eastAsia" w:ascii="黑体" w:eastAsia="黑体"/>
          <w:sz w:val="32"/>
          <w:szCs w:val="32"/>
        </w:rPr>
        <w:t>七、</w:t>
      </w:r>
      <w:r>
        <w:rPr>
          <w:rStyle w:val="28"/>
          <w:rFonts w:hint="eastAsia" w:ascii="黑体" w:hAnsi="黑体" w:eastAsia="黑体"/>
          <w:b w:val="0"/>
        </w:rPr>
        <w:t>财政拨款</w:t>
      </w:r>
      <w:r>
        <w:rPr>
          <w:rStyle w:val="28"/>
          <w:rFonts w:hint="eastAsia" w:ascii="黑体" w:hAnsi="黑体" w:eastAsia="黑体"/>
        </w:rPr>
        <w:t>“</w:t>
      </w:r>
      <w:r>
        <w:rPr>
          <w:rStyle w:val="28"/>
          <w:rFonts w:hint="eastAsia" w:ascii="黑体" w:hAnsi="黑体" w:eastAsia="黑体"/>
          <w:b w:val="0"/>
        </w:rPr>
        <w:t>三公”经费支出决算情况说明</w:t>
      </w:r>
      <w:bookmarkEnd w:id="42"/>
      <w:bookmarkEnd w:id="43"/>
    </w:p>
    <w:p w14:paraId="68F153D4">
      <w:pPr>
        <w:spacing w:line="600" w:lineRule="exact"/>
        <w:ind w:firstLine="640"/>
        <w:outlineLvl w:val="2"/>
        <w:rPr>
          <w:rFonts w:ascii="仿宋" w:hAnsi="仿宋" w:eastAsia="仿宋"/>
          <w:b/>
          <w:sz w:val="32"/>
          <w:szCs w:val="32"/>
        </w:rPr>
      </w:pPr>
      <w:bookmarkStart w:id="44" w:name="_Toc15377216"/>
      <w:r>
        <w:rPr>
          <w:rFonts w:hint="eastAsia" w:ascii="仿宋" w:hAnsi="仿宋" w:eastAsia="仿宋"/>
          <w:b/>
          <w:sz w:val="32"/>
          <w:szCs w:val="32"/>
        </w:rPr>
        <w:t>（一）“三公”经费财政拨款支出决算总体情况说明</w:t>
      </w:r>
      <w:bookmarkEnd w:id="44"/>
    </w:p>
    <w:p w14:paraId="5236751B">
      <w:pPr>
        <w:spacing w:line="600" w:lineRule="exact"/>
        <w:ind w:firstLine="640"/>
        <w:rPr>
          <w:rFonts w:ascii="仿宋" w:hAnsi="仿宋" w:eastAsia="仿宋"/>
          <w:sz w:val="32"/>
          <w:szCs w:val="32"/>
        </w:rPr>
      </w:pPr>
      <w:r>
        <w:rPr>
          <w:rFonts w:hint="eastAsia" w:ascii="仿宋" w:hAnsi="仿宋" w:eastAsia="仿宋"/>
          <w:sz w:val="32"/>
          <w:szCs w:val="32"/>
        </w:rPr>
        <w:t>2023年度“三公”经费财政拨款支出决算为</w:t>
      </w:r>
      <w:r>
        <w:rPr>
          <w:sz w:val="32"/>
          <w:szCs w:val="32"/>
        </w:rPr>
        <w:t>2.38</w:t>
      </w:r>
      <w:r>
        <w:rPr>
          <w:rFonts w:hint="eastAsia" w:ascii="仿宋" w:hAnsi="仿宋" w:eastAsia="仿宋"/>
          <w:sz w:val="32"/>
          <w:szCs w:val="32"/>
        </w:rPr>
        <w:t>万元，完成预算</w:t>
      </w:r>
      <w:r>
        <w:rPr>
          <w:sz w:val="32"/>
          <w:szCs w:val="32"/>
        </w:rPr>
        <w:t>100</w:t>
      </w:r>
      <w:r>
        <w:rPr>
          <w:rFonts w:ascii="仿宋" w:hAnsi="仿宋" w:eastAsia="仿宋"/>
          <w:sz w:val="32"/>
          <w:szCs w:val="32"/>
        </w:rPr>
        <w:t>%</w:t>
      </w:r>
      <w:r>
        <w:rPr>
          <w:rFonts w:hint="eastAsia" w:ascii="仿宋" w:hAnsi="仿宋" w:eastAsia="仿宋"/>
          <w:sz w:val="32"/>
          <w:szCs w:val="32"/>
        </w:rPr>
        <w:t>，较上年度增加</w:t>
      </w:r>
      <w:r>
        <w:rPr>
          <w:rFonts w:hint="eastAsia" w:ascii="仿宋" w:hAnsi="仿宋" w:eastAsia="仿宋"/>
          <w:sz w:val="32"/>
          <w:szCs w:val="32"/>
          <w:lang w:val="en-US" w:eastAsia="zh-CN"/>
        </w:rPr>
        <w:t>1.38</w:t>
      </w:r>
      <w:r>
        <w:rPr>
          <w:rFonts w:hint="eastAsia" w:ascii="仿宋" w:hAnsi="仿宋" w:eastAsia="仿宋"/>
          <w:sz w:val="32"/>
          <w:szCs w:val="32"/>
        </w:rPr>
        <w:t>万元，增长</w:t>
      </w:r>
      <w:r>
        <w:rPr>
          <w:rFonts w:hint="eastAsia" w:ascii="仿宋" w:hAnsi="仿宋" w:eastAsia="仿宋"/>
          <w:sz w:val="32"/>
          <w:szCs w:val="32"/>
          <w:lang w:val="en-US" w:eastAsia="zh-CN"/>
        </w:rPr>
        <w:t>138</w:t>
      </w:r>
      <w:r>
        <w:rPr>
          <w:rFonts w:hint="eastAsia" w:ascii="仿宋" w:hAnsi="仿宋" w:eastAsia="仿宋"/>
          <w:sz w:val="32"/>
          <w:szCs w:val="32"/>
        </w:rPr>
        <w:t>%。决算</w:t>
      </w:r>
      <w:r>
        <w:rPr>
          <w:rFonts w:hint="eastAsia" w:ascii="仿宋" w:hAnsi="仿宋" w:eastAsia="仿宋"/>
          <w:sz w:val="32"/>
          <w:szCs w:val="32"/>
          <w:lang w:eastAsia="zh-CN"/>
        </w:rPr>
        <w:t>与预算持平</w:t>
      </w:r>
      <w:r>
        <w:rPr>
          <w:rFonts w:hint="eastAsia" w:ascii="仿宋" w:hAnsi="仿宋" w:eastAsia="仿宋"/>
          <w:sz w:val="32"/>
          <w:szCs w:val="32"/>
        </w:rPr>
        <w:t>。</w:t>
      </w:r>
    </w:p>
    <w:p w14:paraId="5731A4C1">
      <w:pPr>
        <w:spacing w:line="600" w:lineRule="exact"/>
        <w:ind w:firstLine="640"/>
        <w:outlineLvl w:val="2"/>
        <w:rPr>
          <w:rFonts w:ascii="仿宋" w:hAnsi="仿宋" w:eastAsia="仿宋"/>
          <w:b/>
          <w:sz w:val="32"/>
          <w:szCs w:val="32"/>
        </w:rPr>
      </w:pPr>
      <w:bookmarkStart w:id="45" w:name="_Toc15377217"/>
      <w:r>
        <w:rPr>
          <w:rFonts w:hint="eastAsia" w:ascii="仿宋" w:hAnsi="仿宋" w:eastAsia="仿宋"/>
          <w:b/>
          <w:sz w:val="32"/>
          <w:szCs w:val="32"/>
        </w:rPr>
        <w:t>（二）“三公”经费财政拨款支出决算具体情况说明</w:t>
      </w:r>
      <w:bookmarkEnd w:id="45"/>
    </w:p>
    <w:p w14:paraId="6726FC69">
      <w:pPr>
        <w:spacing w:line="600" w:lineRule="exact"/>
        <w:ind w:firstLine="640"/>
        <w:rPr>
          <w:rFonts w:hint="eastAsia" w:ascii="仿宋" w:hAnsi="仿宋" w:eastAsia="仿宋"/>
          <w:sz w:val="32"/>
          <w:szCs w:val="32"/>
        </w:rPr>
      </w:pPr>
      <w:r>
        <w:rPr>
          <w:rFonts w:hint="eastAsia" w:ascii="仿宋" w:hAnsi="仿宋" w:eastAsia="仿宋"/>
          <w:sz w:val="32"/>
          <w:szCs w:val="32"/>
        </w:rPr>
        <w:t>2023年度“三公”经费财政拨款支出决算中，因公出国（境）费支出决算</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；公务用车购置及运行维护费支出决算</w:t>
      </w:r>
      <w:r>
        <w:rPr>
          <w:sz w:val="32"/>
          <w:szCs w:val="32"/>
        </w:rPr>
        <w:t>2.38</w:t>
      </w:r>
      <w:r>
        <w:rPr>
          <w:rFonts w:hint="eastAsia" w:ascii="仿宋" w:hAnsi="仿宋" w:eastAsia="仿宋"/>
          <w:sz w:val="32"/>
          <w:szCs w:val="32"/>
        </w:rPr>
        <w:t>万元，占</w:t>
      </w:r>
      <w:r>
        <w:rPr>
          <w:sz w:val="32"/>
          <w:szCs w:val="32"/>
        </w:rPr>
        <w:t>100</w:t>
      </w:r>
      <w:r>
        <w:rPr>
          <w:rFonts w:ascii="仿宋" w:hAnsi="仿宋" w:eastAsia="仿宋"/>
          <w:sz w:val="32"/>
          <w:szCs w:val="32"/>
        </w:rPr>
        <w:t>%</w:t>
      </w:r>
      <w:r>
        <w:rPr>
          <w:rFonts w:hint="eastAsia" w:ascii="仿宋" w:hAnsi="仿宋" w:eastAsia="仿宋"/>
          <w:sz w:val="32"/>
          <w:szCs w:val="32"/>
        </w:rPr>
        <w:t>；公务接待费支出决算</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。具体情况如下：</w:t>
      </w:r>
    </w:p>
    <w:p w14:paraId="21974FD5">
      <w:pPr>
        <w:pStyle w:val="2"/>
        <w:rPr>
          <w:rFonts w:hint="eastAsia" w:ascii="仿宋" w:hAnsi="仿宋" w:eastAsia="仿宋"/>
          <w:sz w:val="32"/>
          <w:szCs w:val="32"/>
        </w:rPr>
      </w:pPr>
    </w:p>
    <w:p w14:paraId="15D54045">
      <w:pPr>
        <w:pStyle w:val="2"/>
        <w:rPr>
          <w:rFonts w:hint="eastAsia" w:ascii="仿宋" w:hAnsi="仿宋" w:eastAsia="仿宋"/>
          <w:sz w:val="32"/>
          <w:szCs w:val="32"/>
        </w:rPr>
      </w:pPr>
    </w:p>
    <w:p w14:paraId="1F2BED63">
      <w:pPr>
        <w:pStyle w:val="2"/>
        <w:rPr>
          <w:rFonts w:hint="eastAsia" w:ascii="仿宋" w:hAnsi="仿宋" w:eastAsia="仿宋"/>
          <w:sz w:val="32"/>
          <w:szCs w:val="32"/>
        </w:rPr>
      </w:pPr>
      <w:r>
        <w:drawing>
          <wp:anchor distT="0" distB="0" distL="114300" distR="114300" simplePos="0" relativeHeight="251665408" behindDoc="0" locked="0" layoutInCell="1" allowOverlap="1">
            <wp:simplePos x="0" y="0"/>
            <wp:positionH relativeFrom="column">
              <wp:posOffset>508635</wp:posOffset>
            </wp:positionH>
            <wp:positionV relativeFrom="paragraph">
              <wp:posOffset>114300</wp:posOffset>
            </wp:positionV>
            <wp:extent cx="4861560" cy="3333750"/>
            <wp:effectExtent l="4445" t="4445" r="10795" b="1460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E7B7B0A">
      <w:pPr>
        <w:pStyle w:val="2"/>
        <w:rPr>
          <w:rFonts w:hint="eastAsia" w:ascii="仿宋" w:hAnsi="仿宋" w:eastAsia="仿宋"/>
          <w:sz w:val="32"/>
          <w:szCs w:val="32"/>
        </w:rPr>
      </w:pPr>
    </w:p>
    <w:p w14:paraId="5C3319A6">
      <w:pPr>
        <w:spacing w:line="600" w:lineRule="exact"/>
        <w:ind w:firstLine="640"/>
        <w:rPr>
          <w:rFonts w:hint="eastAsia" w:ascii="仿宋" w:hAnsi="仿宋" w:eastAsia="仿宋"/>
          <w:sz w:val="32"/>
          <w:szCs w:val="32"/>
        </w:rPr>
      </w:pPr>
    </w:p>
    <w:p w14:paraId="730F6303">
      <w:pPr>
        <w:spacing w:line="600" w:lineRule="exact"/>
        <w:ind w:firstLine="640"/>
        <w:rPr>
          <w:rFonts w:hint="eastAsia" w:ascii="仿宋" w:hAnsi="仿宋" w:eastAsia="仿宋"/>
          <w:sz w:val="32"/>
          <w:szCs w:val="32"/>
        </w:rPr>
      </w:pPr>
    </w:p>
    <w:p w14:paraId="72BAD53C">
      <w:pPr>
        <w:pStyle w:val="2"/>
        <w:rPr>
          <w:rFonts w:hint="eastAsia" w:ascii="仿宋" w:hAnsi="仿宋" w:eastAsia="仿宋"/>
          <w:sz w:val="32"/>
          <w:szCs w:val="32"/>
        </w:rPr>
      </w:pPr>
    </w:p>
    <w:p w14:paraId="47CD1D96">
      <w:pPr>
        <w:pStyle w:val="2"/>
        <w:rPr>
          <w:rFonts w:hint="eastAsia" w:ascii="仿宋" w:hAnsi="仿宋" w:eastAsia="仿宋"/>
          <w:sz w:val="32"/>
          <w:szCs w:val="32"/>
        </w:rPr>
      </w:pPr>
    </w:p>
    <w:p w14:paraId="33D7F4AE">
      <w:pPr>
        <w:spacing w:line="600" w:lineRule="exact"/>
        <w:ind w:firstLine="640"/>
        <w:rPr>
          <w:rFonts w:hint="eastAsia" w:ascii="仿宋" w:hAnsi="仿宋" w:eastAsia="仿宋"/>
          <w:sz w:val="32"/>
          <w:szCs w:val="32"/>
        </w:rPr>
      </w:pPr>
    </w:p>
    <w:p w14:paraId="1C152FAE">
      <w:pPr>
        <w:spacing w:line="600" w:lineRule="exact"/>
        <w:ind w:firstLine="640"/>
        <w:rPr>
          <w:rFonts w:hint="eastAsia" w:ascii="仿宋" w:hAnsi="仿宋" w:eastAsia="仿宋"/>
          <w:sz w:val="32"/>
          <w:szCs w:val="32"/>
        </w:rPr>
      </w:pPr>
    </w:p>
    <w:p w14:paraId="2CF4A157">
      <w:pPr>
        <w:spacing w:line="600" w:lineRule="exact"/>
        <w:ind w:firstLine="640"/>
        <w:rPr>
          <w:rFonts w:hint="eastAsia" w:ascii="仿宋" w:hAnsi="仿宋" w:eastAsia="仿宋"/>
          <w:sz w:val="32"/>
          <w:szCs w:val="32"/>
        </w:rPr>
      </w:pPr>
    </w:p>
    <w:p w14:paraId="347DE72D">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sz w:val="32"/>
          <w:szCs w:val="32"/>
        </w:rPr>
        <w:t>0</w:t>
      </w:r>
      <w:r>
        <w:rPr>
          <w:rFonts w:hint="eastAsia" w:ascii="仿宋_GB2312" w:eastAsia="仿宋_GB2312"/>
          <w:sz w:val="32"/>
          <w:szCs w:val="32"/>
        </w:rPr>
        <w:t>万元，</w:t>
      </w:r>
      <w:r>
        <w:rPr>
          <w:rStyle w:val="16"/>
          <w:rFonts w:hint="eastAsia" w:ascii="仿宋" w:hAnsi="仿宋" w:eastAsia="仿宋"/>
          <w:b w:val="0"/>
          <w:bCs/>
          <w:sz w:val="32"/>
          <w:szCs w:val="32"/>
        </w:rPr>
        <w:t>完成预算</w:t>
      </w:r>
      <w:r>
        <w:rPr>
          <w:sz w:val="32"/>
          <w:szCs w:val="32"/>
        </w:rPr>
        <w:t>0</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全年安排因公出国（境）团组</w:t>
      </w:r>
      <w:r>
        <w:rPr>
          <w:sz w:val="32"/>
          <w:szCs w:val="32"/>
        </w:rPr>
        <w:t>0</w:t>
      </w:r>
      <w:r>
        <w:rPr>
          <w:rFonts w:hint="eastAsia" w:ascii="仿宋_GB2312" w:eastAsia="仿宋_GB2312"/>
          <w:sz w:val="32"/>
          <w:szCs w:val="32"/>
        </w:rPr>
        <w:t>次，出国（境）</w:t>
      </w:r>
      <w:r>
        <w:rPr>
          <w:sz w:val="32"/>
          <w:szCs w:val="32"/>
        </w:rPr>
        <w:t>0</w:t>
      </w:r>
      <w:r>
        <w:rPr>
          <w:rFonts w:hint="eastAsia" w:ascii="仿宋_GB2312" w:eastAsia="仿宋_GB2312"/>
          <w:sz w:val="32"/>
          <w:szCs w:val="32"/>
        </w:rPr>
        <w:t>人。因公出国（境）支出决算</w:t>
      </w:r>
      <w:r>
        <w:rPr>
          <w:rFonts w:hint="eastAsia" w:ascii="仿宋_GB2312"/>
          <w:sz w:val="32"/>
          <w:szCs w:val="32"/>
          <w:lang w:eastAsia="zh-CN"/>
        </w:rPr>
        <w:t>与</w:t>
      </w:r>
      <w:r>
        <w:rPr>
          <w:rFonts w:ascii="仿宋_GB2312" w:eastAsia="仿宋_GB2312"/>
          <w:sz w:val="32"/>
          <w:szCs w:val="32"/>
        </w:rPr>
        <w:t>20</w:t>
      </w:r>
      <w:r>
        <w:rPr>
          <w:rFonts w:hint="eastAsia" w:ascii="仿宋_GB2312" w:eastAsia="仿宋_GB2312"/>
          <w:sz w:val="32"/>
          <w:szCs w:val="32"/>
        </w:rPr>
        <w:t>2</w:t>
      </w:r>
      <w:r>
        <w:rPr>
          <w:rFonts w:hint="eastAsia" w:ascii="仿宋_GB2312"/>
          <w:sz w:val="32"/>
          <w:szCs w:val="32"/>
          <w:lang w:val="en-US" w:eastAsia="zh-CN"/>
        </w:rPr>
        <w:t>2</w:t>
      </w:r>
      <w:r>
        <w:rPr>
          <w:rFonts w:hint="eastAsia" w:ascii="仿宋_GB2312" w:eastAsia="仿宋_GB2312"/>
          <w:sz w:val="32"/>
          <w:szCs w:val="32"/>
        </w:rPr>
        <w:t>年</w:t>
      </w:r>
      <w:r>
        <w:rPr>
          <w:rFonts w:hint="eastAsia" w:ascii="仿宋_GB2312"/>
          <w:sz w:val="32"/>
          <w:szCs w:val="32"/>
          <w:lang w:eastAsia="zh-CN"/>
        </w:rPr>
        <w:t>一致</w:t>
      </w:r>
      <w:r>
        <w:rPr>
          <w:rFonts w:hint="eastAsia" w:ascii="仿宋_GB2312" w:eastAsia="仿宋_GB2312"/>
          <w:sz w:val="32"/>
          <w:szCs w:val="32"/>
        </w:rPr>
        <w:t>。主要原因是</w:t>
      </w:r>
      <w:r>
        <w:rPr>
          <w:rFonts w:hint="eastAsia" w:ascii="仿宋_GB2312"/>
          <w:sz w:val="32"/>
          <w:szCs w:val="32"/>
          <w:lang w:eastAsia="zh-CN"/>
        </w:rPr>
        <w:t>本年度我单位无人因公出国（境）</w:t>
      </w:r>
      <w:r>
        <w:rPr>
          <w:rFonts w:hint="eastAsia" w:ascii="仿宋_GB2312" w:eastAsia="仿宋_GB2312"/>
          <w:sz w:val="32"/>
          <w:szCs w:val="32"/>
        </w:rPr>
        <w:t>。</w:t>
      </w:r>
    </w:p>
    <w:p w14:paraId="0AD6DE9F">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sz w:val="32"/>
          <w:szCs w:val="32"/>
        </w:rPr>
        <w:t>2.38</w:t>
      </w:r>
      <w:r>
        <w:rPr>
          <w:rFonts w:hint="eastAsia" w:ascii="仿宋_GB2312" w:eastAsia="仿宋_GB2312"/>
          <w:sz w:val="32"/>
          <w:szCs w:val="32"/>
        </w:rPr>
        <w:t>万元,</w:t>
      </w:r>
      <w:r>
        <w:rPr>
          <w:rStyle w:val="16"/>
          <w:rFonts w:hint="eastAsia" w:ascii="仿宋" w:hAnsi="仿宋" w:eastAsia="仿宋"/>
          <w:b w:val="0"/>
          <w:bCs/>
          <w:sz w:val="32"/>
          <w:szCs w:val="32"/>
        </w:rPr>
        <w:t>完成预算</w:t>
      </w:r>
      <w:r>
        <w:rPr>
          <w:sz w:val="32"/>
          <w:szCs w:val="32"/>
        </w:rPr>
        <w:t>100</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公务用车购置及运行维护费支出决算比2022年度增加</w:t>
      </w:r>
      <w:r>
        <w:rPr>
          <w:rFonts w:hint="eastAsia" w:ascii="仿宋_GB2312" w:eastAsia="仿宋_GB2312"/>
          <w:sz w:val="32"/>
          <w:szCs w:val="32"/>
          <w:lang w:val="en-US" w:eastAsia="zh-CN"/>
        </w:rPr>
        <w:t>1.38</w:t>
      </w:r>
      <w:r>
        <w:rPr>
          <w:rFonts w:hint="eastAsia" w:ascii="仿宋_GB2312" w:eastAsia="仿宋_GB2312"/>
          <w:sz w:val="32"/>
          <w:szCs w:val="32"/>
        </w:rPr>
        <w:t>万元，增长</w:t>
      </w:r>
      <w:r>
        <w:rPr>
          <w:rFonts w:hint="eastAsia" w:ascii="仿宋_GB2312" w:eastAsia="仿宋_GB2312"/>
          <w:sz w:val="32"/>
          <w:szCs w:val="32"/>
          <w:lang w:val="en-US" w:eastAsia="zh-CN"/>
        </w:rPr>
        <w:t>138</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车辆油耗增加</w:t>
      </w:r>
      <w:r>
        <w:rPr>
          <w:rFonts w:hint="eastAsia" w:ascii="仿宋_GB2312" w:eastAsia="仿宋_GB2312"/>
          <w:sz w:val="32"/>
          <w:szCs w:val="32"/>
        </w:rPr>
        <w:t>。</w:t>
      </w:r>
    </w:p>
    <w:p w14:paraId="6875F0CE">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val="0"/>
          <w:bCs/>
          <w:sz w:val="32"/>
          <w:szCs w:val="32"/>
        </w:rPr>
        <w:t>公务用车运行维护费支出</w:t>
      </w:r>
      <w:r>
        <w:rPr>
          <w:rFonts w:hint="eastAsia" w:ascii="仿宋_GB2312"/>
          <w:sz w:val="32"/>
          <w:szCs w:val="32"/>
          <w:lang w:val="en-US" w:eastAsia="zh-CN"/>
        </w:rPr>
        <w:t>2.38</w:t>
      </w:r>
      <w:r>
        <w:rPr>
          <w:rFonts w:hint="eastAsia" w:ascii="仿宋_GB2312" w:eastAsia="仿宋_GB2312"/>
          <w:sz w:val="32"/>
          <w:szCs w:val="32"/>
        </w:rPr>
        <w:t>万元。主要用于</w:t>
      </w:r>
      <w:r>
        <w:rPr>
          <w:rFonts w:hint="eastAsia" w:ascii="仿宋_GB2312"/>
          <w:sz w:val="32"/>
          <w:szCs w:val="32"/>
          <w:lang w:eastAsia="zh-CN"/>
        </w:rPr>
        <w:t>公务出行</w:t>
      </w:r>
      <w:r>
        <w:rPr>
          <w:rFonts w:hint="eastAsia" w:ascii="仿宋_GB2312" w:eastAsia="仿宋_GB2312"/>
          <w:sz w:val="32"/>
          <w:szCs w:val="32"/>
        </w:rPr>
        <w:t>所需的公务用车燃料费。</w:t>
      </w:r>
    </w:p>
    <w:p w14:paraId="6DCF1112">
      <w:pPr>
        <w:numPr>
          <w:ilvl w:val="0"/>
          <w:numId w:val="3"/>
        </w:numPr>
        <w:spacing w:line="600" w:lineRule="exact"/>
        <w:ind w:firstLine="640"/>
        <w:rPr>
          <w:rFonts w:hint="eastAsia" w:ascii="仿宋_GB2312" w:hAnsi="Helvetica" w:eastAsia="仿宋_GB2312" w:cs="仿宋_GB2312"/>
          <w:b w:val="0"/>
          <w:i w:val="0"/>
          <w:caps w:val="0"/>
          <w:color w:val="333333"/>
          <w:spacing w:val="0"/>
          <w:kern w:val="0"/>
          <w:sz w:val="32"/>
          <w:szCs w:val="32"/>
          <w:shd w:val="clear" w:color="auto" w:fill="FFFFFF"/>
          <w:lang w:val="en-US" w:eastAsia="zh-CN" w:bidi="ar"/>
        </w:rPr>
      </w:pPr>
      <w:r>
        <w:rPr>
          <w:rFonts w:hint="eastAsia" w:ascii="仿宋_GB2312" w:eastAsia="仿宋_GB2312"/>
          <w:b/>
          <w:sz w:val="32"/>
          <w:szCs w:val="32"/>
        </w:rPr>
        <w:t>公务接待费支出</w:t>
      </w:r>
      <w:r>
        <w:rPr>
          <w:rFonts w:hint="eastAsia" w:ascii="仿宋_GB2312"/>
          <w:sz w:val="32"/>
          <w:szCs w:val="32"/>
          <w:lang w:val="en-US" w:eastAsia="zh-CN"/>
        </w:rPr>
        <w:t>0</w:t>
      </w:r>
      <w:r>
        <w:rPr>
          <w:rFonts w:hint="eastAsia" w:ascii="仿宋_GB2312" w:eastAsia="仿宋_GB2312"/>
          <w:sz w:val="32"/>
          <w:szCs w:val="32"/>
        </w:rPr>
        <w:t>万元，</w:t>
      </w:r>
      <w:r>
        <w:rPr>
          <w:rStyle w:val="16"/>
          <w:rFonts w:hint="eastAsia" w:ascii="仿宋" w:hAnsi="仿宋" w:eastAsia="仿宋"/>
          <w:b w:val="0"/>
          <w:bCs/>
          <w:sz w:val="32"/>
          <w:szCs w:val="32"/>
        </w:rPr>
        <w:t>完成预算</w:t>
      </w:r>
      <w:r>
        <w:rPr>
          <w:rStyle w:val="16"/>
          <w:rFonts w:hint="eastAsia" w:ascii="仿宋" w:hAnsi="仿宋" w:eastAsia="仿宋"/>
          <w:b w:val="0"/>
          <w:bCs/>
          <w:sz w:val="32"/>
          <w:szCs w:val="32"/>
          <w:lang w:val="en-US" w:eastAsia="zh-CN"/>
        </w:rPr>
        <w:t>0</w:t>
      </w:r>
      <w:r>
        <w:rPr>
          <w:rStyle w:val="16"/>
          <w:rFonts w:ascii="仿宋" w:hAnsi="仿宋" w:eastAsia="仿宋"/>
          <w:b w:val="0"/>
          <w:bCs/>
          <w:sz w:val="32"/>
          <w:szCs w:val="32"/>
        </w:rPr>
        <w:t>%</w:t>
      </w:r>
      <w:r>
        <w:rPr>
          <w:rStyle w:val="16"/>
          <w:rFonts w:hint="eastAsia" w:ascii="仿宋" w:hAnsi="仿宋" w:eastAsia="仿宋"/>
          <w:b w:val="0"/>
          <w:bCs/>
          <w:sz w:val="32"/>
          <w:szCs w:val="32"/>
        </w:rPr>
        <w:t>。</w:t>
      </w:r>
      <w:r>
        <w:rPr>
          <w:rFonts w:hint="eastAsia" w:ascii="仿宋_GB2312" w:eastAsia="仿宋_GB2312"/>
          <w:sz w:val="32"/>
          <w:szCs w:val="32"/>
        </w:rPr>
        <w:t>公务接待费支出决算</w:t>
      </w:r>
      <w:r>
        <w:rPr>
          <w:rFonts w:hint="eastAsia" w:ascii="仿宋_GB2312"/>
          <w:sz w:val="32"/>
          <w:szCs w:val="32"/>
          <w:lang w:eastAsia="zh-CN"/>
        </w:rPr>
        <w:t>与</w:t>
      </w:r>
      <w:r>
        <w:rPr>
          <w:rFonts w:ascii="仿宋_GB2312" w:eastAsia="仿宋_GB2312"/>
          <w:sz w:val="32"/>
          <w:szCs w:val="32"/>
        </w:rPr>
        <w:t>20</w:t>
      </w:r>
      <w:r>
        <w:rPr>
          <w:rFonts w:hint="eastAsia" w:ascii="仿宋_GB2312" w:eastAsia="仿宋_GB2312"/>
          <w:sz w:val="32"/>
          <w:szCs w:val="32"/>
        </w:rPr>
        <w:t>2</w:t>
      </w:r>
      <w:r>
        <w:rPr>
          <w:rFonts w:hint="eastAsia" w:ascii="仿宋_GB2312"/>
          <w:sz w:val="32"/>
          <w:szCs w:val="32"/>
          <w:lang w:val="en-US" w:eastAsia="zh-CN"/>
        </w:rPr>
        <w:t>2</w:t>
      </w:r>
      <w:r>
        <w:rPr>
          <w:rFonts w:hint="eastAsia" w:ascii="仿宋_GB2312" w:eastAsia="仿宋_GB2312"/>
          <w:sz w:val="32"/>
          <w:szCs w:val="32"/>
        </w:rPr>
        <w:t>年</w:t>
      </w:r>
      <w:r>
        <w:rPr>
          <w:rFonts w:hint="eastAsia" w:ascii="仿宋_GB2312"/>
          <w:sz w:val="32"/>
          <w:szCs w:val="32"/>
          <w:lang w:eastAsia="zh-CN"/>
        </w:rPr>
        <w:t>一致</w:t>
      </w:r>
      <w:r>
        <w:rPr>
          <w:rFonts w:hint="eastAsia" w:ascii="仿宋_GB2312" w:eastAsia="仿宋_GB2312"/>
          <w:sz w:val="32"/>
          <w:szCs w:val="32"/>
        </w:rPr>
        <w:t>。主要原因是</w:t>
      </w:r>
      <w:r>
        <w:rPr>
          <w:rFonts w:hint="eastAsia" w:ascii="仿宋_GB2312" w:hAnsi="Helvetica" w:eastAsia="仿宋_GB2312" w:cs="仿宋_GB2312"/>
          <w:b w:val="0"/>
          <w:i w:val="0"/>
          <w:caps w:val="0"/>
          <w:color w:val="333333"/>
          <w:spacing w:val="0"/>
          <w:kern w:val="0"/>
          <w:sz w:val="32"/>
          <w:szCs w:val="32"/>
          <w:shd w:val="clear" w:color="auto" w:fill="FFFFFF"/>
          <w:lang w:val="en-US" w:eastAsia="zh-CN" w:bidi="ar"/>
        </w:rPr>
        <w:t>我镇严格执行中央八项规定，严格控制接待标准，全年无公务接待。</w:t>
      </w:r>
      <w:bookmarkStart w:id="46" w:name="_Toc15377218"/>
      <w:bookmarkStart w:id="47" w:name="_Toc15396610"/>
    </w:p>
    <w:p w14:paraId="50E307B7">
      <w:pPr>
        <w:pStyle w:val="2"/>
        <w:numPr>
          <w:ilvl w:val="0"/>
          <w:numId w:val="3"/>
        </w:numPr>
      </w:pPr>
    </w:p>
    <w:p w14:paraId="319A03ED">
      <w:pPr>
        <w:spacing w:line="600" w:lineRule="exact"/>
        <w:ind w:firstLine="640"/>
        <w:outlineLvl w:val="1"/>
        <w:rPr>
          <w:rStyle w:val="28"/>
          <w:rFonts w:ascii="黑体" w:hAnsi="黑体" w:eastAsia="黑体"/>
        </w:rPr>
      </w:pPr>
      <w:r>
        <w:rPr>
          <w:rFonts w:hint="eastAsia" w:ascii="黑体" w:eastAsia="黑体"/>
          <w:sz w:val="32"/>
          <w:szCs w:val="32"/>
        </w:rPr>
        <w:t>八、</w:t>
      </w:r>
      <w:r>
        <w:rPr>
          <w:rStyle w:val="28"/>
          <w:rFonts w:hint="eastAsia" w:ascii="黑体" w:hAnsi="黑体" w:eastAsia="黑体"/>
          <w:b w:val="0"/>
        </w:rPr>
        <w:t>政府性基金预算支出决算情况说明</w:t>
      </w:r>
      <w:bookmarkEnd w:id="46"/>
      <w:bookmarkEnd w:id="47"/>
    </w:p>
    <w:p w14:paraId="331F5B8A">
      <w:pPr>
        <w:spacing w:line="600" w:lineRule="exact"/>
        <w:ind w:firstLine="640"/>
        <w:rPr>
          <w:rFonts w:ascii="仿宋_GB2312" w:eastAsia="仿宋_GB2312"/>
          <w:sz w:val="32"/>
          <w:szCs w:val="32"/>
        </w:rPr>
      </w:pPr>
      <w:r>
        <w:rPr>
          <w:rFonts w:hint="eastAsia" w:ascii="仿宋_GB2312" w:eastAsia="仿宋_GB2312"/>
          <w:sz w:val="32"/>
          <w:szCs w:val="32"/>
        </w:rPr>
        <w:t>2023年度政府性基金预算财政拨款支出</w:t>
      </w:r>
      <w:r>
        <w:rPr>
          <w:sz w:val="32"/>
          <w:szCs w:val="32"/>
        </w:rPr>
        <w:t>7</w:t>
      </w:r>
      <w:r>
        <w:rPr>
          <w:rFonts w:hint="eastAsia" w:ascii="仿宋_GB2312" w:eastAsia="仿宋_GB2312"/>
          <w:sz w:val="32"/>
          <w:szCs w:val="32"/>
        </w:rPr>
        <w:t>万元。</w:t>
      </w:r>
    </w:p>
    <w:p w14:paraId="14A62A78">
      <w:pPr>
        <w:numPr>
          <w:ilvl w:val="0"/>
          <w:numId w:val="4"/>
        </w:numPr>
        <w:spacing w:line="600" w:lineRule="exact"/>
        <w:ind w:firstLine="640"/>
        <w:outlineLvl w:val="1"/>
        <w:rPr>
          <w:rStyle w:val="28"/>
          <w:rFonts w:ascii="黑体" w:hAnsi="黑体" w:eastAsia="黑体"/>
          <w:b w:val="0"/>
        </w:rPr>
      </w:pPr>
      <w:bookmarkStart w:id="48" w:name="_Toc15396611"/>
      <w:bookmarkStart w:id="49" w:name="_Toc15377219"/>
      <w:r>
        <w:rPr>
          <w:rStyle w:val="28"/>
          <w:rFonts w:hint="eastAsia" w:ascii="黑体" w:hAnsi="黑体" w:eastAsia="黑体"/>
          <w:b w:val="0"/>
        </w:rPr>
        <w:t>国有资本经营预算支出决算情况说明</w:t>
      </w:r>
      <w:bookmarkEnd w:id="48"/>
      <w:bookmarkEnd w:id="49"/>
    </w:p>
    <w:p w14:paraId="7BE31EC1">
      <w:pPr>
        <w:spacing w:line="600" w:lineRule="exact"/>
        <w:ind w:firstLine="640"/>
        <w:rPr>
          <w:rFonts w:ascii="方正小标宋简体" w:hAnsi="方正小标宋简体" w:eastAsia="方正小标宋简体" w:cs="方正小标宋简体"/>
          <w:sz w:val="44"/>
          <w:szCs w:val="44"/>
        </w:rPr>
      </w:pPr>
      <w:r>
        <w:rPr>
          <w:rFonts w:hint="eastAsia" w:ascii="仿宋_GB2312" w:eastAsia="仿宋_GB2312"/>
          <w:sz w:val="32"/>
          <w:szCs w:val="32"/>
        </w:rPr>
        <w:t>2023年度国有资本经营预算财政拨款支出</w:t>
      </w:r>
      <w:r>
        <w:rPr>
          <w:sz w:val="32"/>
          <w:szCs w:val="32"/>
        </w:rPr>
        <w:t>0</w:t>
      </w:r>
      <w:r>
        <w:rPr>
          <w:rFonts w:hint="eastAsia" w:ascii="仿宋_GB2312" w:eastAsia="仿宋_GB2312"/>
          <w:sz w:val="32"/>
          <w:szCs w:val="32"/>
        </w:rPr>
        <w:t>万元。</w:t>
      </w:r>
    </w:p>
    <w:p w14:paraId="321D11A1">
      <w:pPr>
        <w:numPr>
          <w:ilvl w:val="0"/>
          <w:numId w:val="4"/>
        </w:numPr>
        <w:spacing w:line="600" w:lineRule="exact"/>
        <w:ind w:firstLine="640"/>
        <w:outlineLvl w:val="1"/>
        <w:rPr>
          <w:rStyle w:val="28"/>
          <w:rFonts w:ascii="黑体" w:hAnsi="黑体" w:eastAsia="黑体"/>
          <w:b w:val="0"/>
        </w:rPr>
      </w:pPr>
      <w:bookmarkStart w:id="50" w:name="_Toc15396612"/>
      <w:bookmarkStart w:id="51" w:name="_Toc15377221"/>
      <w:r>
        <w:rPr>
          <w:rStyle w:val="28"/>
          <w:rFonts w:hint="eastAsia" w:ascii="黑体" w:hAnsi="黑体" w:eastAsia="黑体"/>
          <w:b w:val="0"/>
        </w:rPr>
        <w:t>其他重要事项的情况说明</w:t>
      </w:r>
      <w:bookmarkEnd w:id="50"/>
      <w:bookmarkEnd w:id="51"/>
    </w:p>
    <w:p w14:paraId="1F0A4440">
      <w:pPr>
        <w:spacing w:line="600" w:lineRule="exact"/>
        <w:ind w:firstLine="643" w:firstLineChars="200"/>
        <w:outlineLvl w:val="2"/>
        <w:rPr>
          <w:rFonts w:ascii="仿宋" w:hAnsi="仿宋" w:eastAsia="仿宋"/>
          <w:sz w:val="32"/>
          <w:szCs w:val="32"/>
        </w:rPr>
      </w:pPr>
      <w:bookmarkStart w:id="52" w:name="_Toc15377222"/>
      <w:r>
        <w:rPr>
          <w:rFonts w:hint="eastAsia" w:ascii="仿宋" w:hAnsi="仿宋" w:eastAsia="仿宋"/>
          <w:b/>
          <w:sz w:val="32"/>
          <w:szCs w:val="32"/>
        </w:rPr>
        <w:t>（一）机关运行经费支出情况</w:t>
      </w:r>
      <w:bookmarkEnd w:id="52"/>
    </w:p>
    <w:p w14:paraId="7867808B">
      <w:pPr>
        <w:spacing w:line="600" w:lineRule="exact"/>
        <w:ind w:firstLine="640" w:firstLineChars="200"/>
        <w:rPr>
          <w:rFonts w:ascii="仿宋_GB2312" w:eastAsia="仿宋_GB2312"/>
          <w:sz w:val="32"/>
          <w:szCs w:val="32"/>
        </w:rPr>
      </w:pPr>
      <w:r>
        <w:rPr>
          <w:rFonts w:hint="eastAsia" w:ascii="仿宋_GB2312" w:eastAsia="仿宋_GB2312"/>
          <w:sz w:val="32"/>
          <w:szCs w:val="32"/>
        </w:rPr>
        <w:t>2023年度，</w:t>
      </w:r>
      <w:r>
        <w:rPr>
          <w:rFonts w:hint="eastAsia"/>
          <w:sz w:val="32"/>
          <w:szCs w:val="32"/>
        </w:rPr>
        <w:t>马边彝族自治县雪口山镇人民政府</w:t>
      </w:r>
      <w:r>
        <w:rPr>
          <w:rFonts w:hint="eastAsia" w:ascii="仿宋_GB2312" w:eastAsia="仿宋_GB2312"/>
          <w:sz w:val="32"/>
          <w:szCs w:val="32"/>
        </w:rPr>
        <w:t>机关运行经费支出</w:t>
      </w:r>
      <w:r>
        <w:rPr>
          <w:sz w:val="32"/>
          <w:szCs w:val="32"/>
        </w:rPr>
        <w:t>117.87</w:t>
      </w:r>
      <w:r>
        <w:rPr>
          <w:rFonts w:hint="eastAsia" w:ascii="仿宋_GB2312" w:eastAsia="仿宋_GB2312"/>
          <w:sz w:val="32"/>
          <w:szCs w:val="32"/>
        </w:rPr>
        <w:t>万元，比2022年度增加</w:t>
      </w:r>
      <w:r>
        <w:rPr>
          <w:rFonts w:hint="eastAsia" w:ascii="仿宋_GB2312" w:eastAsia="仿宋_GB2312"/>
          <w:sz w:val="32"/>
          <w:szCs w:val="32"/>
          <w:lang w:val="en-US" w:eastAsia="zh-CN"/>
        </w:rPr>
        <w:t>7.82</w:t>
      </w:r>
      <w:r>
        <w:rPr>
          <w:rFonts w:hint="eastAsia" w:ascii="仿宋_GB2312" w:eastAsia="仿宋_GB2312"/>
          <w:sz w:val="32"/>
          <w:szCs w:val="32"/>
        </w:rPr>
        <w:t>万元，增长</w:t>
      </w:r>
      <w:r>
        <w:rPr>
          <w:rFonts w:hint="eastAsia" w:ascii="仿宋_GB2312" w:eastAsia="仿宋_GB2312"/>
          <w:sz w:val="32"/>
          <w:szCs w:val="32"/>
          <w:lang w:val="en-US" w:eastAsia="zh-CN"/>
        </w:rPr>
        <w:t>7.11</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办公开支增加</w:t>
      </w:r>
      <w:r>
        <w:rPr>
          <w:rFonts w:hint="eastAsia" w:ascii="仿宋_GB2312" w:eastAsia="仿宋_GB2312"/>
          <w:sz w:val="32"/>
          <w:szCs w:val="32"/>
        </w:rPr>
        <w:t>。</w:t>
      </w:r>
    </w:p>
    <w:p w14:paraId="0EF7597D">
      <w:pPr>
        <w:autoSpaceDE w:val="0"/>
        <w:autoSpaceDN w:val="0"/>
        <w:adjustRightInd w:val="0"/>
        <w:spacing w:line="600" w:lineRule="exact"/>
        <w:ind w:firstLine="643" w:firstLineChars="200"/>
        <w:jc w:val="left"/>
        <w:outlineLvl w:val="2"/>
        <w:rPr>
          <w:rFonts w:ascii="仿宋" w:hAnsi="仿宋" w:eastAsia="仿宋"/>
          <w:b/>
          <w:sz w:val="32"/>
          <w:szCs w:val="32"/>
        </w:rPr>
      </w:pPr>
      <w:bookmarkStart w:id="53" w:name="_Toc15377223"/>
      <w:r>
        <w:rPr>
          <w:rFonts w:hint="eastAsia" w:ascii="仿宋" w:hAnsi="仿宋" w:eastAsia="仿宋"/>
          <w:b/>
          <w:sz w:val="32"/>
          <w:szCs w:val="32"/>
        </w:rPr>
        <w:t>（二）政府采购支出情况</w:t>
      </w:r>
      <w:bookmarkEnd w:id="53"/>
    </w:p>
    <w:p w14:paraId="539344E2">
      <w:pPr>
        <w:spacing w:line="600" w:lineRule="exact"/>
        <w:ind w:firstLine="640" w:firstLineChars="200"/>
        <w:rPr>
          <w:rFonts w:ascii="仿宋_GB2312" w:eastAsia="仿宋_GB2312"/>
          <w:sz w:val="32"/>
          <w:szCs w:val="32"/>
        </w:rPr>
      </w:pPr>
      <w:r>
        <w:rPr>
          <w:rFonts w:hint="eastAsia" w:ascii="仿宋_GB2312" w:eastAsia="仿宋_GB2312"/>
          <w:sz w:val="32"/>
          <w:szCs w:val="32"/>
        </w:rPr>
        <w:t>2023年度，</w:t>
      </w:r>
      <w:r>
        <w:rPr>
          <w:rFonts w:hint="eastAsia"/>
          <w:sz w:val="32"/>
          <w:szCs w:val="32"/>
        </w:rPr>
        <w:t>马边彝族自治县雪口山镇人民政府</w:t>
      </w:r>
      <w:r>
        <w:rPr>
          <w:rFonts w:hint="eastAsia" w:ascii="仿宋_GB2312" w:eastAsia="仿宋_GB2312"/>
          <w:sz w:val="32"/>
          <w:szCs w:val="32"/>
        </w:rPr>
        <w:t>政府采购支出总额</w:t>
      </w:r>
      <w:r>
        <w:rPr>
          <w:rFonts w:hint="eastAsia" w:eastAsia="仿宋_GB2312"/>
          <w:sz w:val="32"/>
          <w:szCs w:val="32"/>
          <w:lang w:val="en-US" w:eastAsia="zh-CN"/>
        </w:rPr>
        <w:t>627.82</w:t>
      </w:r>
      <w:r>
        <w:rPr>
          <w:rFonts w:hint="eastAsia" w:ascii="仿宋_GB2312" w:eastAsia="仿宋_GB2312"/>
          <w:sz w:val="32"/>
          <w:szCs w:val="32"/>
        </w:rPr>
        <w:t>万元，其中：政府采购货物支出</w:t>
      </w:r>
      <w:r>
        <w:rPr>
          <w:rFonts w:hint="eastAsia" w:eastAsia="仿宋_GB2312"/>
          <w:sz w:val="32"/>
          <w:szCs w:val="32"/>
          <w:lang w:val="en-US" w:eastAsia="zh-CN"/>
        </w:rPr>
        <w:t>2.97</w:t>
      </w:r>
      <w:r>
        <w:rPr>
          <w:rFonts w:hint="eastAsia" w:ascii="仿宋_GB2312" w:eastAsia="仿宋_GB2312"/>
          <w:sz w:val="32"/>
          <w:szCs w:val="32"/>
        </w:rPr>
        <w:t>万元、政府采购工程支出</w:t>
      </w:r>
      <w:r>
        <w:rPr>
          <w:rFonts w:hint="eastAsia" w:eastAsia="仿宋_GB2312"/>
          <w:sz w:val="32"/>
          <w:szCs w:val="32"/>
          <w:lang w:val="en-US" w:eastAsia="zh-CN"/>
        </w:rPr>
        <w:t>550.87</w:t>
      </w:r>
      <w:r>
        <w:rPr>
          <w:rFonts w:hint="eastAsia" w:ascii="仿宋_GB2312" w:eastAsia="仿宋_GB2312"/>
          <w:sz w:val="32"/>
          <w:szCs w:val="32"/>
        </w:rPr>
        <w:t>万元、政府采购服务支出</w:t>
      </w:r>
      <w:r>
        <w:rPr>
          <w:rFonts w:hint="eastAsia" w:eastAsia="仿宋_GB2312"/>
          <w:sz w:val="32"/>
          <w:szCs w:val="32"/>
          <w:lang w:val="en-US" w:eastAsia="zh-CN"/>
        </w:rPr>
        <w:t>73.98</w:t>
      </w:r>
      <w:r>
        <w:rPr>
          <w:rFonts w:hint="eastAsia" w:ascii="仿宋_GB2312" w:eastAsia="仿宋_GB2312"/>
          <w:sz w:val="32"/>
          <w:szCs w:val="32"/>
        </w:rPr>
        <w:t>万元。主要用于</w:t>
      </w:r>
      <w:r>
        <w:rPr>
          <w:rFonts w:hint="eastAsia" w:ascii="仿宋_GB2312" w:eastAsia="仿宋_GB2312"/>
          <w:sz w:val="32"/>
          <w:szCs w:val="32"/>
          <w:lang w:eastAsia="zh-CN"/>
        </w:rPr>
        <w:t>政府项目推进</w:t>
      </w:r>
      <w:r>
        <w:rPr>
          <w:rFonts w:hint="eastAsia" w:ascii="仿宋_GB2312" w:eastAsia="仿宋_GB2312"/>
          <w:sz w:val="32"/>
          <w:szCs w:val="32"/>
        </w:rPr>
        <w:t>。授予中小企业合同金额</w:t>
      </w:r>
      <w:r>
        <w:rPr>
          <w:rFonts w:hint="eastAsia" w:eastAsia="仿宋_GB2312"/>
          <w:sz w:val="32"/>
          <w:szCs w:val="32"/>
          <w:lang w:val="en-US" w:eastAsia="zh-CN"/>
        </w:rPr>
        <w:t>627.82</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10</w:t>
      </w:r>
      <w:r>
        <w:rPr>
          <w:sz w:val="32"/>
          <w:szCs w:val="32"/>
        </w:rPr>
        <w:t>0</w:t>
      </w:r>
      <w:r>
        <w:rPr>
          <w:rFonts w:ascii="仿宋_GB2312" w:eastAsia="仿宋_GB2312"/>
          <w:sz w:val="32"/>
          <w:szCs w:val="32"/>
        </w:rPr>
        <w:t>%</w:t>
      </w:r>
      <w:r>
        <w:rPr>
          <w:rFonts w:hint="eastAsia" w:ascii="仿宋_GB2312" w:eastAsia="仿宋_GB2312"/>
          <w:sz w:val="32"/>
          <w:szCs w:val="32"/>
        </w:rPr>
        <w:t>，其中：授予小微企业合同金额</w:t>
      </w:r>
      <w:r>
        <w:rPr>
          <w:rFonts w:hint="eastAsia" w:eastAsia="仿宋_GB2312"/>
          <w:sz w:val="32"/>
          <w:szCs w:val="32"/>
          <w:lang w:val="en-US" w:eastAsia="zh-CN"/>
        </w:rPr>
        <w:t>2.97</w:t>
      </w:r>
      <w:r>
        <w:rPr>
          <w:rFonts w:hint="eastAsia" w:ascii="仿宋_GB2312" w:eastAsia="仿宋_GB2312"/>
          <w:sz w:val="32"/>
          <w:szCs w:val="32"/>
        </w:rPr>
        <w:t>万元，占政府采购支出总额的</w:t>
      </w:r>
      <w:r>
        <w:rPr>
          <w:sz w:val="32"/>
          <w:szCs w:val="32"/>
        </w:rPr>
        <w:t>0</w:t>
      </w:r>
      <w:r>
        <w:rPr>
          <w:rFonts w:hint="eastAsia"/>
          <w:sz w:val="32"/>
          <w:szCs w:val="32"/>
          <w:lang w:val="en-US" w:eastAsia="zh-CN"/>
        </w:rPr>
        <w:t>.47</w:t>
      </w:r>
      <w:r>
        <w:rPr>
          <w:rFonts w:ascii="仿宋_GB2312" w:eastAsia="仿宋_GB2312"/>
          <w:sz w:val="32"/>
          <w:szCs w:val="32"/>
        </w:rPr>
        <w:t>%</w:t>
      </w:r>
      <w:r>
        <w:rPr>
          <w:rFonts w:hint="eastAsia" w:ascii="仿宋_GB2312" w:eastAsia="仿宋_GB2312"/>
          <w:sz w:val="32"/>
          <w:szCs w:val="32"/>
        </w:rPr>
        <w:t>。</w:t>
      </w:r>
    </w:p>
    <w:p w14:paraId="35A418BC">
      <w:pPr>
        <w:autoSpaceDE w:val="0"/>
        <w:autoSpaceDN w:val="0"/>
        <w:adjustRightInd w:val="0"/>
        <w:spacing w:line="600" w:lineRule="exact"/>
        <w:ind w:firstLine="643" w:firstLineChars="200"/>
        <w:jc w:val="left"/>
        <w:outlineLvl w:val="2"/>
        <w:rPr>
          <w:rFonts w:ascii="仿宋" w:hAnsi="仿宋" w:eastAsia="仿宋"/>
          <w:b/>
          <w:sz w:val="32"/>
          <w:szCs w:val="32"/>
        </w:rPr>
      </w:pPr>
      <w:bookmarkStart w:id="54" w:name="_Toc15377224"/>
      <w:r>
        <w:rPr>
          <w:rFonts w:hint="eastAsia" w:ascii="仿宋" w:hAnsi="仿宋" w:eastAsia="仿宋"/>
          <w:b/>
          <w:sz w:val="32"/>
          <w:szCs w:val="32"/>
        </w:rPr>
        <w:t>（三）国有资产占有使用情况</w:t>
      </w:r>
      <w:bookmarkEnd w:id="54"/>
    </w:p>
    <w:p w14:paraId="33EFEA3B">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w:t>
      </w:r>
      <w:r>
        <w:rPr>
          <w:rFonts w:hint="eastAsia" w:ascii="仿宋_GB2312"/>
          <w:sz w:val="32"/>
          <w:szCs w:val="32"/>
          <w:lang w:val="en-US" w:eastAsia="zh-CN"/>
        </w:rPr>
        <w:t>2</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hAnsi="Helvetica" w:eastAsia="仿宋_GB2312" w:cs="仿宋_GB2312"/>
          <w:b w:val="0"/>
          <w:i w:val="0"/>
          <w:caps w:val="0"/>
          <w:color w:val="333333"/>
          <w:spacing w:val="0"/>
          <w:kern w:val="0"/>
          <w:sz w:val="32"/>
          <w:szCs w:val="32"/>
          <w:shd w:val="clear" w:color="auto" w:fill="FFFFFF"/>
          <w:lang w:val="en-US" w:eastAsia="zh-CN" w:bidi="ar"/>
        </w:rPr>
        <w:t>雪口山镇</w:t>
      </w:r>
      <w:r>
        <w:rPr>
          <w:rFonts w:hint="eastAsia" w:ascii="仿宋_GB2312" w:eastAsia="仿宋_GB2312"/>
          <w:sz w:val="32"/>
          <w:szCs w:val="32"/>
        </w:rPr>
        <w:t>共有车辆</w:t>
      </w:r>
      <w:r>
        <w:rPr>
          <w:rFonts w:hint="eastAsia" w:ascii="仿宋_GB2312"/>
          <w:sz w:val="32"/>
          <w:szCs w:val="32"/>
          <w:lang w:val="en-US" w:eastAsia="zh-CN"/>
        </w:rPr>
        <w:t>1</w:t>
      </w:r>
      <w:r>
        <w:rPr>
          <w:rFonts w:hint="eastAsia" w:ascii="仿宋_GB2312" w:eastAsia="仿宋_GB2312"/>
          <w:sz w:val="32"/>
          <w:szCs w:val="32"/>
        </w:rPr>
        <w:t>辆，其中：主要领导干部用车</w:t>
      </w:r>
      <w:r>
        <w:rPr>
          <w:rFonts w:hint="eastAsia" w:ascii="仿宋_GB2312"/>
          <w:sz w:val="32"/>
          <w:szCs w:val="32"/>
          <w:lang w:val="en-US" w:eastAsia="zh-CN"/>
        </w:rPr>
        <w:t>0</w:t>
      </w:r>
      <w:r>
        <w:rPr>
          <w:rFonts w:hint="eastAsia" w:ascii="仿宋_GB2312" w:eastAsia="仿宋_GB2312"/>
          <w:sz w:val="32"/>
          <w:szCs w:val="32"/>
        </w:rPr>
        <w:t>辆、机要通信用车</w:t>
      </w:r>
      <w:r>
        <w:rPr>
          <w:rFonts w:hint="eastAsia" w:ascii="仿宋_GB2312"/>
          <w:sz w:val="32"/>
          <w:szCs w:val="32"/>
          <w:lang w:val="en-US" w:eastAsia="zh-CN"/>
        </w:rPr>
        <w:t>0</w:t>
      </w:r>
      <w:r>
        <w:rPr>
          <w:rFonts w:hint="eastAsia" w:ascii="仿宋_GB2312" w:eastAsia="仿宋_GB2312"/>
          <w:sz w:val="32"/>
          <w:szCs w:val="32"/>
        </w:rPr>
        <w:t>辆、应急保障用车</w:t>
      </w:r>
      <w:r>
        <w:rPr>
          <w:rFonts w:hint="eastAsia" w:ascii="仿宋_GB2312"/>
          <w:sz w:val="32"/>
          <w:szCs w:val="32"/>
          <w:lang w:val="en-US" w:eastAsia="zh-CN"/>
        </w:rPr>
        <w:t>0</w:t>
      </w:r>
      <w:r>
        <w:rPr>
          <w:rFonts w:hint="eastAsia" w:ascii="仿宋_GB2312" w:eastAsia="仿宋_GB2312"/>
          <w:sz w:val="32"/>
          <w:szCs w:val="32"/>
        </w:rPr>
        <w:t>辆、其他用车</w:t>
      </w:r>
      <w:r>
        <w:rPr>
          <w:rFonts w:hint="eastAsia" w:ascii="仿宋_GB2312"/>
          <w:sz w:val="32"/>
          <w:szCs w:val="32"/>
          <w:lang w:val="en-US" w:eastAsia="zh-CN"/>
        </w:rPr>
        <w:t>1</w:t>
      </w:r>
      <w:r>
        <w:rPr>
          <w:rFonts w:hint="eastAsia" w:ascii="仿宋_GB2312" w:eastAsia="仿宋_GB2312"/>
          <w:sz w:val="32"/>
          <w:szCs w:val="32"/>
        </w:rPr>
        <w:t>辆</w:t>
      </w:r>
      <w:r>
        <w:rPr>
          <w:rFonts w:hint="eastAsia" w:ascii="仿宋_GB2312"/>
          <w:sz w:val="32"/>
          <w:szCs w:val="32"/>
          <w:lang w:eastAsia="zh-CN"/>
        </w:rPr>
        <w:t>。</w:t>
      </w:r>
      <w:r>
        <w:rPr>
          <w:rFonts w:hint="eastAsia" w:ascii="仿宋_GB2312" w:eastAsia="仿宋_GB2312"/>
          <w:sz w:val="32"/>
          <w:szCs w:val="32"/>
        </w:rPr>
        <w:t>其他用车主要是用于</w:t>
      </w:r>
      <w:r>
        <w:rPr>
          <w:rFonts w:hint="eastAsia" w:ascii="仿宋_GB2312" w:hAnsi="Helvetica" w:eastAsia="仿宋_GB2312" w:cs="仿宋_GB2312"/>
          <w:b w:val="0"/>
          <w:i w:val="0"/>
          <w:caps w:val="0"/>
          <w:color w:val="333333"/>
          <w:spacing w:val="0"/>
          <w:kern w:val="0"/>
          <w:sz w:val="32"/>
          <w:szCs w:val="32"/>
          <w:shd w:val="clear" w:color="auto" w:fill="FFFFFF"/>
          <w:lang w:val="en-US" w:eastAsia="zh-CN" w:bidi="ar"/>
        </w:rPr>
        <w:t>单位职工因公出行代步</w:t>
      </w:r>
      <w:r>
        <w:rPr>
          <w:rFonts w:hint="eastAsia" w:ascii="仿宋_GB2312" w:hAnsi="Helvetica" w:cs="仿宋_GB2312"/>
          <w:b w:val="0"/>
          <w:i w:val="0"/>
          <w:caps w:val="0"/>
          <w:color w:val="333333"/>
          <w:spacing w:val="0"/>
          <w:kern w:val="0"/>
          <w:sz w:val="32"/>
          <w:szCs w:val="32"/>
          <w:shd w:val="clear" w:color="auto" w:fill="FFFFFF"/>
          <w:lang w:val="en-US" w:eastAsia="zh-CN" w:bidi="ar"/>
        </w:rPr>
        <w:t>。</w:t>
      </w:r>
      <w:r>
        <w:rPr>
          <w:rFonts w:hint="eastAsia" w:ascii="仿宋_GB2312" w:eastAsia="仿宋_GB2312"/>
          <w:sz w:val="32"/>
          <w:szCs w:val="32"/>
        </w:rPr>
        <w:t>单价</w:t>
      </w:r>
      <w:r>
        <w:rPr>
          <w:rFonts w:ascii="仿宋_GB2312" w:eastAsia="仿宋_GB2312"/>
          <w:sz w:val="32"/>
          <w:szCs w:val="32"/>
        </w:rPr>
        <w:t>50</w:t>
      </w:r>
      <w:r>
        <w:rPr>
          <w:rFonts w:hint="eastAsia" w:ascii="仿宋_GB2312" w:eastAsia="仿宋_GB2312"/>
          <w:sz w:val="32"/>
          <w:szCs w:val="32"/>
        </w:rPr>
        <w:t>万元以上通用设备</w:t>
      </w:r>
      <w:r>
        <w:rPr>
          <w:rFonts w:hint="eastAsia" w:ascii="仿宋_GB2312"/>
          <w:sz w:val="32"/>
          <w:szCs w:val="32"/>
          <w:lang w:val="en-US" w:eastAsia="zh-CN"/>
        </w:rPr>
        <w:t>0</w:t>
      </w:r>
      <w:r>
        <w:rPr>
          <w:rFonts w:hint="eastAsia" w:ascii="仿宋_GB2312" w:eastAsia="仿宋_GB2312"/>
          <w:sz w:val="32"/>
          <w:szCs w:val="32"/>
        </w:rPr>
        <w:t>台（套），单价</w:t>
      </w:r>
      <w:r>
        <w:rPr>
          <w:rFonts w:ascii="仿宋_GB2312" w:eastAsia="仿宋_GB2312"/>
          <w:sz w:val="32"/>
          <w:szCs w:val="32"/>
        </w:rPr>
        <w:t>100</w:t>
      </w:r>
      <w:r>
        <w:rPr>
          <w:rFonts w:hint="eastAsia" w:ascii="仿宋_GB2312" w:eastAsia="仿宋_GB2312"/>
          <w:sz w:val="32"/>
          <w:szCs w:val="32"/>
        </w:rPr>
        <w:t>万元以上专用设备</w:t>
      </w:r>
      <w:r>
        <w:rPr>
          <w:rFonts w:hint="eastAsia" w:ascii="仿宋_GB2312"/>
          <w:sz w:val="32"/>
          <w:szCs w:val="32"/>
          <w:lang w:val="en-US" w:eastAsia="zh-CN"/>
        </w:rPr>
        <w:t>0</w:t>
      </w:r>
      <w:r>
        <w:rPr>
          <w:rFonts w:hint="eastAsia" w:ascii="仿宋_GB2312" w:eastAsia="仿宋_GB2312"/>
          <w:sz w:val="32"/>
          <w:szCs w:val="32"/>
        </w:rPr>
        <w:t>台（套）。</w:t>
      </w:r>
    </w:p>
    <w:p w14:paraId="0709999A">
      <w:pPr>
        <w:autoSpaceDE w:val="0"/>
        <w:autoSpaceDN w:val="0"/>
        <w:adjustRightInd w:val="0"/>
        <w:spacing w:line="600" w:lineRule="exact"/>
        <w:ind w:firstLine="640" w:firstLineChars="200"/>
        <w:jc w:val="left"/>
        <w:rPr>
          <w:rFonts w:ascii="仿宋_GB2312" w:eastAsia="仿宋_GB2312"/>
          <w:sz w:val="32"/>
          <w:szCs w:val="32"/>
        </w:rPr>
      </w:pPr>
    </w:p>
    <w:p w14:paraId="17743597">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134F7275">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atLeast"/>
        <w:ind w:left="0" w:leftChars="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根据预算绩效管理要求，</w:t>
      </w:r>
      <w:r>
        <w:rPr>
          <w:rFonts w:hint="eastAsia" w:ascii="仿宋_GB2312" w:hAnsi="仿宋_GB2312" w:eastAsia="仿宋_GB2312" w:cs="仿宋_GB2312"/>
          <w:sz w:val="32"/>
          <w:szCs w:val="32"/>
        </w:rPr>
        <w:t>本单位在202</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rPr>
        <w:t>年度预算编制阶段</w:t>
      </w:r>
      <w:r>
        <w:rPr>
          <w:rFonts w:hint="eastAsia" w:ascii="仿宋_GB2312" w:hAnsi="仿宋_GB2312" w:eastAsia="仿宋_GB2312" w:cs="仿宋_GB2312"/>
          <w:sz w:val="32"/>
          <w:szCs w:val="32"/>
          <w:lang w:val="en-US" w:eastAsia="zh-CN"/>
        </w:rPr>
        <w:t>，组织对</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lang w:val="en-US" w:eastAsia="zh-CN"/>
        </w:rPr>
        <w:t>项目（项目名称）开展了预算事前绩效评估，对</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lang w:val="en-US" w:eastAsia="zh-CN"/>
        </w:rPr>
        <w:t>个项目编制了绩效目标，预算执行过程中，选取1个项目开展绩效监控，年终执行完毕后，对1个项目开展了绩效目标完成情况自评，</w:t>
      </w:r>
      <w:r>
        <w:rPr>
          <w:rFonts w:hint="eastAsia" w:ascii="仿宋_GB2312" w:hAnsi="仿宋_GB2312" w:eastAsia="仿宋_GB2312" w:cs="仿宋_GB2312"/>
          <w:sz w:val="32"/>
          <w:szCs w:val="32"/>
        </w:rPr>
        <w:t>202</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rPr>
        <w:t>年特定目标类部门预算项目绩效目标自评表见附件（第四部分）。</w:t>
      </w:r>
    </w:p>
    <w:p w14:paraId="7A538A2E">
      <w:pPr>
        <w:pStyle w:val="3"/>
        <w:jc w:val="center"/>
      </w:pPr>
      <w:r>
        <w:rPr>
          <w:rFonts w:hint="eastAsia"/>
        </w:rPr>
        <w:t>第三部分 名词解释</w:t>
      </w:r>
    </w:p>
    <w:p w14:paraId="585EA04E"/>
    <w:p w14:paraId="02C72B05">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1.财政拨款收入：指单位从同级财政部门取得的财政预算资金。 </w:t>
      </w:r>
    </w:p>
    <w:p w14:paraId="27AB453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2.事业收入：指事业单位开展专业业务活动及辅助活动取得的收入。 </w:t>
      </w:r>
    </w:p>
    <w:p w14:paraId="78B7023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3.经营收入：指事业单位在专业业务活动及其辅助活动之外开展非独立核算经营活动取得的收入。 </w:t>
      </w:r>
    </w:p>
    <w:p w14:paraId="7693816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4.其他收入：指单位取得的除上述收入以外的各项收入。 </w:t>
      </w:r>
    </w:p>
    <w:p w14:paraId="0DD6B17C">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1C5AA6F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6.年初结转和结余：指以前年度尚未完成、结转到本年按有关规定继续使用的资金。 </w:t>
      </w:r>
    </w:p>
    <w:p w14:paraId="09C552EB">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7.结余分配：指事业单位按照事业单位会计制度的规定从非财政补助结余中分配的事业基金和职工福利基金等。 </w:t>
      </w:r>
    </w:p>
    <w:p w14:paraId="6E995F1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8、年末结转和结余：指单位按有关规定结转到下年或以后年度继续使用的资金。 </w:t>
      </w:r>
    </w:p>
    <w:p w14:paraId="4B78976B">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9.一般公共服务（类）政府办公厅（室）及机关机构事务（款）行政运行（项）：指机关单位运行基本支出，如行政办公费、会议费、遗属补助资金等。 </w:t>
      </w:r>
    </w:p>
    <w:p w14:paraId="30EA8C96">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10.一般公共服务（类）政府办公厅（室）及机关机构事务（款）一般行政管理事务（项）: 指行政机关事业单位项目支出，如党建工作经费、网格化工作经费等项目。 </w:t>
      </w:r>
    </w:p>
    <w:p w14:paraId="1AEFB4C8">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11.一般公共服务（类）政府办公厅（室）及机关机构事务（款）事业运行（项）: 指机关事业单位运行基本支出，入事业办公费、福利费、工会费等支出。 </w:t>
      </w:r>
    </w:p>
    <w:p w14:paraId="01F5E830">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12.一般公共服务（类）人力资源事务（款）其他人力资源事务支出（项）:支机关事业单位临聘人员经费，入“三支一扶”人员基本工资、绩效、社会保障缴费等支出。 </w:t>
      </w:r>
    </w:p>
    <w:p w14:paraId="4E5A2376">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13.一般公共服务（类）民族事务（款）其他民族事务支出（项）: 指省财政厅关于民族地区春节送温暖活动慰问金。 </w:t>
      </w:r>
    </w:p>
    <w:p w14:paraId="5CA73C6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14.一般公共服务（类）民族事务（款）民族工作专项（项）: 指民族地区彝族年慰问金等经费支出。 </w:t>
      </w:r>
    </w:p>
    <w:p w14:paraId="756EFE43">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15.文化体育与传媒（类）文化（款）群众文化（项）:指文化站免费开放资金。 </w:t>
      </w:r>
    </w:p>
    <w:p w14:paraId="7A4D48E4">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16.文化体育与传媒（类）文化（款）其他文化支出（项）: 指文化站免费开放资金、农村文化体系建设资金、迎接十九大惠民活动等经费支出。 </w:t>
      </w:r>
    </w:p>
    <w:p w14:paraId="12FF492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17.社会保障和就业（类）行政事业单位离退休（款）机关事业单位基本养老保险缴费支出（项）:指机关事业单位在职人员的基本养老保险缴费支出。 </w:t>
      </w:r>
    </w:p>
    <w:p w14:paraId="19C60D1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18.社会保障和就业（类）行政事业单位离退休（款）机关事业单位职业年金缴费支出（项）:指机关事业单位在职人员的职业年金缴费支出。 </w:t>
      </w:r>
    </w:p>
    <w:p w14:paraId="585C6B1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19.医疗卫生与计划生育（类）计划生育事务（款）其他计划生育事务支出（项）:指计生工作专项经费，如政策法规专项工作经费支出、计生信息员生活补助等。 </w:t>
      </w:r>
    </w:p>
    <w:p w14:paraId="161DD529">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20.医疗卫生与计划生育（类）行政事业单位医疗（款） 行政单位医疗（项）:指行政人员基本医疗保险缴费支出。 </w:t>
      </w:r>
    </w:p>
    <w:p w14:paraId="05127AC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21.医疗卫生与计划生育（类）行政事业单位医疗（款） 事业单位医疗（项）:指事业人员基本医疗保险缴费支出。 </w:t>
      </w:r>
    </w:p>
    <w:p w14:paraId="17CDC9D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22.农林水（类）林业（款）一般行政管理事务（项）: 指笋山管理工作经费。 </w:t>
      </w:r>
    </w:p>
    <w:p w14:paraId="6D6CC1B7">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23.农林水（类）农业（款）对高校毕业生到基层任职补助（项）:指大学生村官生活补助等支出。 </w:t>
      </w:r>
    </w:p>
    <w:p w14:paraId="42A58080">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24.农林水（类）扶贫（款）其他扶贫支出（项）: 指驻村工作队工作经费。 </w:t>
      </w:r>
    </w:p>
    <w:p w14:paraId="0C178E2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25.农林水（类）农村综合改革（款）对村民委员会和村党支部的补助（项）: 指基层组织活动和公共服务运行经费、第一书记工作经费、村组干部工资等经费。 </w:t>
      </w:r>
    </w:p>
    <w:p w14:paraId="2B31312E">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26.农林水（类）农村综合改革（款）对村集体经济组织的补助（项）: 指市级“四好村”奖补资金。 </w:t>
      </w:r>
    </w:p>
    <w:p w14:paraId="55ACAD14">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27.住房保障支出（类）住房改革支出（款）住房公积金（项）: 指机关事业单位人员住房公积金支出。 </w:t>
      </w:r>
    </w:p>
    <w:p w14:paraId="405D3FB8">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28.基本支出：指为保障机构正常运转、完成日常工作任务而发生的人员支出和公用支出。 </w:t>
      </w:r>
    </w:p>
    <w:p w14:paraId="6CA06018">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29.项目支出：指在基本支出之外为完成特定行政任务和事业发展目标所发生的支出。 </w:t>
      </w:r>
    </w:p>
    <w:p w14:paraId="4CD607B4">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30.经营支出：指事业单位在专业业务活动及其辅助活动之外开展非独立核算经营活动发生的支出。 </w:t>
      </w:r>
    </w:p>
    <w:p w14:paraId="1E258E99">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31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 </w:t>
      </w:r>
    </w:p>
    <w:p w14:paraId="2839AD71">
      <w:pPr>
        <w:ind w:firstLine="640" w:firstLineChars="200"/>
        <w:rPr>
          <w:rFonts w:ascii="仿宋" w:hAnsi="仿宋" w:eastAsia="仿宋"/>
          <w:b/>
          <w:sz w:val="32"/>
          <w:szCs w:val="32"/>
        </w:rPr>
      </w:pPr>
      <w:r>
        <w:rPr>
          <w:rFonts w:hint="eastAsia" w:ascii="仿宋" w:hAnsi="仿宋" w:eastAsia="仿宋" w:cs="仿宋"/>
          <w:b w:val="0"/>
          <w:i w:val="0"/>
          <w:caps w:val="0"/>
          <w:color w:val="333333"/>
          <w:spacing w:val="0"/>
          <w:kern w:val="0"/>
          <w:sz w:val="32"/>
          <w:szCs w:val="32"/>
          <w:shd w:val="clear" w:color="auto" w:fill="FFFFFF"/>
          <w:lang w:val="en-US" w:eastAsia="zh-CN" w:bidi="ar"/>
        </w:rPr>
        <w:t>32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 w:hAnsi="仿宋" w:eastAsia="仿宋"/>
          <w:b/>
          <w:sz w:val="32"/>
          <w:szCs w:val="32"/>
        </w:rPr>
        <w:br w:type="page"/>
      </w:r>
    </w:p>
    <w:p w14:paraId="455148A2">
      <w:pPr>
        <w:pStyle w:val="3"/>
        <w:jc w:val="center"/>
        <w:rPr>
          <w:rFonts w:ascii="黑体" w:hAnsi="黑体" w:eastAsia="黑体"/>
          <w:b w:val="0"/>
        </w:rPr>
      </w:pPr>
      <w:r>
        <w:rPr>
          <w:rFonts w:hint="eastAsia" w:ascii="黑体" w:hAnsi="黑体" w:eastAsia="黑体"/>
          <w:b w:val="0"/>
        </w:rPr>
        <w:t>第四部分 附件</w:t>
      </w:r>
    </w:p>
    <w:p w14:paraId="1B892401"/>
    <w:tbl>
      <w:tblPr>
        <w:tblStyle w:val="14"/>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4C42BBF2">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0B3FB5C0">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3</w:t>
            </w:r>
            <w:r>
              <w:rPr>
                <w:rFonts w:hint="eastAsia" w:ascii="宋体" w:hAnsi="宋体" w:cs="宋体"/>
                <w:b/>
                <w:sz w:val="32"/>
                <w:szCs w:val="32"/>
              </w:rPr>
              <w:t>年农民夜校工作经费项目绩效目标自评</w:t>
            </w:r>
          </w:p>
        </w:tc>
        <w:tc>
          <w:tcPr>
            <w:tcW w:w="239" w:type="dxa"/>
            <w:tcBorders>
              <w:top w:val="nil"/>
              <w:left w:val="nil"/>
              <w:bottom w:val="nil"/>
              <w:right w:val="nil"/>
            </w:tcBorders>
            <w:shd w:val="clear" w:color="auto" w:fill="auto"/>
            <w:vAlign w:val="center"/>
          </w:tcPr>
          <w:p w14:paraId="2EAF8842">
            <w:pPr>
              <w:widowControl/>
              <w:jc w:val="center"/>
              <w:textAlignment w:val="center"/>
              <w:rPr>
                <w:rFonts w:ascii="宋体" w:hAnsi="宋体" w:cs="宋体"/>
                <w:b/>
                <w:kern w:val="0"/>
                <w:sz w:val="32"/>
                <w:szCs w:val="32"/>
                <w:lang w:bidi="ar"/>
              </w:rPr>
            </w:pPr>
          </w:p>
        </w:tc>
      </w:tr>
      <w:tr w14:paraId="1E67680B">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580D2">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C3B17">
            <w:pPr>
              <w:widowControl/>
              <w:spacing w:line="320" w:lineRule="exact"/>
              <w:jc w:val="left"/>
              <w:textAlignment w:val="center"/>
              <w:rPr>
                <w:rFonts w:hint="eastAsia" w:ascii="宋体" w:hAnsi="宋体" w:eastAsia="仿宋_GB2312" w:cs="宋体"/>
                <w:sz w:val="24"/>
                <w:lang w:eastAsia="zh-CN"/>
              </w:rPr>
            </w:pPr>
            <w:r>
              <w:rPr>
                <w:rFonts w:hint="eastAsia" w:ascii="宋体" w:hAnsi="宋体" w:cs="宋体"/>
                <w:sz w:val="24"/>
                <w:lang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7B87">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23B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eastAsia="zh-CN"/>
              </w:rPr>
              <w:t>雪口山镇人民政府</w:t>
            </w:r>
          </w:p>
        </w:tc>
      </w:tr>
      <w:tr w14:paraId="2B388619">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25841">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6BFE2600">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1875C158">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099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ED14">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32CA">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48E8">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r>
      <w:tr w14:paraId="7CBAF0BF">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0A449">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FA75">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020A595C">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1D60">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2AFF">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17FA9C69">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0F07">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r>
      <w:tr w14:paraId="0B20FB42">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372C4">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B2D8">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96FE">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867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23E6">
            <w:pPr>
              <w:widowControl/>
              <w:spacing w:line="320" w:lineRule="exact"/>
              <w:jc w:val="left"/>
              <w:textAlignment w:val="center"/>
              <w:rPr>
                <w:rFonts w:ascii="宋体" w:hAnsi="宋体" w:cs="宋体"/>
                <w:sz w:val="24"/>
              </w:rPr>
            </w:pPr>
          </w:p>
        </w:tc>
      </w:tr>
      <w:tr w14:paraId="5CA14823">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052BA">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145AED9B">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220BC2">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4E47B">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1016BAD3">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AC8D6">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54634468">
            <w:pPr>
              <w:widowControl/>
              <w:spacing w:line="320" w:lineRule="exact"/>
              <w:ind w:left="0" w:leftChars="0" w:firstLine="480" w:firstLineChars="200"/>
              <w:jc w:val="left"/>
              <w:textAlignment w:val="top"/>
              <w:rPr>
                <w:rFonts w:ascii="宋体" w:hAnsi="宋体" w:cs="宋体"/>
                <w:sz w:val="24"/>
              </w:rPr>
            </w:pPr>
            <w:r>
              <w:rPr>
                <w:rFonts w:hint="eastAsia" w:ascii="宋体" w:hAnsi="宋体" w:cs="宋体"/>
                <w:sz w:val="24"/>
              </w:rPr>
              <w:t xml:space="preserve">保障农业农村技能培训正常开展；保障宣传党的方针政策；引导农民讲文明、树新风。               </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64C09FE7">
            <w:pPr>
              <w:widowControl/>
              <w:spacing w:line="320" w:lineRule="exact"/>
              <w:jc w:val="left"/>
              <w:textAlignment w:val="top"/>
              <w:rPr>
                <w:rFonts w:ascii="宋体" w:hAnsi="宋体" w:cs="宋体"/>
                <w:sz w:val="24"/>
              </w:rPr>
            </w:pPr>
            <w:r>
              <w:rPr>
                <w:rFonts w:hint="eastAsia" w:ascii="宋体" w:hAnsi="宋体" w:cs="宋体"/>
                <w:sz w:val="24"/>
              </w:rPr>
              <w:t xml:space="preserve">保障农业农村技能培训正常开展；保障宣传党的方针政策；引导农民讲文明、树新风。     </w:t>
            </w:r>
          </w:p>
        </w:tc>
      </w:tr>
      <w:tr w14:paraId="0C98CED2">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39B4081E">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38FFD48E">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3B24E581">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B6F0">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7FE75B23">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B803">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54E67314">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480B">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2DA2">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0B8FB9B7">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145D7995">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13DFF">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75B6E10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008FC5">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EE7687">
            <w:pPr>
              <w:widowControl/>
              <w:spacing w:line="320" w:lineRule="exact"/>
              <w:ind w:left="0" w:leftChars="0" w:firstLine="0" w:firstLineChars="0"/>
              <w:jc w:val="both"/>
              <w:textAlignment w:val="bottom"/>
              <w:rPr>
                <w:rFonts w:ascii="仿宋_GB2312" w:hAnsi="仿宋_GB2312" w:eastAsia="仿宋_GB2312" w:cs="仿宋_GB2312"/>
                <w:sz w:val="22"/>
                <w:szCs w:val="22"/>
              </w:rPr>
            </w:pPr>
            <w:r>
              <w:rPr>
                <w:rFonts w:hint="eastAsia" w:ascii="仿宋_GB2312" w:hAnsi="仿宋_GB2312" w:eastAsia="仿宋_GB2312" w:cs="仿宋_GB2312"/>
                <w:sz w:val="22"/>
                <w:szCs w:val="22"/>
              </w:rPr>
              <w:t>开展农民技能培训</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EFC571">
            <w:pPr>
              <w:widowControl/>
              <w:spacing w:line="320" w:lineRule="exact"/>
              <w:ind w:left="0" w:leftChars="0" w:firstLine="0" w:firstLineChars="0"/>
              <w:jc w:val="both"/>
              <w:textAlignment w:val="bottom"/>
              <w:rPr>
                <w:rFonts w:ascii="仿宋_GB2312" w:hAnsi="仿宋_GB2312" w:eastAsia="仿宋_GB2312" w:cs="仿宋_GB2312"/>
                <w:sz w:val="22"/>
                <w:szCs w:val="22"/>
              </w:rPr>
            </w:pPr>
            <w:r>
              <w:rPr>
                <w:rFonts w:hint="eastAsia" w:ascii="仿宋_GB2312" w:hAnsi="仿宋_GB2312" w:eastAsia="仿宋_GB2312" w:cs="仿宋_GB2312"/>
                <w:sz w:val="22"/>
                <w:szCs w:val="22"/>
              </w:rPr>
              <w:t>≥200人次</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FAD933">
            <w:pPr>
              <w:widowControl/>
              <w:spacing w:line="320" w:lineRule="exact"/>
              <w:ind w:left="0" w:leftChars="0" w:firstLine="0" w:firstLineChars="0"/>
              <w:jc w:val="both"/>
              <w:textAlignment w:val="bottom"/>
              <w:rPr>
                <w:rFonts w:ascii="仿宋_GB2312" w:hAnsi="仿宋_GB2312" w:eastAsia="仿宋_GB2312" w:cs="仿宋_GB2312"/>
                <w:sz w:val="22"/>
                <w:szCs w:val="22"/>
              </w:rPr>
            </w:pPr>
            <w:r>
              <w:rPr>
                <w:rFonts w:hint="eastAsia" w:ascii="仿宋_GB2312" w:hAnsi="仿宋_GB2312" w:eastAsia="仿宋_GB2312" w:cs="仿宋_GB2312"/>
                <w:sz w:val="22"/>
                <w:szCs w:val="22"/>
              </w:rPr>
              <w:t>≥200人次</w:t>
            </w:r>
          </w:p>
        </w:tc>
      </w:tr>
      <w:tr w14:paraId="781B20B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371AFF5B">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861CAB1">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82299D">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BD381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农民技能提升率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9198FB">
            <w:pPr>
              <w:widowControl/>
              <w:spacing w:line="320" w:lineRule="exact"/>
              <w:ind w:left="0" w:leftChars="0" w:firstLine="0" w:firstLineChars="0"/>
              <w:jc w:val="both"/>
              <w:textAlignment w:val="bottom"/>
              <w:rPr>
                <w:rFonts w:hint="eastAsia" w:ascii="仿宋_GB2312" w:hAnsi="仿宋_GB2312" w:eastAsia="仿宋_GB2312" w:cs="仿宋_GB2312"/>
                <w:sz w:val="22"/>
                <w:szCs w:val="22"/>
                <w:lang w:eastAsia="zh-CN"/>
              </w:rPr>
            </w:pPr>
            <w:r>
              <w:rPr>
                <w:rFonts w:hint="eastAsia" w:ascii="仿宋_GB2312" w:hAnsi="仿宋_GB2312" w:cs="仿宋_GB2312"/>
                <w:sz w:val="22"/>
                <w:szCs w:val="22"/>
                <w:lang w:eastAsia="zh-CN"/>
              </w:rPr>
              <w:t>大幅提升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B2E7F5">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eastAsia="zh-CN"/>
              </w:rPr>
              <w:t>大幅提升</w:t>
            </w:r>
          </w:p>
        </w:tc>
      </w:tr>
      <w:tr w14:paraId="5AB6A64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7D9C66F8">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3782C0F">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9D7F8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E8CD15">
            <w:pPr>
              <w:widowControl/>
              <w:spacing w:line="320" w:lineRule="exact"/>
              <w:ind w:left="0" w:leftChars="0" w:firstLine="0" w:firstLineChars="0"/>
              <w:jc w:val="both"/>
              <w:textAlignment w:val="bottom"/>
              <w:rPr>
                <w:rFonts w:hint="default" w:ascii="仿宋_GB2312" w:hAnsi="仿宋_GB2312" w:eastAsia="仿宋_GB2312" w:cs="仿宋_GB2312"/>
                <w:sz w:val="22"/>
                <w:szCs w:val="22"/>
                <w:lang w:val="en-US" w:eastAsia="zh-CN"/>
              </w:rPr>
            </w:pPr>
            <w:r>
              <w:rPr>
                <w:rFonts w:hint="eastAsia" w:ascii="仿宋_GB2312" w:hAnsi="仿宋_GB2312" w:cs="仿宋_GB2312"/>
                <w:sz w:val="22"/>
                <w:szCs w:val="22"/>
                <w:lang w:val="en-US" w:eastAsia="zh-CN"/>
              </w:rPr>
              <w:t>2023年底完成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3C294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val="en-US" w:eastAsia="zh-CN"/>
              </w:rPr>
              <w:t>2023年底完成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14FDB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val="en-US" w:eastAsia="zh-CN"/>
              </w:rPr>
              <w:t>2023年底完成</w:t>
            </w:r>
          </w:p>
        </w:tc>
      </w:tr>
      <w:tr w14:paraId="1278468E">
        <w:tblPrEx>
          <w:tblCellMar>
            <w:top w:w="0" w:type="dxa"/>
            <w:left w:w="108" w:type="dxa"/>
            <w:bottom w:w="0" w:type="dxa"/>
            <w:right w:w="108" w:type="dxa"/>
          </w:tblCellMar>
        </w:tblPrEx>
        <w:trPr>
          <w:gridAfter w:val="1"/>
          <w:wAfter w:w="239" w:type="dxa"/>
          <w:trHeight w:val="523" w:hRule="atLeast"/>
        </w:trPr>
        <w:tc>
          <w:tcPr>
            <w:tcW w:w="2001" w:type="dxa"/>
            <w:vMerge w:val="continue"/>
            <w:tcBorders>
              <w:left w:val="single" w:color="000000" w:sz="4" w:space="0"/>
              <w:right w:val="single" w:color="000000" w:sz="4" w:space="0"/>
            </w:tcBorders>
            <w:shd w:val="clear" w:color="auto" w:fill="auto"/>
            <w:vAlign w:val="center"/>
          </w:tcPr>
          <w:p w14:paraId="00021EA7">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4AD65F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A2B4D4">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3C404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7850C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0.9</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41604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0.9</w:t>
            </w:r>
            <w:r>
              <w:rPr>
                <w:rFonts w:hint="eastAsia" w:ascii="仿宋_GB2312" w:hAnsi="仿宋_GB2312" w:eastAsia="仿宋_GB2312" w:cs="仿宋_GB2312"/>
                <w:sz w:val="22"/>
                <w:szCs w:val="22"/>
              </w:rPr>
              <w:t>万元</w:t>
            </w:r>
          </w:p>
        </w:tc>
      </w:tr>
      <w:tr w14:paraId="37C01C52">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8859B3B">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78044">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49955E2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09A74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D7D07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提升农民技能，创造社会财富</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A7628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推动地区经济发展</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4D92D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推动地区经济发展</w:t>
            </w:r>
          </w:p>
        </w:tc>
      </w:tr>
      <w:tr w14:paraId="2E03DD23">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089ADE8A">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ED41C4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06E4D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79176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提高农民思想素质</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44799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大幅提升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69C7D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大幅提升</w:t>
            </w:r>
          </w:p>
        </w:tc>
      </w:tr>
      <w:tr w14:paraId="2287FCE7">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41FA3CE2">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30ED1CD">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D52A9B">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E39A9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1CC58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D4D7E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1DBDE041">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4CA2EFA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2E4C716">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6FC10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EBAC3A">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提高群众致富增收能力</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97AEF6">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大幅提升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BB7B9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大幅提升</w:t>
            </w:r>
          </w:p>
        </w:tc>
      </w:tr>
      <w:tr w14:paraId="04EFFF08">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46B1F022">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D3895B">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04AAF39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2A553E">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F997D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农民夜校学员满意度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A3FCD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D3C2E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bl>
    <w:p w14:paraId="44B3F501">
      <w:pPr>
        <w:spacing w:line="600" w:lineRule="exact"/>
        <w:jc w:val="both"/>
        <w:outlineLvl w:val="9"/>
        <w:rPr>
          <w:rFonts w:ascii="黑体" w:hAnsi="黑体" w:eastAsia="黑体"/>
          <w:sz w:val="44"/>
          <w:szCs w:val="44"/>
        </w:rPr>
      </w:pPr>
      <w:bookmarkStart w:id="55" w:name="_GoBack"/>
      <w:bookmarkEnd w:id="55"/>
    </w:p>
    <w:tbl>
      <w:tblPr>
        <w:tblStyle w:val="14"/>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6D09C768">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793F0BB5">
            <w:pPr>
              <w:widowControl/>
              <w:jc w:val="center"/>
              <w:textAlignment w:val="center"/>
              <w:rPr>
                <w:rFonts w:hint="eastAsia" w:ascii="宋体" w:hAnsi="宋体" w:cs="宋体"/>
                <w:b/>
                <w:sz w:val="32"/>
                <w:szCs w:val="32"/>
              </w:rPr>
            </w:pPr>
          </w:p>
          <w:p w14:paraId="78074586">
            <w:pPr>
              <w:widowControl/>
              <w:jc w:val="center"/>
              <w:textAlignment w:val="center"/>
              <w:rPr>
                <w:rFonts w:hint="eastAsia" w:ascii="宋体" w:hAnsi="宋体" w:cs="宋体"/>
                <w:b/>
                <w:sz w:val="32"/>
                <w:szCs w:val="32"/>
              </w:rPr>
            </w:pPr>
          </w:p>
          <w:p w14:paraId="0337B334">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3</w:t>
            </w:r>
            <w:r>
              <w:rPr>
                <w:rFonts w:hint="eastAsia" w:ascii="宋体" w:hAnsi="宋体" w:cs="宋体"/>
                <w:b/>
                <w:sz w:val="32"/>
                <w:szCs w:val="32"/>
              </w:rPr>
              <w:t>年村级基层组织和公共服务运行维护项目绩效目标自评</w:t>
            </w:r>
          </w:p>
        </w:tc>
        <w:tc>
          <w:tcPr>
            <w:tcW w:w="239" w:type="dxa"/>
            <w:tcBorders>
              <w:top w:val="nil"/>
              <w:left w:val="nil"/>
              <w:bottom w:val="nil"/>
              <w:right w:val="nil"/>
            </w:tcBorders>
            <w:shd w:val="clear" w:color="auto" w:fill="auto"/>
            <w:vAlign w:val="center"/>
          </w:tcPr>
          <w:p w14:paraId="4003AAF7">
            <w:pPr>
              <w:widowControl/>
              <w:jc w:val="center"/>
              <w:textAlignment w:val="center"/>
              <w:rPr>
                <w:rFonts w:ascii="宋体" w:hAnsi="宋体" w:cs="宋体"/>
                <w:b/>
                <w:kern w:val="0"/>
                <w:sz w:val="32"/>
                <w:szCs w:val="32"/>
                <w:lang w:bidi="ar"/>
              </w:rPr>
            </w:pPr>
          </w:p>
        </w:tc>
      </w:tr>
      <w:tr w14:paraId="6A386004">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6FEDA">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1A0DD">
            <w:pPr>
              <w:widowControl/>
              <w:spacing w:line="320" w:lineRule="exact"/>
              <w:ind w:left="0" w:leftChars="0" w:firstLine="0" w:firstLineChars="0"/>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8132E">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21F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val="en-US" w:eastAsia="zh-CN"/>
              </w:rPr>
              <w:t>雪口山镇人民政府</w:t>
            </w:r>
          </w:p>
        </w:tc>
      </w:tr>
      <w:tr w14:paraId="16D63C6A">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97351">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66C31809">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5F505448">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4FF3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3A95">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82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3B63A">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021C">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82</w:t>
            </w:r>
          </w:p>
        </w:tc>
      </w:tr>
      <w:tr w14:paraId="5556DD8C">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D4A5A">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CF8DF">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6EF30BF7">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C3E4">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82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D766">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7CAB5E57">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88F8">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82</w:t>
            </w:r>
          </w:p>
        </w:tc>
      </w:tr>
      <w:tr w14:paraId="38536738">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E5559">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4DF8">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6F78">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9FF5E">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D031">
            <w:pPr>
              <w:widowControl/>
              <w:spacing w:line="320" w:lineRule="exact"/>
              <w:jc w:val="left"/>
              <w:textAlignment w:val="center"/>
              <w:rPr>
                <w:rFonts w:ascii="宋体" w:hAnsi="宋体" w:cs="宋体"/>
                <w:sz w:val="24"/>
              </w:rPr>
            </w:pPr>
          </w:p>
        </w:tc>
      </w:tr>
      <w:tr w14:paraId="424B4F8B">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FC4ADC">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62B647C9">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34FFEC">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49C9B">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3480785D">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E0E8B">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4F08F983">
            <w:pPr>
              <w:widowControl/>
              <w:spacing w:line="320" w:lineRule="exact"/>
              <w:jc w:val="left"/>
              <w:textAlignment w:val="top"/>
              <w:rPr>
                <w:rFonts w:ascii="宋体" w:hAnsi="宋体" w:cs="宋体"/>
                <w:sz w:val="24"/>
              </w:rPr>
            </w:pPr>
            <w:r>
              <w:rPr>
                <w:rFonts w:hint="eastAsia" w:ascii="宋体" w:hAnsi="宋体" w:cs="宋体"/>
                <w:sz w:val="24"/>
              </w:rPr>
              <w:t>保障我镇8个村及曙光小区的基层组织正常运转</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64587B23">
            <w:pPr>
              <w:widowControl/>
              <w:spacing w:line="320" w:lineRule="exact"/>
              <w:jc w:val="left"/>
              <w:textAlignment w:val="top"/>
              <w:rPr>
                <w:rFonts w:ascii="宋体" w:hAnsi="宋体" w:cs="宋体"/>
                <w:sz w:val="24"/>
              </w:rPr>
            </w:pPr>
            <w:r>
              <w:rPr>
                <w:rFonts w:hint="eastAsia" w:ascii="宋体" w:hAnsi="宋体" w:cs="宋体"/>
                <w:sz w:val="24"/>
              </w:rPr>
              <w:t>保障我镇8个村及曙光小区的基层组织正常运转</w:t>
            </w:r>
          </w:p>
        </w:tc>
      </w:tr>
      <w:tr w14:paraId="56B313AB">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7EEECB58">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42873DEB">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695B81EB">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28D1">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3D25E9B2">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EDFE">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53D6C3FA">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148E">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4598">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744EE16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44C32783">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FFA15">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6D66BD5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B5C4D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52151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道路、河道维护</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9A2F9D">
            <w:pPr>
              <w:widowControl/>
              <w:spacing w:line="320" w:lineRule="exact"/>
              <w:ind w:left="0" w:leftChars="0" w:firstLine="0" w:firstLineChars="0"/>
              <w:jc w:val="both"/>
              <w:textAlignment w:val="bottom"/>
              <w:rPr>
                <w:rFonts w:hint="eastAsia" w:ascii="仿宋_GB2312" w:hAnsi="仿宋_GB2312" w:eastAsia="仿宋_GB2312" w:cs="仿宋_GB2312"/>
                <w:sz w:val="22"/>
                <w:szCs w:val="22"/>
                <w:lang w:eastAsia="zh-CN"/>
              </w:rPr>
            </w:pPr>
            <w:r>
              <w:rPr>
                <w:rFonts w:hint="eastAsia" w:ascii="仿宋_GB2312" w:hAnsi="仿宋_GB2312" w:eastAsia="仿宋_GB2312" w:cs="仿宋_GB2312"/>
                <w:sz w:val="22"/>
                <w:szCs w:val="22"/>
              </w:rPr>
              <w:t>≥5</w:t>
            </w:r>
            <w:r>
              <w:rPr>
                <w:rFonts w:hint="eastAsia" w:ascii="仿宋_GB2312" w:hAnsi="仿宋_GB2312" w:cs="仿宋_GB2312"/>
                <w:sz w:val="22"/>
                <w:szCs w:val="22"/>
                <w:lang w:val="en-US" w:eastAsia="zh-CN"/>
              </w:rPr>
              <w:t>次</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C932A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≥5</w:t>
            </w:r>
            <w:r>
              <w:rPr>
                <w:rFonts w:hint="eastAsia" w:ascii="仿宋_GB2312" w:hAnsi="仿宋_GB2312" w:cs="仿宋_GB2312"/>
                <w:sz w:val="22"/>
                <w:szCs w:val="22"/>
                <w:lang w:val="en-US" w:eastAsia="zh-CN"/>
              </w:rPr>
              <w:t>次</w:t>
            </w:r>
          </w:p>
        </w:tc>
      </w:tr>
      <w:tr w14:paraId="57ABD325">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44C4174E">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BA2ACDC">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B66FF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32E0D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val="en-US" w:eastAsia="zh-CN"/>
              </w:rPr>
              <w:t>基础设施</w:t>
            </w:r>
            <w:r>
              <w:rPr>
                <w:rFonts w:hint="eastAsia" w:ascii="仿宋_GB2312" w:hAnsi="仿宋_GB2312" w:eastAsia="仿宋_GB2312" w:cs="仿宋_GB2312"/>
                <w:sz w:val="22"/>
                <w:szCs w:val="22"/>
              </w:rPr>
              <w:t>梁正常使用率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CF4E6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≥98%</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F41C8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≥98%</w:t>
            </w:r>
          </w:p>
        </w:tc>
      </w:tr>
      <w:tr w14:paraId="06C99CF5">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3D66DC24">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355D300">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1CC926">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8B9C38">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2023年底完成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36C086">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2023年底完成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35D319">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2023年底完成</w:t>
            </w:r>
          </w:p>
        </w:tc>
      </w:tr>
      <w:tr w14:paraId="532E75C4">
        <w:tblPrEx>
          <w:tblCellMar>
            <w:top w:w="0" w:type="dxa"/>
            <w:left w:w="108" w:type="dxa"/>
            <w:bottom w:w="0" w:type="dxa"/>
            <w:right w:w="108" w:type="dxa"/>
          </w:tblCellMar>
        </w:tblPrEx>
        <w:trPr>
          <w:gridAfter w:val="1"/>
          <w:wAfter w:w="239" w:type="dxa"/>
          <w:trHeight w:val="523" w:hRule="atLeast"/>
        </w:trPr>
        <w:tc>
          <w:tcPr>
            <w:tcW w:w="2001" w:type="dxa"/>
            <w:vMerge w:val="continue"/>
            <w:tcBorders>
              <w:left w:val="single" w:color="000000" w:sz="4" w:space="0"/>
              <w:right w:val="single" w:color="000000" w:sz="4" w:space="0"/>
            </w:tcBorders>
            <w:shd w:val="clear" w:color="auto" w:fill="auto"/>
            <w:vAlign w:val="center"/>
          </w:tcPr>
          <w:p w14:paraId="63C58776">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95CEB3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4F77A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70AD15">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B4EF60">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77</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83E0A7">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77</w:t>
            </w:r>
            <w:r>
              <w:rPr>
                <w:rFonts w:hint="eastAsia" w:ascii="仿宋_GB2312" w:hAnsi="仿宋_GB2312" w:eastAsia="仿宋_GB2312" w:cs="仿宋_GB2312"/>
                <w:sz w:val="22"/>
                <w:szCs w:val="22"/>
              </w:rPr>
              <w:t>万元</w:t>
            </w:r>
          </w:p>
        </w:tc>
      </w:tr>
      <w:tr w14:paraId="29B9A68E">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33225498">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11349">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05EF516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E74BE4">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10B25E">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003536">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09BEC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6B73589A">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361EEF5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693877E">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9A598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611D02">
            <w:pPr>
              <w:widowControl/>
              <w:spacing w:line="320" w:lineRule="exact"/>
              <w:ind w:left="0" w:leftChars="0" w:firstLine="0" w:firstLineChars="0"/>
              <w:jc w:val="both"/>
              <w:textAlignment w:val="bottom"/>
              <w:rPr>
                <w:rFonts w:hint="eastAsia" w:ascii="仿宋_GB2312" w:hAnsi="仿宋_GB2312" w:eastAsia="仿宋_GB2312" w:cs="仿宋_GB2312"/>
                <w:sz w:val="22"/>
                <w:szCs w:val="22"/>
                <w:lang w:val="en-US" w:eastAsia="zh-CN"/>
              </w:rPr>
            </w:pPr>
            <w:r>
              <w:rPr>
                <w:rFonts w:hint="eastAsia" w:ascii="仿宋_GB2312" w:hAnsi="仿宋_GB2312" w:cs="仿宋_GB2312"/>
                <w:sz w:val="22"/>
                <w:szCs w:val="22"/>
                <w:lang w:val="en-US" w:eastAsia="zh-CN"/>
              </w:rPr>
              <w:t>保障各村运转正常</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12AE2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D69C3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r>
      <w:tr w14:paraId="10D9007E">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97D6C90">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A506917">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4A107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5A6AF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退耕还林政策落地落实</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D8E1B1">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森林覆盖率明显提升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9E0C7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森林覆盖率明显提升</w:t>
            </w:r>
          </w:p>
        </w:tc>
      </w:tr>
      <w:tr w14:paraId="33EBD4FA">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98C2FCA">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8F33AC0">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790B4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79349E">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提高村组干部办事效率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6C094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47810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r w14:paraId="23E856E7">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6B3996E9">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C6D084">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00881D7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12DBD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7DF6D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群众满意度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EEF2CD">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F2A909">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r>
    </w:tbl>
    <w:p w14:paraId="52F642F9">
      <w:pPr>
        <w:pStyle w:val="2"/>
        <w:rPr>
          <w:rFonts w:ascii="黑体" w:hAnsi="黑体" w:eastAsia="黑体"/>
          <w:sz w:val="44"/>
          <w:szCs w:val="44"/>
        </w:rPr>
      </w:pPr>
    </w:p>
    <w:p w14:paraId="2C5BC200">
      <w:pPr>
        <w:pStyle w:val="2"/>
        <w:ind w:left="0" w:leftChars="0" w:firstLine="0" w:firstLineChars="0"/>
        <w:rPr>
          <w:rFonts w:ascii="黑体" w:hAnsi="黑体" w:eastAsia="黑体"/>
          <w:sz w:val="44"/>
          <w:szCs w:val="44"/>
        </w:rPr>
      </w:pPr>
    </w:p>
    <w:tbl>
      <w:tblPr>
        <w:tblStyle w:val="14"/>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164DC4D5">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269C5479">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3</w:t>
            </w:r>
            <w:r>
              <w:rPr>
                <w:rFonts w:hint="eastAsia" w:ascii="宋体" w:hAnsi="宋体" w:cs="宋体"/>
                <w:b/>
                <w:sz w:val="32"/>
                <w:szCs w:val="32"/>
              </w:rPr>
              <w:t>年</w:t>
            </w:r>
            <w:r>
              <w:rPr>
                <w:rFonts w:hint="eastAsia" w:ascii="宋体" w:hAnsi="宋体" w:cs="宋体"/>
                <w:b/>
                <w:sz w:val="32"/>
                <w:szCs w:val="32"/>
                <w:lang w:eastAsia="zh-CN"/>
              </w:rPr>
              <w:t>关工委</w:t>
            </w:r>
            <w:r>
              <w:rPr>
                <w:rFonts w:hint="eastAsia" w:ascii="宋体" w:hAnsi="宋体" w:cs="宋体"/>
                <w:b/>
                <w:sz w:val="32"/>
                <w:szCs w:val="32"/>
              </w:rPr>
              <w:t>经费项目绩效目标自评</w:t>
            </w:r>
          </w:p>
        </w:tc>
        <w:tc>
          <w:tcPr>
            <w:tcW w:w="239" w:type="dxa"/>
            <w:tcBorders>
              <w:top w:val="nil"/>
              <w:left w:val="nil"/>
              <w:bottom w:val="nil"/>
              <w:right w:val="nil"/>
            </w:tcBorders>
            <w:shd w:val="clear" w:color="auto" w:fill="auto"/>
            <w:vAlign w:val="center"/>
          </w:tcPr>
          <w:p w14:paraId="36DE5C3E">
            <w:pPr>
              <w:widowControl/>
              <w:jc w:val="center"/>
              <w:textAlignment w:val="center"/>
              <w:rPr>
                <w:rFonts w:ascii="宋体" w:hAnsi="宋体" w:cs="宋体"/>
                <w:b/>
                <w:kern w:val="0"/>
                <w:sz w:val="32"/>
                <w:szCs w:val="32"/>
                <w:lang w:bidi="ar"/>
              </w:rPr>
            </w:pPr>
          </w:p>
        </w:tc>
      </w:tr>
      <w:tr w14:paraId="72D70B40">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CD2AE">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CF804">
            <w:pPr>
              <w:widowControl/>
              <w:spacing w:line="320" w:lineRule="exact"/>
              <w:jc w:val="left"/>
              <w:textAlignment w:val="center"/>
              <w:rPr>
                <w:rFonts w:ascii="宋体" w:hAnsi="宋体" w:cs="宋体"/>
                <w:sz w:val="24"/>
              </w:rPr>
            </w:pPr>
            <w:r>
              <w:rPr>
                <w:rFonts w:hint="eastAsia" w:ascii="宋体" w:hAnsi="宋体" w:cs="宋体"/>
                <w:sz w:val="24"/>
                <w:lang w:val="en-US"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0CA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214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val="en-US" w:eastAsia="zh-CN"/>
              </w:rPr>
              <w:t>雪口山镇人民政府</w:t>
            </w:r>
          </w:p>
        </w:tc>
      </w:tr>
      <w:tr w14:paraId="7F19742D">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D4DFC">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717A2DEA">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3F80953C">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7325">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A19F">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DB8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5874">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0.676</w:t>
            </w:r>
          </w:p>
        </w:tc>
      </w:tr>
      <w:tr w14:paraId="5404B4C1">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C3321">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A5F9">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3802F241">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52E2">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74742">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40159A64">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A1A9">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0.676</w:t>
            </w:r>
          </w:p>
        </w:tc>
      </w:tr>
      <w:tr w14:paraId="01AEE802">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A849A">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C99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7DC8">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9D49">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314E">
            <w:pPr>
              <w:widowControl/>
              <w:spacing w:line="320" w:lineRule="exact"/>
              <w:jc w:val="left"/>
              <w:textAlignment w:val="center"/>
              <w:rPr>
                <w:rFonts w:ascii="宋体" w:hAnsi="宋体" w:cs="宋体"/>
                <w:sz w:val="24"/>
              </w:rPr>
            </w:pPr>
          </w:p>
        </w:tc>
      </w:tr>
      <w:tr w14:paraId="6168CB6E">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B3633">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3C808239">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9076F">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CDA0B">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244D3CC2">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25D95">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7D6159A8">
            <w:pPr>
              <w:widowControl/>
              <w:spacing w:line="320" w:lineRule="exact"/>
              <w:jc w:val="left"/>
              <w:textAlignment w:val="top"/>
              <w:rPr>
                <w:rFonts w:hint="eastAsia" w:ascii="宋体" w:hAnsi="宋体" w:eastAsia="宋体" w:cs="宋体"/>
                <w:sz w:val="24"/>
                <w:lang w:eastAsia="zh-CN"/>
              </w:rPr>
            </w:pPr>
            <w:r>
              <w:rPr>
                <w:rFonts w:hint="eastAsia" w:ascii="宋体" w:hAnsi="宋体" w:cs="宋体"/>
                <w:sz w:val="24"/>
                <w:lang w:eastAsia="zh-CN"/>
              </w:rPr>
              <w:t>关爱下一代</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73D3C531">
            <w:pPr>
              <w:widowControl/>
              <w:spacing w:line="320" w:lineRule="exact"/>
              <w:jc w:val="left"/>
              <w:textAlignment w:val="top"/>
              <w:rPr>
                <w:rFonts w:ascii="宋体" w:hAnsi="宋体" w:cs="宋体"/>
                <w:sz w:val="24"/>
              </w:rPr>
            </w:pPr>
            <w:r>
              <w:rPr>
                <w:rFonts w:hint="eastAsia" w:ascii="宋体" w:hAnsi="宋体" w:cs="宋体"/>
                <w:sz w:val="24"/>
                <w:lang w:eastAsia="zh-CN"/>
              </w:rPr>
              <w:t>关爱下一代</w:t>
            </w:r>
            <w:r>
              <w:rPr>
                <w:rFonts w:hint="eastAsia" w:ascii="宋体" w:hAnsi="宋体" w:cs="宋体"/>
                <w:sz w:val="24"/>
              </w:rPr>
              <w:t>经费支出</w:t>
            </w:r>
          </w:p>
        </w:tc>
      </w:tr>
      <w:tr w14:paraId="57DFCF41">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010B8BB0">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70A3F99B">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46C93DF4">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4C86">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049C45CA">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B757">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4103BF35">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8B14">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16B5">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3C4437F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2D13B2DA">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5BEEC">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237806C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8363E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EC63A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驻村帮扶档案归档</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027C5E">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3卷</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A7C80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3卷</w:t>
            </w:r>
          </w:p>
        </w:tc>
      </w:tr>
      <w:tr w14:paraId="56129E12">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1503F35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927DAC1">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C2CE6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4CB89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驻村帮扶档案归档规范率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E6166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9FB3C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r>
      <w:tr w14:paraId="35B3D326">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52E8B6CA">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B03A0F2">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7E665B">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D2E91B">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2023年底完成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55DE89">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2023年底完成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A72DAF">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2023年底完成</w:t>
            </w:r>
          </w:p>
        </w:tc>
      </w:tr>
      <w:tr w14:paraId="77D2BE06">
        <w:tblPrEx>
          <w:tblCellMar>
            <w:top w:w="0" w:type="dxa"/>
            <w:left w:w="108" w:type="dxa"/>
            <w:bottom w:w="0" w:type="dxa"/>
            <w:right w:w="108" w:type="dxa"/>
          </w:tblCellMar>
        </w:tblPrEx>
        <w:trPr>
          <w:gridAfter w:val="1"/>
          <w:wAfter w:w="239" w:type="dxa"/>
          <w:trHeight w:val="590" w:hRule="atLeast"/>
        </w:trPr>
        <w:tc>
          <w:tcPr>
            <w:tcW w:w="2001" w:type="dxa"/>
            <w:vMerge w:val="continue"/>
            <w:tcBorders>
              <w:left w:val="single" w:color="000000" w:sz="4" w:space="0"/>
              <w:right w:val="single" w:color="000000" w:sz="4" w:space="0"/>
            </w:tcBorders>
            <w:shd w:val="clear" w:color="auto" w:fill="auto"/>
            <w:vAlign w:val="center"/>
          </w:tcPr>
          <w:p w14:paraId="19CFDFD6">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04E33F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E2E51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ECBFF0">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B9600D">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370810">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w:t>
            </w:r>
            <w:r>
              <w:rPr>
                <w:rFonts w:hint="eastAsia" w:ascii="仿宋_GB2312" w:hAnsi="仿宋_GB2312" w:eastAsia="仿宋_GB2312" w:cs="仿宋_GB2312"/>
                <w:sz w:val="22"/>
                <w:szCs w:val="22"/>
              </w:rPr>
              <w:t>万元</w:t>
            </w:r>
          </w:p>
        </w:tc>
      </w:tr>
      <w:tr w14:paraId="1990C1DA">
        <w:tblPrEx>
          <w:tblCellMar>
            <w:top w:w="0" w:type="dxa"/>
            <w:left w:w="108" w:type="dxa"/>
            <w:bottom w:w="0" w:type="dxa"/>
            <w:right w:w="108" w:type="dxa"/>
          </w:tblCellMar>
        </w:tblPrEx>
        <w:trPr>
          <w:gridAfter w:val="1"/>
          <w:wAfter w:w="239" w:type="dxa"/>
          <w:trHeight w:val="659" w:hRule="atLeast"/>
        </w:trPr>
        <w:tc>
          <w:tcPr>
            <w:tcW w:w="2001" w:type="dxa"/>
            <w:vMerge w:val="continue"/>
            <w:tcBorders>
              <w:left w:val="single" w:color="000000" w:sz="4" w:space="0"/>
              <w:right w:val="single" w:color="000000" w:sz="4" w:space="0"/>
            </w:tcBorders>
            <w:shd w:val="clear" w:color="auto" w:fill="auto"/>
            <w:vAlign w:val="center"/>
          </w:tcPr>
          <w:p w14:paraId="4ED90E82">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68D513">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722CF33B">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2B455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84140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B7FA2F">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4C461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168894C8">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3576A31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967065F">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AD6D28">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5B58A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非贫困村贫困户稳定脱贫</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A0DAA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005D0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r>
      <w:tr w14:paraId="4AE30ACD">
        <w:tblPrEx>
          <w:tblCellMar>
            <w:top w:w="0" w:type="dxa"/>
            <w:left w:w="108" w:type="dxa"/>
            <w:bottom w:w="0" w:type="dxa"/>
            <w:right w:w="108" w:type="dxa"/>
          </w:tblCellMar>
        </w:tblPrEx>
        <w:trPr>
          <w:gridAfter w:val="1"/>
          <w:wAfter w:w="239" w:type="dxa"/>
          <w:trHeight w:val="599" w:hRule="atLeast"/>
        </w:trPr>
        <w:tc>
          <w:tcPr>
            <w:tcW w:w="2001" w:type="dxa"/>
            <w:vMerge w:val="continue"/>
            <w:tcBorders>
              <w:left w:val="single" w:color="000000" w:sz="4" w:space="0"/>
              <w:right w:val="single" w:color="000000" w:sz="4" w:space="0"/>
            </w:tcBorders>
            <w:shd w:val="clear" w:color="auto" w:fill="auto"/>
            <w:vAlign w:val="center"/>
          </w:tcPr>
          <w:p w14:paraId="228A37C7">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ADBA7D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EBB9C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19328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667CA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B6ADA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7DD2A656">
        <w:tblPrEx>
          <w:tblCellMar>
            <w:top w:w="0" w:type="dxa"/>
            <w:left w:w="108" w:type="dxa"/>
            <w:bottom w:w="0" w:type="dxa"/>
            <w:right w:w="108" w:type="dxa"/>
          </w:tblCellMar>
        </w:tblPrEx>
        <w:trPr>
          <w:gridAfter w:val="1"/>
          <w:wAfter w:w="239" w:type="dxa"/>
          <w:trHeight w:val="569" w:hRule="atLeast"/>
        </w:trPr>
        <w:tc>
          <w:tcPr>
            <w:tcW w:w="2001" w:type="dxa"/>
            <w:vMerge w:val="continue"/>
            <w:tcBorders>
              <w:left w:val="single" w:color="000000" w:sz="4" w:space="0"/>
              <w:right w:val="single" w:color="000000" w:sz="4" w:space="0"/>
            </w:tcBorders>
            <w:shd w:val="clear" w:color="auto" w:fill="auto"/>
            <w:vAlign w:val="center"/>
          </w:tcPr>
          <w:p w14:paraId="064B68B0">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F9BCF88">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92A124">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52D016">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杜绝返贫现象</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6D505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两个非贫困村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9EC3D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两个非贫困村</w:t>
            </w:r>
          </w:p>
        </w:tc>
      </w:tr>
      <w:tr w14:paraId="6F5D3F35">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61516CF5">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6F3B7D">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22197D1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1722F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57942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贫困群众满意度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1F35C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≥99%</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D74FA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≥99%</w:t>
            </w:r>
          </w:p>
        </w:tc>
      </w:tr>
    </w:tbl>
    <w:p w14:paraId="078C92F1">
      <w:pPr>
        <w:pStyle w:val="2"/>
        <w:rPr>
          <w:rFonts w:ascii="黑体" w:hAnsi="黑体" w:eastAsia="黑体"/>
          <w:sz w:val="44"/>
          <w:szCs w:val="44"/>
        </w:rPr>
      </w:pPr>
    </w:p>
    <w:p w14:paraId="378129A0">
      <w:pPr>
        <w:pStyle w:val="2"/>
        <w:rPr>
          <w:rFonts w:ascii="黑体" w:hAnsi="黑体" w:eastAsia="黑体"/>
          <w:sz w:val="44"/>
          <w:szCs w:val="44"/>
        </w:rPr>
      </w:pPr>
    </w:p>
    <w:p w14:paraId="35B2E5F2">
      <w:pPr>
        <w:pStyle w:val="2"/>
        <w:ind w:left="0" w:leftChars="0" w:firstLine="0" w:firstLineChars="0"/>
        <w:rPr>
          <w:rFonts w:ascii="黑体" w:hAnsi="黑体" w:eastAsia="黑体"/>
          <w:sz w:val="44"/>
          <w:szCs w:val="44"/>
        </w:rPr>
      </w:pPr>
    </w:p>
    <w:tbl>
      <w:tblPr>
        <w:tblStyle w:val="14"/>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010338BA">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771E8776">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3</w:t>
            </w:r>
            <w:r>
              <w:rPr>
                <w:rFonts w:hint="eastAsia" w:ascii="宋体" w:hAnsi="宋体" w:cs="宋体"/>
                <w:b/>
                <w:sz w:val="32"/>
                <w:szCs w:val="32"/>
              </w:rPr>
              <w:t>年党建工作经费项目绩效目标自评</w:t>
            </w:r>
          </w:p>
        </w:tc>
        <w:tc>
          <w:tcPr>
            <w:tcW w:w="239" w:type="dxa"/>
            <w:tcBorders>
              <w:top w:val="nil"/>
              <w:left w:val="nil"/>
              <w:bottom w:val="nil"/>
              <w:right w:val="nil"/>
            </w:tcBorders>
            <w:shd w:val="clear" w:color="auto" w:fill="auto"/>
            <w:vAlign w:val="center"/>
          </w:tcPr>
          <w:p w14:paraId="2133597F">
            <w:pPr>
              <w:widowControl/>
              <w:jc w:val="center"/>
              <w:textAlignment w:val="center"/>
              <w:rPr>
                <w:rFonts w:ascii="宋体" w:hAnsi="宋体" w:cs="宋体"/>
                <w:b/>
                <w:kern w:val="0"/>
                <w:sz w:val="32"/>
                <w:szCs w:val="32"/>
                <w:lang w:bidi="ar"/>
              </w:rPr>
            </w:pPr>
          </w:p>
        </w:tc>
      </w:tr>
      <w:tr w14:paraId="5099927A">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D9CBF">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22847">
            <w:pPr>
              <w:widowControl/>
              <w:spacing w:line="320" w:lineRule="exact"/>
              <w:jc w:val="left"/>
              <w:textAlignment w:val="center"/>
              <w:rPr>
                <w:rFonts w:ascii="宋体" w:hAnsi="宋体" w:cs="宋体"/>
                <w:sz w:val="24"/>
              </w:rPr>
            </w:pPr>
            <w:r>
              <w:rPr>
                <w:rFonts w:hint="eastAsia" w:ascii="宋体" w:hAnsi="宋体" w:cs="宋体"/>
                <w:sz w:val="24"/>
                <w:lang w:val="en-US"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2128">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5DEB">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val="en-US" w:eastAsia="zh-CN"/>
              </w:rPr>
              <w:t>雪口山镇人民政府</w:t>
            </w:r>
          </w:p>
        </w:tc>
      </w:tr>
      <w:tr w14:paraId="4F598D68">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1593D">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6D84B73E">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3C544215">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BAE4">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D79E">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170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566A">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2.95</w:t>
            </w:r>
          </w:p>
        </w:tc>
      </w:tr>
      <w:tr w14:paraId="23FB8489">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7A7D3">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2C54">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1531512F">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6CB6">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C83B">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147392E5">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1BAE">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2.95</w:t>
            </w:r>
          </w:p>
        </w:tc>
      </w:tr>
      <w:tr w14:paraId="79E6452D">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8FB40">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BBB5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131A">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233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6EC0A">
            <w:pPr>
              <w:widowControl/>
              <w:spacing w:line="320" w:lineRule="exact"/>
              <w:jc w:val="left"/>
              <w:textAlignment w:val="center"/>
              <w:rPr>
                <w:rFonts w:ascii="宋体" w:hAnsi="宋体" w:cs="宋体"/>
                <w:sz w:val="24"/>
              </w:rPr>
            </w:pPr>
          </w:p>
        </w:tc>
      </w:tr>
      <w:tr w14:paraId="01099322">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E5708">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0DE1F927">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6C6C6B">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4ED69D">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591066F9">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7838A">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728D2FDB">
            <w:pPr>
              <w:widowControl/>
              <w:spacing w:line="320" w:lineRule="exact"/>
              <w:ind w:left="0" w:leftChars="0" w:firstLine="0" w:firstLineChars="0"/>
              <w:jc w:val="left"/>
              <w:textAlignment w:val="top"/>
              <w:rPr>
                <w:rFonts w:ascii="宋体" w:hAnsi="宋体" w:cs="宋体"/>
                <w:sz w:val="24"/>
              </w:rPr>
            </w:pPr>
            <w:r>
              <w:rPr>
                <w:rFonts w:hint="eastAsia" w:ascii="宋体" w:hAnsi="宋体" w:cs="宋体"/>
                <w:sz w:val="24"/>
              </w:rPr>
              <w:t xml:space="preserve">开展党务培训，提升党务干部工作能力 规范党建资料装档；发展培养入党积极分子、预备党员                       </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71B57582">
            <w:pPr>
              <w:widowControl/>
              <w:spacing w:line="320" w:lineRule="exact"/>
              <w:ind w:left="0" w:leftChars="0" w:firstLine="0" w:firstLineChars="0"/>
              <w:jc w:val="left"/>
              <w:textAlignment w:val="top"/>
              <w:rPr>
                <w:rFonts w:ascii="宋体" w:hAnsi="宋体" w:cs="宋体"/>
                <w:sz w:val="24"/>
              </w:rPr>
            </w:pPr>
            <w:r>
              <w:rPr>
                <w:rFonts w:hint="eastAsia" w:ascii="宋体" w:hAnsi="宋体" w:cs="宋体"/>
                <w:sz w:val="24"/>
              </w:rPr>
              <w:t xml:space="preserve">开展党务培训，提升党务干部工作能力 规范党建资料装档；发展培养入党积极分子、预备党员     </w:t>
            </w:r>
          </w:p>
        </w:tc>
      </w:tr>
      <w:tr w14:paraId="08AA9F4F">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33A004BD">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72A88DD3">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717301B6">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ABFB">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2029287A">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41A0">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6FEA7D7B">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B6B6">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96A5">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26DF64D4">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0601CBAC">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BE189">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1B3D616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2628A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E44E7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党建宣传</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077E9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展板、标识标牌≥10个</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8610F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展板、标识标牌≥10个</w:t>
            </w:r>
          </w:p>
        </w:tc>
      </w:tr>
      <w:tr w14:paraId="0993D66F">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2DBDA94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3F3F8D3">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2B3B6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DBDB2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党务干事培训合格率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1FE1C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66E2B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r>
      <w:tr w14:paraId="1116DB69">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3F13CE20">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C7299FE">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0470B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EA73DB">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2023年底完成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7EF39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2023年底完成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55096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2023年底完成</w:t>
            </w:r>
          </w:p>
        </w:tc>
      </w:tr>
      <w:tr w14:paraId="60A13D90">
        <w:tblPrEx>
          <w:tblCellMar>
            <w:top w:w="0" w:type="dxa"/>
            <w:left w:w="108" w:type="dxa"/>
            <w:bottom w:w="0" w:type="dxa"/>
            <w:right w:w="108" w:type="dxa"/>
          </w:tblCellMar>
        </w:tblPrEx>
        <w:trPr>
          <w:gridAfter w:val="1"/>
          <w:wAfter w:w="239" w:type="dxa"/>
          <w:trHeight w:val="523" w:hRule="atLeast"/>
        </w:trPr>
        <w:tc>
          <w:tcPr>
            <w:tcW w:w="2001" w:type="dxa"/>
            <w:vMerge w:val="continue"/>
            <w:tcBorders>
              <w:left w:val="single" w:color="000000" w:sz="4" w:space="0"/>
              <w:right w:val="single" w:color="000000" w:sz="4" w:space="0"/>
            </w:tcBorders>
            <w:shd w:val="clear" w:color="auto" w:fill="auto"/>
            <w:vAlign w:val="center"/>
          </w:tcPr>
          <w:p w14:paraId="4181EDFC">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BDD09AA">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16CE05">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2904E1">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05B61F">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3</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8CE79A">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3</w:t>
            </w:r>
            <w:r>
              <w:rPr>
                <w:rFonts w:hint="eastAsia" w:ascii="仿宋_GB2312" w:hAnsi="仿宋_GB2312" w:eastAsia="仿宋_GB2312" w:cs="仿宋_GB2312"/>
                <w:sz w:val="22"/>
                <w:szCs w:val="22"/>
              </w:rPr>
              <w:t>万元</w:t>
            </w:r>
          </w:p>
        </w:tc>
      </w:tr>
      <w:tr w14:paraId="371EDC4D">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E9580E8">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4EDF0">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034AF3B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71A0E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666A0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FABEA1">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AA33F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20B2F017">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62ADAC92">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7A2E9D7">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D8A66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12910A">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提升党员干部政治素质</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267EA6">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E65BA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r w14:paraId="5373C415">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165E0726">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6733CDC">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2DB84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63925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8A590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18EEE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316AA15F">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1A9C9A0F">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ABDE58D">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47B0A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5DC8D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加强对群众的意识形态宣传工作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A52E7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2F7C0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r w14:paraId="6C5E618D">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40863261">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E98FDD">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40C2EF2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30D49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2B3ED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群众满意度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DBDFAD">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≥99%</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FA88AA">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≥99%</w:t>
            </w:r>
          </w:p>
        </w:tc>
      </w:tr>
    </w:tbl>
    <w:p w14:paraId="78C75B99">
      <w:pPr>
        <w:pStyle w:val="3"/>
        <w:jc w:val="center"/>
        <w:rPr>
          <w:rFonts w:ascii="黑体" w:hAnsi="黑体" w:eastAsia="黑体"/>
        </w:rPr>
      </w:pPr>
      <w:r>
        <w:rPr>
          <w:rFonts w:hint="eastAsia" w:ascii="黑体" w:hAnsi="黑体" w:eastAsia="黑体"/>
        </w:rPr>
        <w:t>第五部分 附表</w:t>
      </w:r>
    </w:p>
    <w:p w14:paraId="7E3C0825">
      <w:pPr>
        <w:rPr>
          <w:rFonts w:ascii="仿宋" w:hAnsi="仿宋" w:eastAsia="仿宋"/>
          <w:sz w:val="32"/>
          <w:szCs w:val="32"/>
        </w:rPr>
      </w:pPr>
      <w:r>
        <w:rPr>
          <w:rFonts w:hint="eastAsia" w:ascii="仿宋" w:hAnsi="仿宋" w:eastAsia="仿宋"/>
          <w:sz w:val="32"/>
          <w:szCs w:val="32"/>
        </w:rPr>
        <w:t>一、收入支出决算总表</w:t>
      </w:r>
    </w:p>
    <w:p w14:paraId="42A40659">
      <w:pPr>
        <w:rPr>
          <w:rFonts w:ascii="仿宋" w:hAnsi="仿宋" w:eastAsia="仿宋"/>
          <w:sz w:val="32"/>
          <w:szCs w:val="32"/>
        </w:rPr>
      </w:pPr>
      <w:r>
        <w:rPr>
          <w:rFonts w:hint="eastAsia" w:ascii="仿宋" w:hAnsi="仿宋" w:eastAsia="仿宋"/>
          <w:sz w:val="32"/>
          <w:szCs w:val="32"/>
        </w:rPr>
        <w:t>二、收入决算表</w:t>
      </w:r>
    </w:p>
    <w:p w14:paraId="60653354">
      <w:pPr>
        <w:rPr>
          <w:rFonts w:ascii="仿宋" w:hAnsi="仿宋" w:eastAsia="仿宋"/>
          <w:sz w:val="32"/>
          <w:szCs w:val="32"/>
        </w:rPr>
      </w:pPr>
      <w:r>
        <w:rPr>
          <w:rFonts w:hint="eastAsia" w:ascii="仿宋" w:hAnsi="仿宋" w:eastAsia="仿宋"/>
          <w:sz w:val="32"/>
          <w:szCs w:val="32"/>
        </w:rPr>
        <w:t>三、支出决算表</w:t>
      </w:r>
    </w:p>
    <w:p w14:paraId="003EAF0E">
      <w:pPr>
        <w:rPr>
          <w:rFonts w:ascii="仿宋" w:hAnsi="仿宋" w:eastAsia="仿宋"/>
          <w:sz w:val="32"/>
          <w:szCs w:val="32"/>
        </w:rPr>
      </w:pPr>
      <w:r>
        <w:rPr>
          <w:rFonts w:hint="eastAsia" w:ascii="仿宋" w:hAnsi="仿宋" w:eastAsia="仿宋"/>
          <w:sz w:val="32"/>
          <w:szCs w:val="32"/>
        </w:rPr>
        <w:t>四、财政拨款收入支出决算总表</w:t>
      </w:r>
    </w:p>
    <w:p w14:paraId="4F319FBE">
      <w:pPr>
        <w:rPr>
          <w:rFonts w:ascii="仿宋" w:hAnsi="仿宋" w:eastAsia="仿宋"/>
          <w:sz w:val="32"/>
          <w:szCs w:val="32"/>
        </w:rPr>
      </w:pPr>
      <w:r>
        <w:rPr>
          <w:rFonts w:hint="eastAsia" w:ascii="仿宋" w:hAnsi="仿宋" w:eastAsia="仿宋"/>
          <w:sz w:val="32"/>
          <w:szCs w:val="32"/>
        </w:rPr>
        <w:t>五、财政拨款支出决算明细表</w:t>
      </w:r>
    </w:p>
    <w:p w14:paraId="0583263E">
      <w:pPr>
        <w:rPr>
          <w:rFonts w:ascii="仿宋" w:hAnsi="仿宋" w:eastAsia="仿宋"/>
          <w:sz w:val="32"/>
          <w:szCs w:val="32"/>
        </w:rPr>
      </w:pPr>
      <w:r>
        <w:rPr>
          <w:rFonts w:hint="eastAsia" w:ascii="仿宋" w:hAnsi="仿宋" w:eastAsia="仿宋"/>
          <w:sz w:val="32"/>
          <w:szCs w:val="32"/>
        </w:rPr>
        <w:t>六、一般公共预算财政拨款支出决算表</w:t>
      </w:r>
    </w:p>
    <w:p w14:paraId="0D00A6B6">
      <w:pPr>
        <w:rPr>
          <w:rFonts w:ascii="仿宋" w:hAnsi="仿宋" w:eastAsia="仿宋"/>
          <w:sz w:val="32"/>
          <w:szCs w:val="32"/>
        </w:rPr>
      </w:pPr>
      <w:r>
        <w:rPr>
          <w:rFonts w:hint="eastAsia" w:ascii="仿宋" w:hAnsi="仿宋" w:eastAsia="仿宋"/>
          <w:sz w:val="32"/>
          <w:szCs w:val="32"/>
        </w:rPr>
        <w:t>七、一般公共预算财政拨款支出决算明细表</w:t>
      </w:r>
    </w:p>
    <w:p w14:paraId="64076A0A">
      <w:pPr>
        <w:rPr>
          <w:rFonts w:ascii="仿宋" w:hAnsi="仿宋" w:eastAsia="仿宋"/>
          <w:sz w:val="32"/>
          <w:szCs w:val="32"/>
        </w:rPr>
      </w:pPr>
      <w:r>
        <w:rPr>
          <w:rFonts w:hint="eastAsia" w:ascii="仿宋" w:hAnsi="仿宋" w:eastAsia="仿宋"/>
          <w:sz w:val="32"/>
          <w:szCs w:val="32"/>
        </w:rPr>
        <w:t>八、一般公共预算财政拨款基本支出决算表</w:t>
      </w:r>
    </w:p>
    <w:p w14:paraId="1CCC4C29">
      <w:pPr>
        <w:rPr>
          <w:rFonts w:ascii="仿宋" w:hAnsi="仿宋" w:eastAsia="仿宋"/>
          <w:sz w:val="32"/>
          <w:szCs w:val="32"/>
        </w:rPr>
      </w:pPr>
      <w:r>
        <w:rPr>
          <w:rFonts w:hint="eastAsia" w:ascii="仿宋" w:hAnsi="仿宋" w:eastAsia="仿宋"/>
          <w:sz w:val="32"/>
          <w:szCs w:val="32"/>
        </w:rPr>
        <w:t>九、一般公共预算财政拨款项目支出决算表</w:t>
      </w:r>
    </w:p>
    <w:p w14:paraId="6148710C">
      <w:pPr>
        <w:rPr>
          <w:rFonts w:ascii="仿宋" w:hAnsi="仿宋" w:eastAsia="仿宋"/>
          <w:sz w:val="32"/>
          <w:szCs w:val="32"/>
        </w:rPr>
      </w:pPr>
      <w:r>
        <w:rPr>
          <w:rFonts w:hint="eastAsia" w:ascii="仿宋" w:hAnsi="仿宋" w:eastAsia="仿宋"/>
          <w:sz w:val="32"/>
          <w:szCs w:val="32"/>
        </w:rPr>
        <w:t>十、政府性基金预算财政拨款收入支出决算表</w:t>
      </w:r>
    </w:p>
    <w:p w14:paraId="0B821AE2">
      <w:pPr>
        <w:rPr>
          <w:rFonts w:ascii="仿宋" w:hAnsi="仿宋" w:eastAsia="仿宋"/>
          <w:sz w:val="32"/>
          <w:szCs w:val="32"/>
        </w:rPr>
      </w:pPr>
      <w:r>
        <w:rPr>
          <w:rFonts w:hint="eastAsia" w:ascii="仿宋" w:hAnsi="仿宋" w:eastAsia="仿宋"/>
          <w:sz w:val="32"/>
          <w:szCs w:val="32"/>
        </w:rPr>
        <w:t>十一、国有资本经营预算财政拨款收入支出决算表</w:t>
      </w:r>
    </w:p>
    <w:p w14:paraId="470FF5B1">
      <w:pPr>
        <w:rPr>
          <w:rFonts w:ascii="仿宋" w:hAnsi="仿宋" w:eastAsia="仿宋"/>
          <w:sz w:val="32"/>
          <w:szCs w:val="32"/>
        </w:rPr>
      </w:pPr>
      <w:r>
        <w:rPr>
          <w:rFonts w:hint="eastAsia" w:ascii="仿宋" w:hAnsi="仿宋" w:eastAsia="仿宋"/>
          <w:sz w:val="32"/>
          <w:szCs w:val="32"/>
        </w:rPr>
        <w:t>十二、国有资本经营预算财政拨款支出决算表</w:t>
      </w:r>
    </w:p>
    <w:p w14:paraId="55A16A65">
      <w:pPr>
        <w:rPr>
          <w:rFonts w:ascii="仿宋" w:hAnsi="仿宋" w:eastAsia="仿宋"/>
          <w:sz w:val="32"/>
          <w:szCs w:val="32"/>
        </w:rPr>
      </w:pPr>
      <w:r>
        <w:rPr>
          <w:rFonts w:hint="eastAsia" w:ascii="仿宋" w:hAnsi="仿宋" w:eastAsia="仿宋"/>
          <w:sz w:val="32"/>
          <w:szCs w:val="32"/>
        </w:rPr>
        <w:t>十三、财政拨款“三公”经费支出决算表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Helvetica">
    <w:altName w:val="Arial"/>
    <w:panose1 w:val="020B0504020202030204"/>
    <w:charset w:val="00"/>
    <w:family w:val="auto"/>
    <w:pitch w:val="default"/>
    <w:sig w:usb0="00000000"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0C0CE015">
        <w:pPr>
          <w:pStyle w:val="9"/>
          <w:jc w:val="center"/>
        </w:pPr>
        <w:r>
          <w:fldChar w:fldCharType="begin"/>
        </w:r>
        <w:r>
          <w:instrText xml:space="preserve">PAGE   \* MERGEFORMAT</w:instrText>
        </w:r>
        <w:r>
          <w:fldChar w:fldCharType="separate"/>
        </w:r>
        <w:r>
          <w:rPr>
            <w:lang w:val="zh-CN"/>
          </w:rPr>
          <w:t>23</w:t>
        </w:r>
        <w:r>
          <w:fldChar w:fldCharType="end"/>
        </w:r>
      </w:p>
    </w:sdtContent>
  </w:sdt>
  <w:p w14:paraId="76EB3243">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5AE8F">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5C8E666"/>
    <w:multiLevelType w:val="singleLevel"/>
    <w:tmpl w:val="E5C8E666"/>
    <w:lvl w:ilvl="0" w:tentative="0">
      <w:start w:val="3"/>
      <w:numFmt w:val="decimal"/>
      <w:lvlText w:val="%1."/>
      <w:lvlJc w:val="left"/>
      <w:pPr>
        <w:tabs>
          <w:tab w:val="left" w:pos="312"/>
        </w:tabs>
      </w:p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2NGY4MjE5Yzc0Yzk1ODZhOTc1ZmE3MTE4OTIxMDgifQ=="/>
  </w:docVars>
  <w:rsids>
    <w:rsidRoot w:val="00F1361C"/>
    <w:rsid w:val="00014A1C"/>
    <w:rsid w:val="000222C6"/>
    <w:rsid w:val="0002549F"/>
    <w:rsid w:val="00035392"/>
    <w:rsid w:val="000468DB"/>
    <w:rsid w:val="0006487A"/>
    <w:rsid w:val="00065F8F"/>
    <w:rsid w:val="00070A43"/>
    <w:rsid w:val="000768F2"/>
    <w:rsid w:val="00082EAC"/>
    <w:rsid w:val="0009184B"/>
    <w:rsid w:val="00094236"/>
    <w:rsid w:val="0009593C"/>
    <w:rsid w:val="00097322"/>
    <w:rsid w:val="00097358"/>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30E5"/>
    <w:rsid w:val="00174518"/>
    <w:rsid w:val="0018106D"/>
    <w:rsid w:val="001877A7"/>
    <w:rsid w:val="00191536"/>
    <w:rsid w:val="00196687"/>
    <w:rsid w:val="001C0962"/>
    <w:rsid w:val="001C2738"/>
    <w:rsid w:val="001D7531"/>
    <w:rsid w:val="001E737D"/>
    <w:rsid w:val="001F0592"/>
    <w:rsid w:val="001F6419"/>
    <w:rsid w:val="001F7506"/>
    <w:rsid w:val="002006CD"/>
    <w:rsid w:val="00202B36"/>
    <w:rsid w:val="00204B7A"/>
    <w:rsid w:val="00204CDE"/>
    <w:rsid w:val="0021101A"/>
    <w:rsid w:val="00220536"/>
    <w:rsid w:val="00235629"/>
    <w:rsid w:val="00260289"/>
    <w:rsid w:val="00260C38"/>
    <w:rsid w:val="002616C0"/>
    <w:rsid w:val="002643DB"/>
    <w:rsid w:val="00265372"/>
    <w:rsid w:val="002662AA"/>
    <w:rsid w:val="00280496"/>
    <w:rsid w:val="00283D47"/>
    <w:rsid w:val="00294DC9"/>
    <w:rsid w:val="00295495"/>
    <w:rsid w:val="002A31DE"/>
    <w:rsid w:val="002A62F7"/>
    <w:rsid w:val="002B2613"/>
    <w:rsid w:val="002C1468"/>
    <w:rsid w:val="002D6D05"/>
    <w:rsid w:val="002F1818"/>
    <w:rsid w:val="002F5109"/>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2919"/>
    <w:rsid w:val="003D66DA"/>
    <w:rsid w:val="003E1310"/>
    <w:rsid w:val="003E2E6A"/>
    <w:rsid w:val="003E6F55"/>
    <w:rsid w:val="00406254"/>
    <w:rsid w:val="00410559"/>
    <w:rsid w:val="0041585D"/>
    <w:rsid w:val="00420B47"/>
    <w:rsid w:val="004223DE"/>
    <w:rsid w:val="00434489"/>
    <w:rsid w:val="00437085"/>
    <w:rsid w:val="00443880"/>
    <w:rsid w:val="004464F4"/>
    <w:rsid w:val="00447329"/>
    <w:rsid w:val="00471401"/>
    <w:rsid w:val="00473F31"/>
    <w:rsid w:val="0048263A"/>
    <w:rsid w:val="004826A2"/>
    <w:rsid w:val="00487E5D"/>
    <w:rsid w:val="004A711F"/>
    <w:rsid w:val="004B199D"/>
    <w:rsid w:val="004B4690"/>
    <w:rsid w:val="004E0A2D"/>
    <w:rsid w:val="004E206B"/>
    <w:rsid w:val="004E3607"/>
    <w:rsid w:val="004E6DF7"/>
    <w:rsid w:val="004F0FBD"/>
    <w:rsid w:val="00505A47"/>
    <w:rsid w:val="00512FDA"/>
    <w:rsid w:val="00520DA0"/>
    <w:rsid w:val="005664BB"/>
    <w:rsid w:val="00566FFA"/>
    <w:rsid w:val="0057481D"/>
    <w:rsid w:val="0058486E"/>
    <w:rsid w:val="00585B33"/>
    <w:rsid w:val="0059014D"/>
    <w:rsid w:val="005A09FD"/>
    <w:rsid w:val="005B0198"/>
    <w:rsid w:val="005B321C"/>
    <w:rsid w:val="005B5C64"/>
    <w:rsid w:val="005C5337"/>
    <w:rsid w:val="005C6BD0"/>
    <w:rsid w:val="005D1C8B"/>
    <w:rsid w:val="005D468D"/>
    <w:rsid w:val="005D5CED"/>
    <w:rsid w:val="005F1A4C"/>
    <w:rsid w:val="00605688"/>
    <w:rsid w:val="006070AF"/>
    <w:rsid w:val="00607E6C"/>
    <w:rsid w:val="006101B1"/>
    <w:rsid w:val="00614E44"/>
    <w:rsid w:val="00620030"/>
    <w:rsid w:val="0062270A"/>
    <w:rsid w:val="00622830"/>
    <w:rsid w:val="00623DA0"/>
    <w:rsid w:val="00630AEF"/>
    <w:rsid w:val="006325F8"/>
    <w:rsid w:val="00633463"/>
    <w:rsid w:val="00634C9A"/>
    <w:rsid w:val="00640417"/>
    <w:rsid w:val="00641F56"/>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516B"/>
    <w:rsid w:val="00746F48"/>
    <w:rsid w:val="0075404D"/>
    <w:rsid w:val="0076182A"/>
    <w:rsid w:val="00762406"/>
    <w:rsid w:val="0076493D"/>
    <w:rsid w:val="00767B7E"/>
    <w:rsid w:val="007770C3"/>
    <w:rsid w:val="00784D24"/>
    <w:rsid w:val="00785FBA"/>
    <w:rsid w:val="00786E4A"/>
    <w:rsid w:val="007875EB"/>
    <w:rsid w:val="0079426B"/>
    <w:rsid w:val="007D1682"/>
    <w:rsid w:val="007D312A"/>
    <w:rsid w:val="007D3F19"/>
    <w:rsid w:val="007E23B0"/>
    <w:rsid w:val="007E23E5"/>
    <w:rsid w:val="007E6A82"/>
    <w:rsid w:val="007F1991"/>
    <w:rsid w:val="007F2C2F"/>
    <w:rsid w:val="007F55FC"/>
    <w:rsid w:val="007F5665"/>
    <w:rsid w:val="007F7385"/>
    <w:rsid w:val="00800112"/>
    <w:rsid w:val="00813348"/>
    <w:rsid w:val="008253BB"/>
    <w:rsid w:val="0083706E"/>
    <w:rsid w:val="008408F6"/>
    <w:rsid w:val="008423A5"/>
    <w:rsid w:val="00850625"/>
    <w:rsid w:val="00853718"/>
    <w:rsid w:val="00855221"/>
    <w:rsid w:val="00860645"/>
    <w:rsid w:val="00871F71"/>
    <w:rsid w:val="00872FD8"/>
    <w:rsid w:val="00875641"/>
    <w:rsid w:val="00885AF4"/>
    <w:rsid w:val="00887F08"/>
    <w:rsid w:val="008914B9"/>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F0"/>
    <w:rsid w:val="00935C98"/>
    <w:rsid w:val="00946945"/>
    <w:rsid w:val="00951248"/>
    <w:rsid w:val="0095152F"/>
    <w:rsid w:val="009546E4"/>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50C8"/>
    <w:rsid w:val="009F1185"/>
    <w:rsid w:val="009F18CD"/>
    <w:rsid w:val="009F2A13"/>
    <w:rsid w:val="009F7527"/>
    <w:rsid w:val="00A04EB0"/>
    <w:rsid w:val="00A13CC1"/>
    <w:rsid w:val="00A16847"/>
    <w:rsid w:val="00A237D8"/>
    <w:rsid w:val="00A25C9F"/>
    <w:rsid w:val="00A268C4"/>
    <w:rsid w:val="00A27C77"/>
    <w:rsid w:val="00A307CD"/>
    <w:rsid w:val="00A331C8"/>
    <w:rsid w:val="00A40A00"/>
    <w:rsid w:val="00A4142F"/>
    <w:rsid w:val="00A422EB"/>
    <w:rsid w:val="00A45BB7"/>
    <w:rsid w:val="00A56DF2"/>
    <w:rsid w:val="00A56E6E"/>
    <w:rsid w:val="00A67AB5"/>
    <w:rsid w:val="00A733B2"/>
    <w:rsid w:val="00A741C2"/>
    <w:rsid w:val="00A74A9E"/>
    <w:rsid w:val="00A91760"/>
    <w:rsid w:val="00A93B00"/>
    <w:rsid w:val="00A93C21"/>
    <w:rsid w:val="00AB64C9"/>
    <w:rsid w:val="00AC2E50"/>
    <w:rsid w:val="00AC3C6A"/>
    <w:rsid w:val="00AD5620"/>
    <w:rsid w:val="00AD656B"/>
    <w:rsid w:val="00AD7C1B"/>
    <w:rsid w:val="00AE16BA"/>
    <w:rsid w:val="00AE1EBE"/>
    <w:rsid w:val="00B03C9D"/>
    <w:rsid w:val="00B060AE"/>
    <w:rsid w:val="00B10517"/>
    <w:rsid w:val="00B12E8B"/>
    <w:rsid w:val="00B14E76"/>
    <w:rsid w:val="00B161B8"/>
    <w:rsid w:val="00B2048C"/>
    <w:rsid w:val="00B310B9"/>
    <w:rsid w:val="00B35F3F"/>
    <w:rsid w:val="00B36CBB"/>
    <w:rsid w:val="00B411A6"/>
    <w:rsid w:val="00B425E0"/>
    <w:rsid w:val="00B440AA"/>
    <w:rsid w:val="00B44B70"/>
    <w:rsid w:val="00B53C56"/>
    <w:rsid w:val="00B57DAF"/>
    <w:rsid w:val="00B76F9D"/>
    <w:rsid w:val="00B77EA6"/>
    <w:rsid w:val="00B81598"/>
    <w:rsid w:val="00B841F1"/>
    <w:rsid w:val="00B944D6"/>
    <w:rsid w:val="00BA579E"/>
    <w:rsid w:val="00BB4DF0"/>
    <w:rsid w:val="00BC289F"/>
    <w:rsid w:val="00BC2D50"/>
    <w:rsid w:val="00BC5361"/>
    <w:rsid w:val="00BC5460"/>
    <w:rsid w:val="00BC6B50"/>
    <w:rsid w:val="00BD0E25"/>
    <w:rsid w:val="00BF5BD6"/>
    <w:rsid w:val="00C03E31"/>
    <w:rsid w:val="00C33E72"/>
    <w:rsid w:val="00C354B2"/>
    <w:rsid w:val="00C35554"/>
    <w:rsid w:val="00C42709"/>
    <w:rsid w:val="00C46119"/>
    <w:rsid w:val="00C533CC"/>
    <w:rsid w:val="00C5751C"/>
    <w:rsid w:val="00C61BFC"/>
    <w:rsid w:val="00C62B85"/>
    <w:rsid w:val="00C65438"/>
    <w:rsid w:val="00C860D5"/>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950A1"/>
    <w:rsid w:val="00DA634F"/>
    <w:rsid w:val="00DA65AC"/>
    <w:rsid w:val="00DB1913"/>
    <w:rsid w:val="00DC410D"/>
    <w:rsid w:val="00DC5A81"/>
    <w:rsid w:val="00DC68CA"/>
    <w:rsid w:val="00DC7CBA"/>
    <w:rsid w:val="00DD73B7"/>
    <w:rsid w:val="00DF24DF"/>
    <w:rsid w:val="00DF28BC"/>
    <w:rsid w:val="00DF34B9"/>
    <w:rsid w:val="00E01053"/>
    <w:rsid w:val="00E01B70"/>
    <w:rsid w:val="00E07ACF"/>
    <w:rsid w:val="00E11813"/>
    <w:rsid w:val="00E331A1"/>
    <w:rsid w:val="00E33202"/>
    <w:rsid w:val="00E336A9"/>
    <w:rsid w:val="00E472B1"/>
    <w:rsid w:val="00E50624"/>
    <w:rsid w:val="00E568DF"/>
    <w:rsid w:val="00E64269"/>
    <w:rsid w:val="00E82267"/>
    <w:rsid w:val="00E853CE"/>
    <w:rsid w:val="00E867B6"/>
    <w:rsid w:val="00EA010F"/>
    <w:rsid w:val="00EB0FAE"/>
    <w:rsid w:val="00ED1B63"/>
    <w:rsid w:val="00ED3C1F"/>
    <w:rsid w:val="00ED4085"/>
    <w:rsid w:val="00ED420E"/>
    <w:rsid w:val="00ED6FBE"/>
    <w:rsid w:val="00EE2F57"/>
    <w:rsid w:val="00EF4C34"/>
    <w:rsid w:val="00EF77C6"/>
    <w:rsid w:val="00F03938"/>
    <w:rsid w:val="00F05438"/>
    <w:rsid w:val="00F1361C"/>
    <w:rsid w:val="00F156F0"/>
    <w:rsid w:val="00F160C7"/>
    <w:rsid w:val="00F2408F"/>
    <w:rsid w:val="00F240E9"/>
    <w:rsid w:val="00F36D8F"/>
    <w:rsid w:val="00F417B1"/>
    <w:rsid w:val="00F45853"/>
    <w:rsid w:val="00F5561B"/>
    <w:rsid w:val="00F602DF"/>
    <w:rsid w:val="00F754A1"/>
    <w:rsid w:val="00F81FD9"/>
    <w:rsid w:val="00F841AA"/>
    <w:rsid w:val="00F84A94"/>
    <w:rsid w:val="00F87E96"/>
    <w:rsid w:val="00FA23E8"/>
    <w:rsid w:val="00FA789D"/>
    <w:rsid w:val="00FC7DA4"/>
    <w:rsid w:val="00FD3CC1"/>
    <w:rsid w:val="00FF1E02"/>
    <w:rsid w:val="00FF30B4"/>
    <w:rsid w:val="015975B8"/>
    <w:rsid w:val="02FEBE30"/>
    <w:rsid w:val="036F8141"/>
    <w:rsid w:val="066E0107"/>
    <w:rsid w:val="07996F6E"/>
    <w:rsid w:val="07DFD8BA"/>
    <w:rsid w:val="0A2032A3"/>
    <w:rsid w:val="0D35B1ED"/>
    <w:rsid w:val="0E7ED1F5"/>
    <w:rsid w:val="0F98263C"/>
    <w:rsid w:val="101860EC"/>
    <w:rsid w:val="10C055FF"/>
    <w:rsid w:val="118107EC"/>
    <w:rsid w:val="13D50BC4"/>
    <w:rsid w:val="13F5616D"/>
    <w:rsid w:val="16BB723D"/>
    <w:rsid w:val="17F9714D"/>
    <w:rsid w:val="1918F934"/>
    <w:rsid w:val="1BE8440E"/>
    <w:rsid w:val="1D155CEE"/>
    <w:rsid w:val="1DFBC4B3"/>
    <w:rsid w:val="1E740ACF"/>
    <w:rsid w:val="1F19C781"/>
    <w:rsid w:val="1F33FCE5"/>
    <w:rsid w:val="1F7F7398"/>
    <w:rsid w:val="1FD2DB6F"/>
    <w:rsid w:val="1FF35744"/>
    <w:rsid w:val="1FF6BC77"/>
    <w:rsid w:val="1FF9236D"/>
    <w:rsid w:val="2333840E"/>
    <w:rsid w:val="23860B96"/>
    <w:rsid w:val="240371BF"/>
    <w:rsid w:val="24615090"/>
    <w:rsid w:val="257C638F"/>
    <w:rsid w:val="29FD04D3"/>
    <w:rsid w:val="2BFF7BC6"/>
    <w:rsid w:val="2C8A61B5"/>
    <w:rsid w:val="2CD59C95"/>
    <w:rsid w:val="2DF04E50"/>
    <w:rsid w:val="2EFD05E5"/>
    <w:rsid w:val="2F040D46"/>
    <w:rsid w:val="2F4F95CE"/>
    <w:rsid w:val="2FACAFDD"/>
    <w:rsid w:val="2FAE5751"/>
    <w:rsid w:val="2FB1A395"/>
    <w:rsid w:val="2FCF0B76"/>
    <w:rsid w:val="2FD9A7D8"/>
    <w:rsid w:val="319F7F4E"/>
    <w:rsid w:val="3304709D"/>
    <w:rsid w:val="36AA5135"/>
    <w:rsid w:val="36BE0DA7"/>
    <w:rsid w:val="376B6AA6"/>
    <w:rsid w:val="376D39B2"/>
    <w:rsid w:val="37E16F03"/>
    <w:rsid w:val="37F53A3B"/>
    <w:rsid w:val="38D469F0"/>
    <w:rsid w:val="38F78389"/>
    <w:rsid w:val="397BAF1F"/>
    <w:rsid w:val="39E7B272"/>
    <w:rsid w:val="39F7642F"/>
    <w:rsid w:val="39FF7B37"/>
    <w:rsid w:val="3AB79AF3"/>
    <w:rsid w:val="3AFDCB77"/>
    <w:rsid w:val="3B7EF35A"/>
    <w:rsid w:val="3B9FDB6C"/>
    <w:rsid w:val="3BF5BC2F"/>
    <w:rsid w:val="3BF7C23A"/>
    <w:rsid w:val="3BFF223E"/>
    <w:rsid w:val="3C6EC0A1"/>
    <w:rsid w:val="3CDB0824"/>
    <w:rsid w:val="3CEBA265"/>
    <w:rsid w:val="3D6A7F9F"/>
    <w:rsid w:val="3D7E7F4D"/>
    <w:rsid w:val="3D98207C"/>
    <w:rsid w:val="3D9CF30A"/>
    <w:rsid w:val="3DFF5A3E"/>
    <w:rsid w:val="3E78745D"/>
    <w:rsid w:val="3EEE77E9"/>
    <w:rsid w:val="3F394AF5"/>
    <w:rsid w:val="3FBE5714"/>
    <w:rsid w:val="3FDD8615"/>
    <w:rsid w:val="3FDFB2FF"/>
    <w:rsid w:val="3FF4CAE0"/>
    <w:rsid w:val="3FF75FAF"/>
    <w:rsid w:val="3FF7B227"/>
    <w:rsid w:val="44E268DA"/>
    <w:rsid w:val="457F4F6B"/>
    <w:rsid w:val="4737FB58"/>
    <w:rsid w:val="47ECCB02"/>
    <w:rsid w:val="47FA6A3F"/>
    <w:rsid w:val="49D7AE48"/>
    <w:rsid w:val="4A3F6C7E"/>
    <w:rsid w:val="4A627F82"/>
    <w:rsid w:val="4B0E749A"/>
    <w:rsid w:val="4B4F25DA"/>
    <w:rsid w:val="4BBB4781"/>
    <w:rsid w:val="4BD709A5"/>
    <w:rsid w:val="4BDD9BFF"/>
    <w:rsid w:val="4BE068DB"/>
    <w:rsid w:val="4D577224"/>
    <w:rsid w:val="4DBF1CEB"/>
    <w:rsid w:val="4DBF6A6B"/>
    <w:rsid w:val="4DF6A672"/>
    <w:rsid w:val="4EAB630A"/>
    <w:rsid w:val="4ECE2238"/>
    <w:rsid w:val="4F7EA413"/>
    <w:rsid w:val="4FAB812F"/>
    <w:rsid w:val="4FE9BD67"/>
    <w:rsid w:val="4FEE4C07"/>
    <w:rsid w:val="4FFB052F"/>
    <w:rsid w:val="537E6D0A"/>
    <w:rsid w:val="53AB6B88"/>
    <w:rsid w:val="53F74C96"/>
    <w:rsid w:val="5583522D"/>
    <w:rsid w:val="57BD3DD4"/>
    <w:rsid w:val="57F9CD1E"/>
    <w:rsid w:val="5AF92295"/>
    <w:rsid w:val="5AF9D8E9"/>
    <w:rsid w:val="5BDD38BD"/>
    <w:rsid w:val="5BDD79E6"/>
    <w:rsid w:val="5BEFC772"/>
    <w:rsid w:val="5BFF5DFC"/>
    <w:rsid w:val="5C7B371F"/>
    <w:rsid w:val="5CD71FC4"/>
    <w:rsid w:val="5D1F11B5"/>
    <w:rsid w:val="5D3647F9"/>
    <w:rsid w:val="5DA644D4"/>
    <w:rsid w:val="5DAE1B18"/>
    <w:rsid w:val="5DE7D9E5"/>
    <w:rsid w:val="5ECEC941"/>
    <w:rsid w:val="5EFF8FC6"/>
    <w:rsid w:val="5F5BA39A"/>
    <w:rsid w:val="5F7D3B79"/>
    <w:rsid w:val="5F7F4610"/>
    <w:rsid w:val="5FBF9FF3"/>
    <w:rsid w:val="5FCD4E2C"/>
    <w:rsid w:val="5FEF394A"/>
    <w:rsid w:val="5FF67715"/>
    <w:rsid w:val="61CA71D5"/>
    <w:rsid w:val="627EE9EA"/>
    <w:rsid w:val="63B23AA5"/>
    <w:rsid w:val="647F5392"/>
    <w:rsid w:val="64E322C4"/>
    <w:rsid w:val="65FB93B9"/>
    <w:rsid w:val="6633C463"/>
    <w:rsid w:val="67D55B77"/>
    <w:rsid w:val="67EE7F84"/>
    <w:rsid w:val="686F5F53"/>
    <w:rsid w:val="6AFFCEAF"/>
    <w:rsid w:val="6B96E9E6"/>
    <w:rsid w:val="6BCE57B5"/>
    <w:rsid w:val="6BFEA4DB"/>
    <w:rsid w:val="6BFFB662"/>
    <w:rsid w:val="6C4A05C8"/>
    <w:rsid w:val="6CFF4FB8"/>
    <w:rsid w:val="6D6BD6E0"/>
    <w:rsid w:val="6D6D4BA2"/>
    <w:rsid w:val="6D77E73C"/>
    <w:rsid w:val="6DBF5E93"/>
    <w:rsid w:val="6DFF077E"/>
    <w:rsid w:val="6E7E3605"/>
    <w:rsid w:val="6E7FDCC7"/>
    <w:rsid w:val="6ED6A62E"/>
    <w:rsid w:val="6EE00B15"/>
    <w:rsid w:val="6EE737B2"/>
    <w:rsid w:val="6EEB2329"/>
    <w:rsid w:val="6EECE67A"/>
    <w:rsid w:val="6F6F90A8"/>
    <w:rsid w:val="6F6FB3EB"/>
    <w:rsid w:val="6F8731EA"/>
    <w:rsid w:val="6FBC2ADD"/>
    <w:rsid w:val="6FD57C00"/>
    <w:rsid w:val="6FE622DA"/>
    <w:rsid w:val="6FEFFFD8"/>
    <w:rsid w:val="6FF5CC65"/>
    <w:rsid w:val="6FFB47EC"/>
    <w:rsid w:val="6FFF034A"/>
    <w:rsid w:val="712A28F1"/>
    <w:rsid w:val="715C0E4B"/>
    <w:rsid w:val="71FFD401"/>
    <w:rsid w:val="72233669"/>
    <w:rsid w:val="72734D90"/>
    <w:rsid w:val="7332FE48"/>
    <w:rsid w:val="73AD73D5"/>
    <w:rsid w:val="73B6EB34"/>
    <w:rsid w:val="73FA497D"/>
    <w:rsid w:val="744731E5"/>
    <w:rsid w:val="74BBD01D"/>
    <w:rsid w:val="74ED5379"/>
    <w:rsid w:val="75DEEEC2"/>
    <w:rsid w:val="767F479D"/>
    <w:rsid w:val="76E3355F"/>
    <w:rsid w:val="76F742AF"/>
    <w:rsid w:val="76F7BE7D"/>
    <w:rsid w:val="76FF5125"/>
    <w:rsid w:val="773570D3"/>
    <w:rsid w:val="77597F31"/>
    <w:rsid w:val="776F6FFA"/>
    <w:rsid w:val="7777A522"/>
    <w:rsid w:val="77858688"/>
    <w:rsid w:val="778769C8"/>
    <w:rsid w:val="77CB741A"/>
    <w:rsid w:val="77D7BE3A"/>
    <w:rsid w:val="77DC22F5"/>
    <w:rsid w:val="797E3A6C"/>
    <w:rsid w:val="79CF70E2"/>
    <w:rsid w:val="79D7FD79"/>
    <w:rsid w:val="79E75806"/>
    <w:rsid w:val="79EE5BA4"/>
    <w:rsid w:val="7A641148"/>
    <w:rsid w:val="7A6F8BF5"/>
    <w:rsid w:val="7A894339"/>
    <w:rsid w:val="7ACF82B5"/>
    <w:rsid w:val="7AFF28C9"/>
    <w:rsid w:val="7AFF72A0"/>
    <w:rsid w:val="7AFF7572"/>
    <w:rsid w:val="7B6C7DFB"/>
    <w:rsid w:val="7B7D76A7"/>
    <w:rsid w:val="7BAE2FE2"/>
    <w:rsid w:val="7BAF6951"/>
    <w:rsid w:val="7BBFBED0"/>
    <w:rsid w:val="7BC3E394"/>
    <w:rsid w:val="7BF3FE4C"/>
    <w:rsid w:val="7BFB5035"/>
    <w:rsid w:val="7BFDE17E"/>
    <w:rsid w:val="7CBFC87B"/>
    <w:rsid w:val="7CFE0F48"/>
    <w:rsid w:val="7D3DE31C"/>
    <w:rsid w:val="7D7EC23E"/>
    <w:rsid w:val="7D7F8A13"/>
    <w:rsid w:val="7DBBCB01"/>
    <w:rsid w:val="7DC765D0"/>
    <w:rsid w:val="7DDB0EE0"/>
    <w:rsid w:val="7DFF51D8"/>
    <w:rsid w:val="7E634199"/>
    <w:rsid w:val="7E8ADEBF"/>
    <w:rsid w:val="7EEF11D3"/>
    <w:rsid w:val="7EF78C20"/>
    <w:rsid w:val="7F3F679B"/>
    <w:rsid w:val="7F4FC4EF"/>
    <w:rsid w:val="7F5E4D54"/>
    <w:rsid w:val="7F6B75FA"/>
    <w:rsid w:val="7F9F518D"/>
    <w:rsid w:val="7FA30C79"/>
    <w:rsid w:val="7FAF8ABF"/>
    <w:rsid w:val="7FB7269E"/>
    <w:rsid w:val="7FBD6753"/>
    <w:rsid w:val="7FBFABB4"/>
    <w:rsid w:val="7FC65084"/>
    <w:rsid w:val="7FC96657"/>
    <w:rsid w:val="7FD72595"/>
    <w:rsid w:val="7FDA9588"/>
    <w:rsid w:val="7FDF220F"/>
    <w:rsid w:val="7FDF4542"/>
    <w:rsid w:val="7FDF5405"/>
    <w:rsid w:val="7FEDC251"/>
    <w:rsid w:val="7FEDC5F7"/>
    <w:rsid w:val="7FEDD9DE"/>
    <w:rsid w:val="7FEFCDB9"/>
    <w:rsid w:val="7FF5890D"/>
    <w:rsid w:val="7FF5EB09"/>
    <w:rsid w:val="7FF89B92"/>
    <w:rsid w:val="7FF8F2E7"/>
    <w:rsid w:val="7FF93490"/>
    <w:rsid w:val="7FFA6237"/>
    <w:rsid w:val="7FFB5275"/>
    <w:rsid w:val="7FFD14DE"/>
    <w:rsid w:val="7FFFF783"/>
    <w:rsid w:val="93F70A9E"/>
    <w:rsid w:val="997D060E"/>
    <w:rsid w:val="99FF2014"/>
    <w:rsid w:val="9E59F895"/>
    <w:rsid w:val="9E7DEDC1"/>
    <w:rsid w:val="9EEF2B0D"/>
    <w:rsid w:val="9FF6F2A6"/>
    <w:rsid w:val="9FFE4AD9"/>
    <w:rsid w:val="9FFF61B9"/>
    <w:rsid w:val="A6DD0D7F"/>
    <w:rsid w:val="A7955197"/>
    <w:rsid w:val="A7FE5E0E"/>
    <w:rsid w:val="ADC6F725"/>
    <w:rsid w:val="AF0FFA84"/>
    <w:rsid w:val="AF9F0A5E"/>
    <w:rsid w:val="AFEF7964"/>
    <w:rsid w:val="B27A6F28"/>
    <w:rsid w:val="B35F0D5A"/>
    <w:rsid w:val="B3F7F693"/>
    <w:rsid w:val="B3FBBB6C"/>
    <w:rsid w:val="B5FFE407"/>
    <w:rsid w:val="B7CF06AB"/>
    <w:rsid w:val="B7CFA926"/>
    <w:rsid w:val="B7F8786B"/>
    <w:rsid w:val="B9EF5647"/>
    <w:rsid w:val="BABB6AA1"/>
    <w:rsid w:val="BAFCD398"/>
    <w:rsid w:val="BAFFDA0F"/>
    <w:rsid w:val="BB2F4199"/>
    <w:rsid w:val="BBFBD24E"/>
    <w:rsid w:val="BD079C78"/>
    <w:rsid w:val="BD2DD278"/>
    <w:rsid w:val="BD733540"/>
    <w:rsid w:val="BDF7970E"/>
    <w:rsid w:val="BDFE68BD"/>
    <w:rsid w:val="BE6FC990"/>
    <w:rsid w:val="BEBE9537"/>
    <w:rsid w:val="BEFF0D62"/>
    <w:rsid w:val="BEFF90EF"/>
    <w:rsid w:val="BF3735D5"/>
    <w:rsid w:val="BF7F09AC"/>
    <w:rsid w:val="BFB3380D"/>
    <w:rsid w:val="BFB7E7A2"/>
    <w:rsid w:val="BFC2F103"/>
    <w:rsid w:val="BFD475C3"/>
    <w:rsid w:val="BFDE5EA6"/>
    <w:rsid w:val="BFEF99E9"/>
    <w:rsid w:val="BFF9E564"/>
    <w:rsid w:val="BFFF3A69"/>
    <w:rsid w:val="C7BFEF9C"/>
    <w:rsid w:val="C8BD8F25"/>
    <w:rsid w:val="C94DA72E"/>
    <w:rsid w:val="CBEEAA00"/>
    <w:rsid w:val="CC7E9ECE"/>
    <w:rsid w:val="CDBFF9FF"/>
    <w:rsid w:val="CDF78664"/>
    <w:rsid w:val="CE3FF57E"/>
    <w:rsid w:val="CF3AB4AC"/>
    <w:rsid w:val="CF6FC6F3"/>
    <w:rsid w:val="CFD3D3D7"/>
    <w:rsid w:val="CFDF1009"/>
    <w:rsid w:val="D6B7E4F6"/>
    <w:rsid w:val="D6CB2739"/>
    <w:rsid w:val="D776A8DB"/>
    <w:rsid w:val="D7B6B268"/>
    <w:rsid w:val="D7D7B16A"/>
    <w:rsid w:val="D7EF2E2A"/>
    <w:rsid w:val="D8D6DB89"/>
    <w:rsid w:val="DB6F4CAB"/>
    <w:rsid w:val="DB777682"/>
    <w:rsid w:val="DBDDA52A"/>
    <w:rsid w:val="DCFFC0D1"/>
    <w:rsid w:val="DD1FB521"/>
    <w:rsid w:val="DDCB2E5E"/>
    <w:rsid w:val="DDFE75CA"/>
    <w:rsid w:val="DEFBBE33"/>
    <w:rsid w:val="DEFBFEAE"/>
    <w:rsid w:val="DF1F3B80"/>
    <w:rsid w:val="DF6F9789"/>
    <w:rsid w:val="DF9B8D55"/>
    <w:rsid w:val="DF9D198A"/>
    <w:rsid w:val="DFDF1D8E"/>
    <w:rsid w:val="DFEFC58B"/>
    <w:rsid w:val="DFF5F241"/>
    <w:rsid w:val="DFFFA9E8"/>
    <w:rsid w:val="E37D5D3F"/>
    <w:rsid w:val="E3FFE98D"/>
    <w:rsid w:val="E5F4E9DC"/>
    <w:rsid w:val="E67FF583"/>
    <w:rsid w:val="E70FE695"/>
    <w:rsid w:val="E7676621"/>
    <w:rsid w:val="E76B2B9A"/>
    <w:rsid w:val="E7AB7A34"/>
    <w:rsid w:val="E7DF1E20"/>
    <w:rsid w:val="E7FF6381"/>
    <w:rsid w:val="E9A30291"/>
    <w:rsid w:val="EBBF924C"/>
    <w:rsid w:val="ECFED1BC"/>
    <w:rsid w:val="ED1D69BB"/>
    <w:rsid w:val="ED2C2584"/>
    <w:rsid w:val="ED7FD312"/>
    <w:rsid w:val="EDBE03E0"/>
    <w:rsid w:val="EDD1A84A"/>
    <w:rsid w:val="EDFF8263"/>
    <w:rsid w:val="EE1FA0C7"/>
    <w:rsid w:val="EF53993F"/>
    <w:rsid w:val="EF7B8152"/>
    <w:rsid w:val="EF8E27E2"/>
    <w:rsid w:val="EFBFB2F4"/>
    <w:rsid w:val="EFBFFA21"/>
    <w:rsid w:val="EFDF4337"/>
    <w:rsid w:val="EFF7097E"/>
    <w:rsid w:val="F2BEBCB8"/>
    <w:rsid w:val="F36FB518"/>
    <w:rsid w:val="F3DE1A04"/>
    <w:rsid w:val="F3E244FA"/>
    <w:rsid w:val="F3EFB7CA"/>
    <w:rsid w:val="F3F722E5"/>
    <w:rsid w:val="F699BB1A"/>
    <w:rsid w:val="F6DEABFE"/>
    <w:rsid w:val="F7B650C7"/>
    <w:rsid w:val="F7EF9033"/>
    <w:rsid w:val="F7FDC2B1"/>
    <w:rsid w:val="F8DDDAC6"/>
    <w:rsid w:val="F96B55C8"/>
    <w:rsid w:val="FA2F5BEB"/>
    <w:rsid w:val="FA5F1E70"/>
    <w:rsid w:val="FA5FDB97"/>
    <w:rsid w:val="FB1BB959"/>
    <w:rsid w:val="FB75E3C8"/>
    <w:rsid w:val="FB7F461B"/>
    <w:rsid w:val="FB7F486A"/>
    <w:rsid w:val="FB7F6E28"/>
    <w:rsid w:val="FB8778F4"/>
    <w:rsid w:val="FBB61866"/>
    <w:rsid w:val="FBEE055A"/>
    <w:rsid w:val="FBF91527"/>
    <w:rsid w:val="FBFD1260"/>
    <w:rsid w:val="FBFF5B2E"/>
    <w:rsid w:val="FC833EBB"/>
    <w:rsid w:val="FCFE0B49"/>
    <w:rsid w:val="FD4B388D"/>
    <w:rsid w:val="FD77A83C"/>
    <w:rsid w:val="FD7FFE2B"/>
    <w:rsid w:val="FDADA43D"/>
    <w:rsid w:val="FDBDC432"/>
    <w:rsid w:val="FDEB412A"/>
    <w:rsid w:val="FDEE196B"/>
    <w:rsid w:val="FDEF50BC"/>
    <w:rsid w:val="FDFD5EC3"/>
    <w:rsid w:val="FDFE6575"/>
    <w:rsid w:val="FE9E11AB"/>
    <w:rsid w:val="FEBF38CD"/>
    <w:rsid w:val="FEDFDDC2"/>
    <w:rsid w:val="FEEB4E4D"/>
    <w:rsid w:val="FEED32F6"/>
    <w:rsid w:val="FEF781DD"/>
    <w:rsid w:val="FEF9D8C4"/>
    <w:rsid w:val="FF3F7E3F"/>
    <w:rsid w:val="FF3FF759"/>
    <w:rsid w:val="FF4749A3"/>
    <w:rsid w:val="FF4D3A28"/>
    <w:rsid w:val="FF5913BC"/>
    <w:rsid w:val="FF7F1E7E"/>
    <w:rsid w:val="FF9BAA5C"/>
    <w:rsid w:val="FFA57884"/>
    <w:rsid w:val="FFB513DD"/>
    <w:rsid w:val="FFBA12D7"/>
    <w:rsid w:val="FFBFE8C6"/>
    <w:rsid w:val="FFCF2925"/>
    <w:rsid w:val="FFD33B6C"/>
    <w:rsid w:val="FFDAD824"/>
    <w:rsid w:val="FFDE4064"/>
    <w:rsid w:val="FFDEA9D8"/>
    <w:rsid w:val="FFDF2DEC"/>
    <w:rsid w:val="FFDF624E"/>
    <w:rsid w:val="FFDF6BC0"/>
    <w:rsid w:val="FFDFFAEE"/>
    <w:rsid w:val="FFE3BA41"/>
    <w:rsid w:val="FFE3BED4"/>
    <w:rsid w:val="FFF316C1"/>
    <w:rsid w:val="FFF63ECC"/>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1"/>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4"/>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0"/>
    <w:semiHidden/>
    <w:unhideWhenUsed/>
    <w:qFormat/>
    <w:uiPriority w:val="99"/>
    <w:rPr>
      <w:sz w:val="18"/>
      <w:szCs w:val="18"/>
    </w:rPr>
  </w:style>
  <w:style w:type="paragraph" w:styleId="9">
    <w:name w:val="footer"/>
    <w:basedOn w:val="1"/>
    <w:link w:val="22"/>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Body Text First Indent 2"/>
    <w:basedOn w:val="6"/>
    <w:unhideWhenUsed/>
    <w:qFormat/>
    <w:uiPriority w:val="99"/>
    <w:pPr>
      <w:ind w:firstLine="420" w:firstLineChars="200"/>
    </w:pPr>
  </w:style>
  <w:style w:type="character" w:styleId="16">
    <w:name w:val="Strong"/>
    <w:basedOn w:val="15"/>
    <w:qFormat/>
    <w:uiPriority w:val="99"/>
    <w:rPr>
      <w:b/>
    </w:rPr>
  </w:style>
  <w:style w:type="character" w:styleId="17">
    <w:name w:val="Hyperlink"/>
    <w:basedOn w:val="15"/>
    <w:unhideWhenUsed/>
    <w:qFormat/>
    <w:uiPriority w:val="99"/>
    <w:rPr>
      <w:color w:val="0000FF" w:themeColor="hyperlink"/>
      <w:u w:val="single"/>
      <w14:textFill>
        <w14:solidFill>
          <w14:schemeClr w14:val="hlink"/>
        </w14:solidFill>
      </w14:textFill>
    </w:rPr>
  </w:style>
  <w:style w:type="paragraph" w:customStyle="1" w:styleId="18">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9">
    <w:name w:val="Header Char"/>
    <w:basedOn w:val="15"/>
    <w:semiHidden/>
    <w:qFormat/>
    <w:uiPriority w:val="99"/>
    <w:rPr>
      <w:rFonts w:ascii="Times New Roman" w:hAnsi="Times New Roman"/>
      <w:sz w:val="18"/>
      <w:szCs w:val="18"/>
    </w:rPr>
  </w:style>
  <w:style w:type="character" w:customStyle="1" w:styleId="20">
    <w:name w:val="页眉 字符"/>
    <w:link w:val="10"/>
    <w:semiHidden/>
    <w:qFormat/>
    <w:locked/>
    <w:uiPriority w:val="99"/>
    <w:rPr>
      <w:sz w:val="18"/>
    </w:rPr>
  </w:style>
  <w:style w:type="character" w:customStyle="1" w:styleId="21">
    <w:name w:val="Footer Char"/>
    <w:basedOn w:val="15"/>
    <w:semiHidden/>
    <w:qFormat/>
    <w:uiPriority w:val="99"/>
    <w:rPr>
      <w:rFonts w:ascii="Times New Roman" w:hAnsi="Times New Roman"/>
      <w:sz w:val="18"/>
      <w:szCs w:val="18"/>
    </w:rPr>
  </w:style>
  <w:style w:type="character" w:customStyle="1" w:styleId="22">
    <w:name w:val="页脚 字符"/>
    <w:link w:val="9"/>
    <w:qFormat/>
    <w:locked/>
    <w:uiPriority w:val="99"/>
    <w:rPr>
      <w:sz w:val="18"/>
    </w:rPr>
  </w:style>
  <w:style w:type="character" w:customStyle="1" w:styleId="23">
    <w:name w:val="Body Text Char"/>
    <w:basedOn w:val="15"/>
    <w:semiHidden/>
    <w:qFormat/>
    <w:uiPriority w:val="99"/>
    <w:rPr>
      <w:rFonts w:ascii="Times New Roman" w:hAnsi="Times New Roman"/>
      <w:szCs w:val="24"/>
    </w:rPr>
  </w:style>
  <w:style w:type="character" w:customStyle="1" w:styleId="24">
    <w:name w:val="正文文本 字符"/>
    <w:link w:val="2"/>
    <w:qFormat/>
    <w:locked/>
    <w:uiPriority w:val="99"/>
    <w:rPr>
      <w:rFonts w:ascii="仿宋_GB2312" w:hAnsi="Times New Roman" w:eastAsia="仿宋_GB2312"/>
      <w:sz w:val="24"/>
    </w:rPr>
  </w:style>
  <w:style w:type="paragraph" w:customStyle="1" w:styleId="2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6">
    <w:name w:val="List Paragraph"/>
    <w:basedOn w:val="1"/>
    <w:qFormat/>
    <w:uiPriority w:val="34"/>
    <w:pPr>
      <w:ind w:firstLine="420" w:firstLineChars="200"/>
    </w:pPr>
  </w:style>
  <w:style w:type="character" w:customStyle="1" w:styleId="27">
    <w:name w:val="标题 1 字符"/>
    <w:basedOn w:val="15"/>
    <w:link w:val="3"/>
    <w:qFormat/>
    <w:uiPriority w:val="9"/>
    <w:rPr>
      <w:rFonts w:ascii="Times New Roman" w:hAnsi="Times New Roman"/>
      <w:b/>
      <w:bCs/>
      <w:kern w:val="44"/>
      <w:sz w:val="44"/>
      <w:szCs w:val="44"/>
    </w:rPr>
  </w:style>
  <w:style w:type="character" w:customStyle="1" w:styleId="28">
    <w:name w:val="标题 2 字符"/>
    <w:basedOn w:val="15"/>
    <w:link w:val="4"/>
    <w:qFormat/>
    <w:uiPriority w:val="9"/>
    <w:rPr>
      <w:rFonts w:asciiTheme="majorHAnsi" w:hAnsiTheme="majorHAnsi" w:eastAsiaTheme="majorEastAsia" w:cstheme="majorBidi"/>
      <w:b/>
      <w:bCs/>
      <w:kern w:val="2"/>
      <w:sz w:val="32"/>
      <w:szCs w:val="32"/>
    </w:rPr>
  </w:style>
  <w:style w:type="paragraph" w:customStyle="1" w:styleId="29">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0">
    <w:name w:val="批注框文本 字符"/>
    <w:basedOn w:val="15"/>
    <w:link w:val="8"/>
    <w:semiHidden/>
    <w:qFormat/>
    <w:uiPriority w:val="99"/>
    <w:rPr>
      <w:rFonts w:ascii="Times New Roman" w:hAnsi="Times New Roman"/>
      <w:kern w:val="2"/>
      <w:sz w:val="18"/>
      <w:szCs w:val="18"/>
    </w:rPr>
  </w:style>
  <w:style w:type="character" w:customStyle="1" w:styleId="31">
    <w:name w:val="标题 3 字符"/>
    <w:basedOn w:val="15"/>
    <w:link w:val="5"/>
    <w:qFormat/>
    <w:uiPriority w:val="9"/>
    <w:rPr>
      <w:rFonts w:ascii="Times New Roman" w:hAnsi="Times New Roman"/>
      <w:b/>
      <w:bCs/>
      <w:kern w:val="2"/>
      <w:sz w:val="32"/>
      <w:szCs w:val="32"/>
    </w:rPr>
  </w:style>
  <w:style w:type="paragraph" w:customStyle="1" w:styleId="32">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3">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收、支决算总计变动情况图（单位：万元）</a:t>
            </a:r>
            <a:endParaRPr altLang="en-US"/>
          </a:p>
        </c:rich>
      </c:tx>
      <c:layout>
        <c:manualLayout>
          <c:xMode val="edge"/>
          <c:yMode val="edge"/>
          <c:x val="0.1755"/>
          <c:y val="0.01"/>
        </c:manualLayout>
      </c:layout>
      <c:overlay val="0"/>
      <c:spPr>
        <a:noFill/>
        <a:ln>
          <a:noFill/>
        </a:ln>
        <a:effectLst/>
      </c:spPr>
    </c:title>
    <c:autoTitleDeleted val="0"/>
    <c:plotArea>
      <c:layout>
        <c:manualLayout>
          <c:layoutTarget val="inner"/>
          <c:xMode val="edge"/>
          <c:yMode val="edge"/>
          <c:x val="0.0787"/>
          <c:y val="0.132"/>
          <c:w val="0.8938"/>
          <c:h val="0.7169"/>
        </c:manualLayout>
      </c:layout>
      <c:barChart>
        <c:barDir val="col"/>
        <c:grouping val="clustered"/>
        <c:varyColors val="0"/>
        <c:ser>
          <c:idx val="0"/>
          <c:order val="0"/>
          <c:tx>
            <c:strRef>
              <c:f>Sheet1!$B$1</c:f>
              <c:strCache>
                <c:ptCount val="1"/>
                <c:pt idx="0">
                  <c:v>收入决算总计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2022年</c:v>
                </c:pt>
                <c:pt idx="1">
                  <c:v>2023年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2366.09</c:v>
                </c:pt>
                <c:pt idx="1">
                  <c:v>1789.22</c:v>
                </c:pt>
              </c:numCache>
            </c:numRef>
          </c:val>
        </c:ser>
        <c:ser>
          <c:idx val="1"/>
          <c:order val="1"/>
          <c:tx>
            <c:strRef>
              <c:f>Sheet1!$C$1</c:f>
              <c:strCache>
                <c:ptCount val="1"/>
                <c:pt idx="0">
                  <c:v>支出决算总计</c:v>
                </c:pt>
              </c:strCache>
            </c:strRef>
          </c:tx>
          <c:spPr>
            <a:solidFill>
              <a:schemeClr val="accent2"/>
            </a:solidFill>
            <a:ln>
              <a:noFill/>
            </a:ln>
            <a:effectLst/>
          </c:spPr>
          <c:invertIfNegative val="0"/>
          <c:dLbls>
            <c:dLbl>
              <c:idx val="1"/>
              <c:layout>
                <c:manualLayout>
                  <c:x val="0.003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2022年</c:v>
                </c:pt>
                <c:pt idx="1">
                  <c:v>2023年</c:v>
                </c:pt>
              </c:strCache>
            </c:strRef>
          </c:cat>
          <c:val>
            <c:numRef>
              <c:extLst>
                <c:ext xmlns:c15="http://schemas.microsoft.com/office/drawing/2012/chart" uri="{02D57815-91ED-43cb-92C2-25804820EDAC}">
                  <c15:fullRef>
                    <c15:sqref>Sheet1!$C$2:$C$5</c15:sqref>
                  </c15:fullRef>
                </c:ext>
              </c:extLst>
              <c:f>Sheet1!$C$2:$C$3</c:f>
              <c:numCache>
                <c:formatCode>General</c:formatCode>
                <c:ptCount val="2"/>
                <c:pt idx="0">
                  <c:v>2366.09</c:v>
                </c:pt>
                <c:pt idx="1">
                  <c:v>1789.22</c:v>
                </c:pt>
              </c:numCache>
            </c:numRef>
          </c:val>
        </c:ser>
        <c:dLbls>
          <c:showLegendKey val="0"/>
          <c:showVal val="0"/>
          <c:showCatName val="0"/>
          <c:showSerName val="0"/>
          <c:showPercent val="0"/>
          <c:showBubbleSize val="0"/>
        </c:dLbls>
        <c:gapWidth val="219"/>
        <c:overlap val="-27"/>
        <c:axId val="353754741"/>
        <c:axId val="582704174"/>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delete val="1"/>
                </c:dLbls>
                <c:cat>
                  <c:strRef>
                    <c:extLst>
                      <c:ext uri="{02D57815-91ED-43cb-92C2-25804820EDAC}">
                        <c15:fullRef>
                          <c15:sqref>Sheet1!$A$2:$A$5</c15:sqref>
                        </c15:fullRef>
                        <c15:formulaRef>
                          <c15:sqref>Sheet1!$A$2:$A$3</c15:sqref>
                        </c15:formulaRef>
                      </c:ext>
                    </c:extLst>
                    <c:strCache>
                      <c:ptCount val="2"/>
                      <c:pt idx="0">
                        <c:v>2022年</c:v>
                      </c:pt>
                      <c:pt idx="1">
                        <c:v>2023年</c:v>
                      </c:pt>
                    </c:strCache>
                  </c:strRef>
                </c:cat>
                <c:val>
                  <c:numRef>
                    <c:extLst>
                      <c:ext uri="{02D57815-91ED-43cb-92C2-25804820EDAC}">
                        <c15:fullRef>
                          <c15:sqref>Sheet1!$D$2:$D$5</c15:sqref>
                        </c15:fullRef>
                        <c15:formulaRef>
                          <c15:sqref>Sheet1!$D$2:$D$3</c15:sqref>
                        </c15:formulaRef>
                      </c:ext>
                    </c:extLst>
                    <c:numCache>
                      <c:formatCode>General</c:formatCode>
                      <c:ptCount val="2"/>
                      <c:pt idx="0">
                        <c:v>2</c:v>
                      </c:pt>
                      <c:pt idx="1">
                        <c:v>2</c:v>
                      </c:pt>
                    </c:numCache>
                  </c:numRef>
                </c:val>
              </c15:ser>
            </c15:filteredBarSeries>
          </c:ext>
        </c:extLst>
      </c:barChart>
      <c:catAx>
        <c:axId val="3537547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2704174"/>
        <c:crosses val="autoZero"/>
        <c:auto val="1"/>
        <c:lblAlgn val="ctr"/>
        <c:lblOffset val="100"/>
        <c:noMultiLvlLbl val="0"/>
      </c:catAx>
      <c:valAx>
        <c:axId val="58270417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75474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收入决算机构图</a:t>
            </a:r>
          </a:p>
        </c:rich>
      </c:tx>
      <c:layout/>
      <c:overlay val="0"/>
      <c:spPr>
        <a:noFill/>
        <a:ln>
          <a:noFill/>
        </a:ln>
        <a:effectLst/>
      </c:spPr>
    </c:title>
    <c:autoTitleDeleted val="0"/>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1"/>
              <c:layout>
                <c:manualLayout>
                  <c:x val="-0.0968913445801399"/>
                  <c:y val="0.0085251231666792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Sheet1!$A$2:$A$4</c15:sqref>
                  </c15:fullRef>
                </c:ext>
              </c:extLst>
              <c:f>Sheet1!$A$2:$A$3</c:f>
              <c:strCache>
                <c:ptCount val="2"/>
                <c:pt idx="0">
                  <c:v>一般公共预算财政拨款收入</c:v>
                </c:pt>
                <c:pt idx="1">
                  <c:v>其他收入</c:v>
                </c:pt>
              </c:strCache>
            </c:strRef>
          </c:cat>
          <c:val>
            <c:numRef>
              <c:extLst>
                <c:ext xmlns:c15="http://schemas.microsoft.com/office/drawing/2012/chart" uri="{02D57815-91ED-43cb-92C2-25804820EDAC}">
                  <c15:fullRef>
                    <c15:sqref>Sheet1!$B$2:$B$4</c15:sqref>
                  </c15:fullRef>
                </c:ext>
              </c:extLst>
              <c:f>Sheet1!$B$2:$B$3</c:f>
              <c:numCache>
                <c:formatCode>0.00%</c:formatCode>
                <c:ptCount val="2"/>
                <c:pt idx="0">
                  <c:v>0.9117</c:v>
                </c:pt>
                <c:pt idx="1">
                  <c:v>0.0842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manualLayout>
          <c:xMode val="edge"/>
          <c:yMode val="edge"/>
          <c:x val="0.421625"/>
          <c:y val="0.01"/>
        </c:manualLayout>
      </c:layout>
      <c:overlay val="0"/>
      <c:spPr>
        <a:noFill/>
        <a:ln>
          <a:noFill/>
        </a:ln>
        <a:effectLst/>
      </c:spPr>
    </c:title>
    <c:autoTitleDeleted val="0"/>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0401614216301005"/>
                  <c:y val="-0.092424407250710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48385784561586"/>
                  <c:y val="-0.017575590808083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0.00%</c:formatCode>
                <c:ptCount val="2"/>
                <c:pt idx="0">
                  <c:v>0.5618</c:v>
                </c:pt>
                <c:pt idx="1">
                  <c:v>0.4382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087202216066482"/>
          <c:y val="0.159714944456089"/>
          <c:w val="0.766814404432133"/>
          <c:h val="0.643974009641585"/>
        </c:manualLayout>
      </c:layout>
      <c:barChart>
        <c:barDir val="col"/>
        <c:grouping val="clustered"/>
        <c:varyColors val="0"/>
        <c:ser>
          <c:idx val="0"/>
          <c:order val="0"/>
          <c:tx>
            <c:strRef>
              <c:f>Sheet1!$B$1</c:f>
              <c:strCache>
                <c:ptCount val="1"/>
                <c:pt idx="0">
                  <c:v>财政拨款收入决算</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2023年</c:v>
                </c:pt>
                <c:pt idx="1">
                  <c:v>2022年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1646.78</c:v>
                </c:pt>
                <c:pt idx="1">
                  <c:v>2046.75</c:v>
                </c:pt>
              </c:numCache>
            </c:numRef>
          </c:val>
        </c:ser>
        <c:ser>
          <c:idx val="1"/>
          <c:order val="1"/>
          <c:tx>
            <c:strRef>
              <c:f>Sheet1!$C$1</c:f>
              <c:strCache>
                <c:ptCount val="1"/>
                <c:pt idx="0">
                  <c:v>财政拨款支出决算</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2023年</c:v>
                </c:pt>
                <c:pt idx="1">
                  <c:v>2022年</c:v>
                </c:pt>
              </c:strCache>
            </c:strRef>
          </c:cat>
          <c:val>
            <c:numRef>
              <c:extLst>
                <c:ext xmlns:c15="http://schemas.microsoft.com/office/drawing/2012/chart" uri="{02D57815-91ED-43cb-92C2-25804820EDAC}">
                  <c15:fullRef>
                    <c15:sqref>Sheet1!$C$2:$C$5</c15:sqref>
                  </c15:fullRef>
                </c:ext>
              </c:extLst>
              <c:f>Sheet1!$C$2:$C$3</c:f>
              <c:numCache>
                <c:formatCode>General</c:formatCode>
                <c:ptCount val="2"/>
                <c:pt idx="0">
                  <c:v>1646.78</c:v>
                </c:pt>
                <c:pt idx="1">
                  <c:v>2046.75</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2023年</c:v>
                </c:pt>
                <c:pt idx="1">
                  <c:v>2022年</c:v>
                </c:pt>
              </c:strCache>
            </c:strRef>
          </c:cat>
          <c:val>
            <c:numRef>
              <c:extLst>
                <c:ext xmlns:c15="http://schemas.microsoft.com/office/drawing/2012/chart" uri="{02D57815-91ED-43cb-92C2-25804820EDAC}">
                  <c15:fullRef>
                    <c15:sqref>Sheet1!$D$2:$D$5</c15:sqref>
                  </c15:fullRef>
                </c:ext>
              </c:extLst>
              <c:f>Sheet1!$D$2:$D$3</c:f>
              <c:numCache>
                <c:formatCode>General</c:formatCode>
                <c:ptCount val="2"/>
              </c:numCache>
            </c:numRef>
          </c:val>
        </c:ser>
        <c:dLbls>
          <c:showLegendKey val="0"/>
          <c:showVal val="0"/>
          <c:showCatName val="0"/>
          <c:showSerName val="0"/>
          <c:showPercent val="0"/>
          <c:showBubbleSize val="0"/>
        </c:dLbls>
        <c:gapWidth val="219"/>
        <c:overlap val="-27"/>
        <c:axId val="890395906"/>
        <c:axId val="662271926"/>
      </c:barChart>
      <c:catAx>
        <c:axId val="89039590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2271926"/>
        <c:crosses val="autoZero"/>
        <c:auto val="1"/>
        <c:lblAlgn val="ctr"/>
        <c:lblOffset val="100"/>
        <c:noMultiLvlLbl val="0"/>
      </c:catAx>
      <c:valAx>
        <c:axId val="66227192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03959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12092960410755"/>
          <c:y val="0.116012436844151"/>
          <c:w val="0.857235508715039"/>
          <c:h val="0.676136805285659"/>
        </c:manualLayout>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2022年</c:v>
                </c:pt>
                <c:pt idx="1">
                  <c:v>2023年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2046.75</c:v>
                </c:pt>
                <c:pt idx="1">
                  <c:v>1639.78</c:v>
                </c:pt>
              </c:numCache>
            </c:numRef>
          </c:val>
        </c:ser>
        <c:dLbls>
          <c:showLegendKey val="0"/>
          <c:showVal val="0"/>
          <c:showCatName val="0"/>
          <c:showSerName val="0"/>
          <c:showPercent val="0"/>
          <c:showBubbleSize val="0"/>
        </c:dLbls>
        <c:gapWidth val="219"/>
        <c:overlap val="-27"/>
        <c:axId val="921506413"/>
        <c:axId val="430761979"/>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
                      </c:pt>
                    </c:strCache>
                  </c:strRef>
                </c:tx>
                <c:spPr>
                  <a:solidFill>
                    <a:schemeClr val="accent2"/>
                  </a:solidFill>
                  <a:ln>
                    <a:noFill/>
                  </a:ln>
                  <a:effectLst/>
                </c:spPr>
                <c:invertIfNegative val="0"/>
                <c:dLbls>
                  <c:delete val="1"/>
                </c:dLbls>
                <c:cat>
                  <c:strRef>
                    <c:extLst>
                      <c:ext uri="{02D57815-91ED-43cb-92C2-25804820EDAC}">
                        <c15:fullRef>
                          <c15:sqref>Sheet1!$A$2:$A$5</c15:sqref>
                        </c15:fullRef>
                        <c15:formulaRef>
                          <c15:sqref>Sheet1!$A$2:$A$3</c15:sqref>
                        </c15:formulaRef>
                      </c:ext>
                    </c:extLst>
                    <c:strCache>
                      <c:ptCount val="2"/>
                      <c:pt idx="0">
                        <c:v>2022年</c:v>
                      </c:pt>
                      <c:pt idx="1">
                        <c:v>2023年</c:v>
                      </c:pt>
                    </c:strCache>
                  </c:strRef>
                </c:cat>
                <c:val>
                  <c:numRef>
                    <c:extLst>
                      <c:ext uri="{02D57815-91ED-43cb-92C2-25804820EDAC}">
                        <c15:fullRef>
                          <c15:sqref>Sheet1!$C$2:$C$5</c15:sqref>
                        </c15:fullRef>
                        <c15:formulaRef>
                          <c15:sqref>Sheet1!$C$2:$C$3</c15:sqref>
                        </c15:formulaRef>
                      </c:ext>
                    </c:extLst>
                    <c:numCache>
                      <c:formatCode>General</c:formatCode>
                      <c:ptCount val="2"/>
                    </c:numCache>
                  </c:numRef>
                </c:val>
              </c15:ser>
            </c15:filteredBarSeries>
            <c15:filteredBarSeries>
              <c15:ser>
                <c:idx val="2"/>
                <c:order val="2"/>
                <c:tx>
                  <c:strRef>
                    <c:extLst>
                      <c:ext uri="{02D57815-91ED-43cb-92C2-25804820EDAC}">
                        <c15:formulaRef>
                          <c15:sqref>Sheet1!$D$1</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Sheet1!$A$2:$A$5</c15:sqref>
                        </c15:fullRef>
                        <c15:formulaRef>
                          <c15:sqref>Sheet1!$A$2:$A$3</c15:sqref>
                        </c15:formulaRef>
                      </c:ext>
                    </c:extLst>
                    <c:strCache>
                      <c:ptCount val="2"/>
                      <c:pt idx="0">
                        <c:v>2022年</c:v>
                      </c:pt>
                      <c:pt idx="1">
                        <c:v>2023年</c:v>
                      </c:pt>
                    </c:strCache>
                  </c:strRef>
                </c:cat>
                <c:val>
                  <c:numRef>
                    <c:extLst>
                      <c:ext uri="{02D57815-91ED-43cb-92C2-25804820EDAC}">
                        <c15:fullRef>
                          <c15:sqref>Sheet1!$D$2:$D$5</c15:sqref>
                        </c15:fullRef>
                        <c15:formulaRef>
                          <c15:sqref>Sheet1!$D$2:$D$3</c15:sqref>
                        </c15:formulaRef>
                      </c:ext>
                    </c:extLst>
                    <c:numCache>
                      <c:formatCode>General</c:formatCode>
                      <c:ptCount val="2"/>
                    </c:numCache>
                  </c:numRef>
                </c:val>
              </c15:ser>
            </c15:filteredBarSeries>
          </c:ext>
        </c:extLst>
      </c:barChart>
      <c:catAx>
        <c:axId val="92150641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761979"/>
        <c:crosses val="autoZero"/>
        <c:auto val="1"/>
        <c:lblAlgn val="ctr"/>
        <c:lblOffset val="100"/>
        <c:noMultiLvlLbl val="0"/>
      </c:catAx>
      <c:valAx>
        <c:axId val="4307619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15064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manualLayout>
          <c:xMode val="edge"/>
          <c:yMode val="edge"/>
          <c:x val="0.159308147473828"/>
          <c:y val="0.0146406709783002"/>
        </c:manualLayout>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0.026713817922491"/>
                  <c:y val="-0.080547411495565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79044446705212"/>
                  <c:y val="-0.014508274722676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91280418884279"/>
                  <c:y val="0.0050418725484494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774317778204569"/>
                  <c:y val="0.0061947161709519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85950481663963"/>
                  <c:y val="0.0078509028351208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591180264518205"/>
                  <c:y val="-0.033943308191841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一般公共服务（类）支出</c:v>
                </c:pt>
                <c:pt idx="1">
                  <c:v>文化旅游体育与传媒（类）支出</c:v>
                </c:pt>
                <c:pt idx="2">
                  <c:v>社会保障和就业（类）支出</c:v>
                </c:pt>
                <c:pt idx="3">
                  <c:v>卫生健康支出</c:v>
                </c:pt>
                <c:pt idx="4">
                  <c:v>农林水（类）支出</c:v>
                </c:pt>
                <c:pt idx="5">
                  <c:v>住房保障支出</c:v>
                </c:pt>
              </c:strCache>
            </c:strRef>
          </c:cat>
          <c:val>
            <c:numRef>
              <c:f>Sheet1!$B$2:$B$7</c:f>
              <c:numCache>
                <c:formatCode>0.00%</c:formatCode>
                <c:ptCount val="6"/>
                <c:pt idx="0">
                  <c:v>0.4073</c:v>
                </c:pt>
                <c:pt idx="1">
                  <c:v>0.0024</c:v>
                </c:pt>
                <c:pt idx="2">
                  <c:v>0.059</c:v>
                </c:pt>
                <c:pt idx="3">
                  <c:v>0.0117</c:v>
                </c:pt>
                <c:pt idx="4">
                  <c:v>0.4434</c:v>
                </c:pt>
                <c:pt idx="5">
                  <c:v>0.0343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65171503957784"/>
          <c:y val="0.852198316183349"/>
          <c:w val="0.734696569920844"/>
          <c:h val="0.14245623413069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a:t>
            </a:r>
            <a:r>
              <a:rPr altLang="en-US"/>
              <a:t>三公</a:t>
            </a:r>
            <a:r>
              <a:rPr lang="en-US" altLang="zh-CN"/>
              <a:t>”</a:t>
            </a:r>
            <a:r>
              <a:rPr altLang="en-US"/>
              <a:t>经费财政拨款支出结构</a:t>
            </a:r>
            <a:endParaRPr altLang="en-US"/>
          </a:p>
        </c:rich>
      </c:tx>
      <c:layout>
        <c:manualLayout>
          <c:xMode val="edge"/>
          <c:yMode val="edge"/>
          <c:x val="0.247038009404389"/>
          <c:y val="0.00571428571428571"/>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75"/>
                  <c:y val="0.01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20000844406002"/>
                  <c:y val="-0.038734705745744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625"/>
                  <c:y val="-0.007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因公出国（境）费支出决算</c:v>
                </c:pt>
                <c:pt idx="1">
                  <c:v>公务用车运行维护费支出决算</c:v>
                </c:pt>
                <c:pt idx="2">
                  <c:v>公务接待费支出决算</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0</c:v>
                </c:pt>
                <c:pt idx="1" c:formatCode="0%">
                  <c:v>1</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7842</Words>
  <Characters>8369</Characters>
  <Lines>72</Lines>
  <Paragraphs>20</Paragraphs>
  <TotalTime>19</TotalTime>
  <ScaleCrop>false</ScaleCrop>
  <LinksUpToDate>false</LinksUpToDate>
  <CharactersWithSpaces>8424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2024-08-05T07:12:00Z</dcterms:created>
  <dc:creator>曹颖</dc:creator>
  <cp:lastModifiedBy>XIE</cp:lastModifiedBy>
  <cp:lastPrinted>2023-08-03T10:35:00Z</cp:lastPrinted>
  <dcterms:modified xsi:type="dcterms:W3CDTF">2024-10-21T07:43:11Z</dcterms:modified>
  <dc:title>四川省***</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FE4C170A01C34ACFA75B595571CE883D_12</vt:lpwstr>
  </property>
</Properties>
</file>