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A04613">
      <w:pPr>
        <w:spacing w:line="600" w:lineRule="exact"/>
        <w:jc w:val="center"/>
        <w:outlineLvl w:val="9"/>
        <w:rPr>
          <w:rFonts w:hint="default" w:ascii="方正小标宋简体" w:hAnsi="宋体" w:eastAsia="方正小标宋简体"/>
          <w:color w:val="auto"/>
          <w:sz w:val="72"/>
          <w:szCs w:val="72"/>
          <w:highlight w:val="none"/>
          <w:lang w:val="en-US" w:eastAsia="zh-CN"/>
        </w:rPr>
      </w:pPr>
      <w:bookmarkStart w:id="0" w:name="_Toc15306267"/>
      <w:bookmarkStart w:id="105" w:name="_GoBack"/>
      <w:bookmarkEnd w:id="105"/>
    </w:p>
    <w:p w14:paraId="4C862467">
      <w:pPr>
        <w:spacing w:line="600" w:lineRule="exact"/>
        <w:jc w:val="center"/>
        <w:outlineLvl w:val="9"/>
        <w:rPr>
          <w:rFonts w:ascii="方正小标宋简体" w:hAnsi="宋体" w:eastAsia="方正小标宋简体"/>
          <w:color w:val="auto"/>
          <w:sz w:val="72"/>
          <w:szCs w:val="72"/>
          <w:highlight w:val="none"/>
        </w:rPr>
      </w:pPr>
    </w:p>
    <w:p w14:paraId="1E92B638">
      <w:pPr>
        <w:spacing w:line="600" w:lineRule="exact"/>
        <w:jc w:val="center"/>
        <w:outlineLvl w:val="9"/>
        <w:rPr>
          <w:rFonts w:ascii="方正小标宋简体" w:hAnsi="宋体" w:eastAsia="方正小标宋简体"/>
          <w:color w:val="auto"/>
          <w:sz w:val="72"/>
          <w:szCs w:val="72"/>
          <w:highlight w:val="none"/>
        </w:rPr>
      </w:pPr>
    </w:p>
    <w:p w14:paraId="45336D40">
      <w:pPr>
        <w:spacing w:line="600" w:lineRule="exact"/>
        <w:jc w:val="center"/>
        <w:outlineLvl w:val="9"/>
        <w:rPr>
          <w:rFonts w:ascii="方正小标宋简体" w:hAnsi="宋体" w:eastAsia="方正小标宋简体"/>
          <w:color w:val="auto"/>
          <w:sz w:val="72"/>
          <w:szCs w:val="72"/>
          <w:highlight w:val="none"/>
        </w:rPr>
      </w:pPr>
    </w:p>
    <w:p w14:paraId="7AA2A368">
      <w:pPr>
        <w:adjustRightInd w:val="0"/>
        <w:snapToGrid w:val="0"/>
        <w:spacing w:line="360" w:lineRule="auto"/>
        <w:jc w:val="center"/>
        <w:outlineLvl w:val="9"/>
        <w:rPr>
          <w:rFonts w:hint="eastAsia" w:ascii="方正小标宋简体" w:hAnsi="方正小标宋简体" w:eastAsia="方正小标宋简体" w:cs="方正小标宋简体"/>
          <w:color w:val="auto"/>
          <w:sz w:val="72"/>
          <w:szCs w:val="72"/>
          <w:highlight w:val="none"/>
          <w:lang w:val="en-US" w:eastAsia="zh-CN"/>
        </w:rPr>
      </w:pPr>
      <w:bookmarkStart w:id="1" w:name="_Toc15377425"/>
      <w:bookmarkStart w:id="2" w:name="_Toc6854"/>
      <w:bookmarkStart w:id="3" w:name="_Toc15377193"/>
      <w:bookmarkStart w:id="4" w:name="_Toc15378441"/>
      <w:bookmarkStart w:id="5" w:name="_Toc32679"/>
      <w:bookmarkStart w:id="6" w:name="_Toc15396597"/>
      <w:bookmarkStart w:id="7" w:name="_Toc15396475"/>
      <w:r>
        <w:rPr>
          <w:rFonts w:hint="eastAsia" w:ascii="方正小标宋简体" w:hAnsi="方正小标宋简体" w:eastAsia="方正小标宋简体" w:cs="方正小标宋简体"/>
          <w:color w:val="auto"/>
          <w:sz w:val="72"/>
          <w:szCs w:val="72"/>
          <w:highlight w:val="none"/>
          <w:lang w:eastAsia="zh-CN"/>
        </w:rPr>
        <w:t>2023</w:t>
      </w:r>
      <w:r>
        <w:rPr>
          <w:rFonts w:hint="eastAsia" w:ascii="方正小标宋简体" w:hAnsi="方正小标宋简体" w:eastAsia="方正小标宋简体" w:cs="方正小标宋简体"/>
          <w:color w:val="auto"/>
          <w:sz w:val="72"/>
          <w:szCs w:val="72"/>
          <w:highlight w:val="none"/>
        </w:rPr>
        <w:t>年度</w:t>
      </w:r>
      <w:bookmarkEnd w:id="1"/>
      <w:bookmarkEnd w:id="2"/>
      <w:bookmarkEnd w:id="3"/>
      <w:bookmarkEnd w:id="4"/>
      <w:bookmarkEnd w:id="5"/>
      <w:bookmarkEnd w:id="6"/>
      <w:bookmarkEnd w:id="7"/>
    </w:p>
    <w:bookmarkEnd w:id="0"/>
    <w:p w14:paraId="5E3236F0">
      <w:pPr>
        <w:adjustRightInd w:val="0"/>
        <w:snapToGrid w:val="0"/>
        <w:spacing w:line="360" w:lineRule="auto"/>
        <w:jc w:val="center"/>
        <w:outlineLvl w:val="9"/>
        <w:rPr>
          <w:rFonts w:hint="eastAsia" w:ascii="方正小标宋简体" w:hAnsi="方正小标宋简体" w:eastAsia="方正小标宋简体" w:cs="方正小标宋简体"/>
          <w:color w:val="auto"/>
          <w:sz w:val="72"/>
          <w:szCs w:val="72"/>
          <w:highlight w:val="none"/>
          <w:lang w:val="en-US" w:eastAsia="zh-CN"/>
        </w:rPr>
      </w:pPr>
      <w:bookmarkStart w:id="8" w:name="_Toc22911"/>
      <w:bookmarkStart w:id="9" w:name="_Toc16067"/>
      <w:bookmarkStart w:id="10" w:name="_Toc15377194"/>
      <w:bookmarkStart w:id="11" w:name="_Toc15396476"/>
      <w:bookmarkStart w:id="12" w:name="_Toc15377426"/>
      <w:bookmarkStart w:id="13" w:name="_Toc15396598"/>
      <w:bookmarkStart w:id="14" w:name="_Toc15306268"/>
      <w:bookmarkStart w:id="15" w:name="_Toc15378442"/>
      <w:r>
        <w:rPr>
          <w:rFonts w:hint="eastAsia" w:ascii="方正小标宋简体" w:hAnsi="方正小标宋简体" w:eastAsia="方正小标宋简体" w:cs="方正小标宋简体"/>
          <w:b/>
          <w:bCs/>
          <w:color w:val="auto"/>
          <w:sz w:val="72"/>
          <w:szCs w:val="72"/>
          <w:highlight w:val="none"/>
          <w:lang w:val="en-US" w:eastAsia="zh-CN"/>
        </w:rPr>
        <w:t>马边彝族自治县疾病预防控制中心</w:t>
      </w:r>
      <w:r>
        <w:rPr>
          <w:rFonts w:hint="eastAsia" w:ascii="方正小标宋简体" w:hAnsi="方正小标宋简体" w:eastAsia="方正小标宋简体" w:cs="方正小标宋简体"/>
          <w:b w:val="0"/>
          <w:bCs w:val="0"/>
          <w:color w:val="auto"/>
          <w:sz w:val="72"/>
          <w:szCs w:val="72"/>
          <w:highlight w:val="none"/>
          <w:lang w:val="en-US" w:eastAsia="zh-CN"/>
        </w:rPr>
        <w:t>单位</w:t>
      </w:r>
      <w:r>
        <w:rPr>
          <w:rFonts w:hint="eastAsia" w:ascii="方正小标宋简体" w:hAnsi="方正小标宋简体" w:eastAsia="方正小标宋简体" w:cs="方正小标宋简体"/>
          <w:b w:val="0"/>
          <w:bCs w:val="0"/>
          <w:color w:val="auto"/>
          <w:sz w:val="72"/>
          <w:szCs w:val="72"/>
          <w:highlight w:val="none"/>
          <w:lang w:eastAsia="zh-CN"/>
        </w:rPr>
        <w:t>决算</w:t>
      </w:r>
      <w:bookmarkEnd w:id="8"/>
      <w:bookmarkEnd w:id="9"/>
      <w:bookmarkEnd w:id="10"/>
      <w:bookmarkEnd w:id="11"/>
      <w:bookmarkEnd w:id="12"/>
      <w:bookmarkEnd w:id="13"/>
      <w:bookmarkEnd w:id="14"/>
      <w:bookmarkEnd w:id="15"/>
    </w:p>
    <w:p w14:paraId="43FFBD32">
      <w:pPr>
        <w:spacing w:before="0" w:beforeLines="0" w:after="0" w:afterLines="0" w:line="240" w:lineRule="auto"/>
        <w:ind w:left="0" w:leftChars="0" w:right="0" w:rightChars="0" w:firstLine="0" w:firstLineChars="0"/>
        <w:jc w:val="center"/>
        <w:rPr>
          <w:rFonts w:ascii="宋体" w:hAnsi="宋体" w:eastAsia="宋体" w:cs="Times New Roman"/>
          <w:kern w:val="2"/>
          <w:sz w:val="18"/>
          <w:szCs w:val="21"/>
          <w:lang w:val="en-US" w:eastAsia="zh-CN" w:bidi="ar-SA"/>
        </w:rPr>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bookmarkStart w:id="16" w:name="_Toc15377196"/>
      <w:bookmarkStart w:id="17" w:name="_Toc15396599"/>
    </w:p>
    <w:sdt>
      <w:sdtPr>
        <w:rPr>
          <w:rFonts w:ascii="宋体" w:hAnsi="宋体" w:eastAsia="宋体" w:cs="Times New Roman"/>
          <w:kern w:val="2"/>
          <w:sz w:val="15"/>
          <w:szCs w:val="18"/>
          <w:lang w:val="en-US" w:eastAsia="zh-CN" w:bidi="ar-SA"/>
        </w:rPr>
        <w:id w:val="147470373"/>
        <w15:color w:val="DBDBDB"/>
        <w:docPartObj>
          <w:docPartGallery w:val="Table of Contents"/>
          <w:docPartUnique/>
        </w:docPartObj>
      </w:sdtPr>
      <w:sdtEndPr>
        <w:rPr>
          <w:rFonts w:hint="eastAsia" w:ascii="仿宋" w:hAnsi="仿宋" w:eastAsia="仿宋" w:cs="仿宋"/>
          <w:b/>
          <w:kern w:val="2"/>
          <w:sz w:val="28"/>
          <w:szCs w:val="28"/>
          <w:lang w:val="en-US" w:eastAsia="zh-CN" w:bidi="ar-SA"/>
        </w:rPr>
      </w:sdtEndPr>
      <w:sdtContent>
        <w:p w14:paraId="06F11B4E">
          <w:pPr>
            <w:spacing w:before="0" w:beforeLines="0" w:after="0" w:afterLines="0" w:line="240" w:lineRule="auto"/>
            <w:ind w:left="0" w:leftChars="0" w:right="0" w:rightChars="0" w:firstLine="0" w:firstLineChars="0"/>
            <w:jc w:val="center"/>
            <w:rPr>
              <w:rFonts w:hint="eastAsia" w:ascii="黑体" w:hAnsi="黑体" w:eastAsia="黑体"/>
              <w:color w:val="auto"/>
              <w:sz w:val="32"/>
              <w:szCs w:val="32"/>
              <w:highlight w:val="none"/>
            </w:rPr>
          </w:pPr>
          <w:r>
            <w:rPr>
              <w:rFonts w:hint="eastAsia" w:ascii="黑体" w:hAnsi="黑体" w:eastAsia="黑体"/>
              <w:color w:val="auto"/>
              <w:sz w:val="32"/>
              <w:szCs w:val="32"/>
              <w:highlight w:val="none"/>
            </w:rPr>
            <w:t>目录</w:t>
          </w:r>
        </w:p>
        <w:p w14:paraId="26FF7A6D">
          <w:pPr>
            <w:pStyle w:val="15"/>
            <w:rPr>
              <w:rFonts w:hint="eastAsia" w:ascii="仿宋" w:hAnsi="仿宋" w:eastAsia="仿宋" w:cs="仿宋"/>
              <w:kern w:val="2"/>
              <w:sz w:val="32"/>
              <w:szCs w:val="32"/>
              <w:lang w:val="en-US" w:eastAsia="zh-CN" w:bidi="ar-SA"/>
            </w:rPr>
          </w:pPr>
          <w:r>
            <w:rPr>
              <w:rFonts w:hint="eastAsia"/>
              <w:color w:val="auto"/>
              <w:sz w:val="32"/>
              <w:szCs w:val="32"/>
              <w:highlight w:val="none"/>
            </w:rPr>
            <w:t>公开时间：20</w:t>
          </w:r>
          <w:r>
            <w:rPr>
              <w:rFonts w:hint="eastAsia"/>
              <w:color w:val="auto"/>
              <w:sz w:val="32"/>
              <w:szCs w:val="32"/>
              <w:highlight w:val="none"/>
              <w:lang w:val="en-US" w:eastAsia="zh-CN"/>
            </w:rPr>
            <w:t>24</w:t>
          </w:r>
          <w:r>
            <w:rPr>
              <w:rFonts w:hint="eastAsia"/>
              <w:color w:val="auto"/>
              <w:sz w:val="32"/>
              <w:szCs w:val="32"/>
              <w:highlight w:val="none"/>
            </w:rPr>
            <w:t>年</w:t>
          </w:r>
          <w:r>
            <w:rPr>
              <w:rFonts w:hint="eastAsia"/>
              <w:color w:val="auto"/>
              <w:sz w:val="32"/>
              <w:szCs w:val="32"/>
              <w:highlight w:val="none"/>
              <w:lang w:val="en-US" w:eastAsia="zh-CN"/>
            </w:rPr>
            <w:t>10</w:t>
          </w:r>
          <w:r>
            <w:rPr>
              <w:rFonts w:hint="eastAsia"/>
              <w:color w:val="auto"/>
              <w:sz w:val="32"/>
              <w:szCs w:val="32"/>
              <w:highlight w:val="none"/>
            </w:rPr>
            <w:t>月</w:t>
          </w:r>
          <w:r>
            <w:rPr>
              <w:rFonts w:hint="eastAsia"/>
              <w:color w:val="auto"/>
              <w:sz w:val="32"/>
              <w:szCs w:val="32"/>
              <w:highlight w:val="none"/>
              <w:lang w:val="en-US" w:eastAsia="zh-CN"/>
            </w:rPr>
            <w:t>12</w:t>
          </w:r>
          <w:r>
            <w:rPr>
              <w:rFonts w:hint="eastAsia"/>
              <w:color w:val="auto"/>
              <w:sz w:val="32"/>
              <w:szCs w:val="32"/>
              <w:highlight w:val="none"/>
            </w:rPr>
            <w:t>日</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TOC \o "1-2" \h \u </w:instrText>
          </w:r>
          <w:r>
            <w:rPr>
              <w:rFonts w:hint="eastAsia" w:ascii="仿宋" w:hAnsi="仿宋" w:eastAsia="仿宋" w:cs="仿宋"/>
              <w:sz w:val="32"/>
              <w:szCs w:val="32"/>
            </w:rPr>
            <w:fldChar w:fldCharType="separate"/>
          </w:r>
        </w:p>
        <w:p w14:paraId="2D197392">
          <w:pPr>
            <w:pStyle w:val="15"/>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_Toc27534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 xml:space="preserve">第一部分 </w:t>
          </w:r>
          <w:r>
            <w:rPr>
              <w:rFonts w:hint="eastAsia" w:ascii="仿宋" w:hAnsi="仿宋" w:eastAsia="仿宋" w:cs="仿宋"/>
              <w:bCs w:val="0"/>
              <w:sz w:val="32"/>
              <w:szCs w:val="32"/>
              <w:highlight w:val="none"/>
              <w:lang w:val="en-US" w:eastAsia="zh-CN"/>
            </w:rPr>
            <w:t>单位</w:t>
          </w:r>
          <w:r>
            <w:rPr>
              <w:rFonts w:hint="eastAsia" w:ascii="仿宋" w:hAnsi="仿宋" w:eastAsia="仿宋" w:cs="仿宋"/>
              <w:bCs w:val="0"/>
              <w:sz w:val="32"/>
              <w:szCs w:val="32"/>
              <w:highlight w:val="none"/>
            </w:rPr>
            <w:t>概况</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_Toc27534 \h </w:instrText>
          </w:r>
          <w:r>
            <w:rPr>
              <w:rFonts w:hint="eastAsia" w:ascii="仿宋" w:hAnsi="仿宋" w:eastAsia="仿宋" w:cs="仿宋"/>
              <w:sz w:val="32"/>
              <w:szCs w:val="32"/>
            </w:rPr>
            <w:fldChar w:fldCharType="separate"/>
          </w:r>
          <w:r>
            <w:rPr>
              <w:rFonts w:hint="eastAsia" w:ascii="仿宋" w:hAnsi="仿宋" w:eastAsia="仿宋" w:cs="仿宋"/>
              <w:sz w:val="32"/>
              <w:szCs w:val="32"/>
            </w:rPr>
            <w:t>3</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4FB34610">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_Toc26218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一、</w:t>
          </w:r>
          <w:r>
            <w:rPr>
              <w:rFonts w:hint="eastAsia" w:ascii="仿宋" w:hAnsi="仿宋" w:eastAsia="仿宋" w:cs="仿宋"/>
              <w:bCs w:val="0"/>
              <w:sz w:val="32"/>
              <w:szCs w:val="32"/>
              <w:highlight w:val="none"/>
              <w:lang w:val="zh-CN"/>
            </w:rPr>
            <w:t>主要职责</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_Toc26218 \h </w:instrText>
          </w:r>
          <w:r>
            <w:rPr>
              <w:rFonts w:hint="eastAsia" w:ascii="仿宋" w:hAnsi="仿宋" w:eastAsia="仿宋" w:cs="仿宋"/>
              <w:sz w:val="32"/>
              <w:szCs w:val="32"/>
            </w:rPr>
            <w:fldChar w:fldCharType="separate"/>
          </w:r>
          <w:r>
            <w:rPr>
              <w:rFonts w:hint="eastAsia" w:ascii="仿宋" w:hAnsi="仿宋" w:eastAsia="仿宋" w:cs="仿宋"/>
              <w:sz w:val="32"/>
              <w:szCs w:val="32"/>
            </w:rPr>
            <w:t>3</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196BE4E9">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_Toc3039 </w:instrText>
          </w:r>
          <w:r>
            <w:rPr>
              <w:rFonts w:hint="eastAsia" w:ascii="仿宋" w:hAnsi="仿宋" w:eastAsia="仿宋" w:cs="仿宋"/>
              <w:sz w:val="32"/>
              <w:szCs w:val="32"/>
            </w:rPr>
            <w:fldChar w:fldCharType="separate"/>
          </w:r>
          <w:r>
            <w:rPr>
              <w:rFonts w:hint="eastAsia" w:ascii="仿宋" w:hAnsi="仿宋" w:eastAsia="仿宋" w:cs="仿宋"/>
              <w:bCs w:val="0"/>
              <w:sz w:val="32"/>
              <w:szCs w:val="32"/>
              <w:highlight w:val="none"/>
            </w:rPr>
            <w:t>二、机构设置</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_Toc3039 \h </w:instrText>
          </w:r>
          <w:r>
            <w:rPr>
              <w:rFonts w:hint="eastAsia" w:ascii="仿宋" w:hAnsi="仿宋" w:eastAsia="仿宋" w:cs="仿宋"/>
              <w:sz w:val="32"/>
              <w:szCs w:val="32"/>
            </w:rPr>
            <w:fldChar w:fldCharType="separate"/>
          </w:r>
          <w:r>
            <w:rPr>
              <w:rFonts w:hint="eastAsia" w:ascii="仿宋" w:hAnsi="仿宋" w:eastAsia="仿宋" w:cs="仿宋"/>
              <w:sz w:val="32"/>
              <w:szCs w:val="32"/>
            </w:rPr>
            <w:t>4</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23677CA6">
          <w:pPr>
            <w:pStyle w:val="15"/>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_Toc5714 </w:instrText>
          </w:r>
          <w:r>
            <w:rPr>
              <w:rFonts w:hint="eastAsia" w:ascii="仿宋" w:hAnsi="仿宋" w:eastAsia="仿宋" w:cs="仿宋"/>
              <w:sz w:val="32"/>
              <w:szCs w:val="32"/>
            </w:rPr>
            <w:fldChar w:fldCharType="separate"/>
          </w:r>
          <w:r>
            <w:rPr>
              <w:rFonts w:hint="eastAsia" w:ascii="仿宋" w:hAnsi="仿宋" w:eastAsia="仿宋" w:cs="仿宋"/>
              <w:bCs/>
              <w:sz w:val="32"/>
              <w:szCs w:val="32"/>
              <w:highlight w:val="none"/>
            </w:rPr>
            <w:t xml:space="preserve">第二部分 </w:t>
          </w:r>
          <w:r>
            <w:rPr>
              <w:rFonts w:hint="eastAsia" w:cs="仿宋"/>
              <w:bCs/>
              <w:sz w:val="32"/>
              <w:szCs w:val="32"/>
              <w:highlight w:val="none"/>
              <w:lang w:val="en-US" w:eastAsia="zh-CN"/>
            </w:rPr>
            <w:t>2023</w:t>
          </w:r>
          <w:r>
            <w:rPr>
              <w:rFonts w:hint="eastAsia" w:ascii="仿宋" w:hAnsi="仿宋" w:eastAsia="仿宋" w:cs="仿宋"/>
              <w:bCs/>
              <w:sz w:val="32"/>
              <w:szCs w:val="32"/>
              <w:highlight w:val="none"/>
              <w:lang w:val="en-US" w:eastAsia="zh-CN"/>
            </w:rPr>
            <w:t>年度</w:t>
          </w:r>
          <w:r>
            <w:rPr>
              <w:rFonts w:hint="eastAsia" w:ascii="仿宋" w:hAnsi="仿宋" w:eastAsia="仿宋" w:cs="仿宋"/>
              <w:bCs/>
              <w:sz w:val="32"/>
              <w:szCs w:val="32"/>
              <w:highlight w:val="none"/>
              <w:lang w:val="zh-CN" w:eastAsia="zh-CN"/>
            </w:rPr>
            <w:t>单位</w:t>
          </w:r>
          <w:r>
            <w:rPr>
              <w:rFonts w:hint="eastAsia" w:ascii="仿宋" w:hAnsi="仿宋" w:eastAsia="仿宋" w:cs="仿宋"/>
              <w:bCs/>
              <w:sz w:val="32"/>
              <w:szCs w:val="32"/>
              <w:highlight w:val="none"/>
              <w:lang w:val="en-US" w:eastAsia="zh-CN"/>
            </w:rPr>
            <w:t>决</w:t>
          </w:r>
          <w:r>
            <w:rPr>
              <w:rFonts w:hint="eastAsia" w:ascii="仿宋" w:hAnsi="仿宋" w:eastAsia="仿宋" w:cs="仿宋"/>
              <w:bCs/>
              <w:sz w:val="32"/>
              <w:szCs w:val="32"/>
              <w:highlight w:val="none"/>
            </w:rPr>
            <w:t>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_Toc5714 \h </w:instrText>
          </w:r>
          <w:r>
            <w:rPr>
              <w:rFonts w:hint="eastAsia" w:ascii="仿宋" w:hAnsi="仿宋" w:eastAsia="仿宋" w:cs="仿宋"/>
              <w:sz w:val="32"/>
              <w:szCs w:val="32"/>
            </w:rPr>
            <w:fldChar w:fldCharType="separate"/>
          </w:r>
          <w:r>
            <w:rPr>
              <w:rFonts w:hint="eastAsia" w:ascii="仿宋" w:hAnsi="仿宋" w:eastAsia="仿宋" w:cs="仿宋"/>
              <w:sz w:val="32"/>
              <w:szCs w:val="32"/>
            </w:rPr>
            <w:t>5</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26334DBB">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_Toc4023 </w:instrText>
          </w:r>
          <w:r>
            <w:rPr>
              <w:rFonts w:hint="eastAsia" w:ascii="仿宋" w:hAnsi="仿宋" w:eastAsia="仿宋" w:cs="仿宋"/>
              <w:sz w:val="32"/>
              <w:szCs w:val="32"/>
            </w:rPr>
            <w:fldChar w:fldCharType="separate"/>
          </w:r>
          <w:r>
            <w:rPr>
              <w:rFonts w:hint="eastAsia" w:ascii="仿宋" w:hAnsi="仿宋" w:eastAsia="仿宋" w:cs="仿宋"/>
              <w:sz w:val="32"/>
              <w:szCs w:val="32"/>
            </w:rPr>
            <w:t xml:space="preserve">一、 </w:t>
          </w:r>
          <w:r>
            <w:rPr>
              <w:rFonts w:hint="eastAsia" w:ascii="仿宋" w:hAnsi="仿宋" w:eastAsia="仿宋" w:cs="仿宋"/>
              <w:sz w:val="32"/>
              <w:szCs w:val="32"/>
              <w:highlight w:val="none"/>
            </w:rPr>
            <w:t>收入支出决算总体情况说明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_Toc4023 \h </w:instrText>
          </w:r>
          <w:r>
            <w:rPr>
              <w:rFonts w:hint="eastAsia" w:ascii="仿宋" w:hAnsi="仿宋" w:eastAsia="仿宋" w:cs="仿宋"/>
              <w:sz w:val="32"/>
              <w:szCs w:val="32"/>
            </w:rPr>
            <w:fldChar w:fldCharType="separate"/>
          </w:r>
          <w:r>
            <w:rPr>
              <w:rFonts w:hint="eastAsia" w:ascii="仿宋" w:hAnsi="仿宋" w:eastAsia="仿宋" w:cs="仿宋"/>
              <w:sz w:val="32"/>
              <w:szCs w:val="32"/>
            </w:rPr>
            <w:t>5</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0FF42431">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_Toc32188 </w:instrText>
          </w:r>
          <w:r>
            <w:rPr>
              <w:rFonts w:hint="eastAsia" w:ascii="仿宋" w:hAnsi="仿宋" w:eastAsia="仿宋" w:cs="仿宋"/>
              <w:sz w:val="32"/>
              <w:szCs w:val="32"/>
            </w:rPr>
            <w:fldChar w:fldCharType="separate"/>
          </w:r>
          <w:r>
            <w:rPr>
              <w:rFonts w:hint="eastAsia" w:ascii="仿宋" w:hAnsi="仿宋" w:eastAsia="仿宋" w:cs="仿宋"/>
              <w:sz w:val="32"/>
              <w:szCs w:val="32"/>
            </w:rPr>
            <w:t xml:space="preserve">二、 </w:t>
          </w:r>
          <w:r>
            <w:rPr>
              <w:rFonts w:hint="eastAsia" w:ascii="仿宋" w:hAnsi="仿宋" w:eastAsia="仿宋" w:cs="仿宋"/>
              <w:sz w:val="32"/>
              <w:szCs w:val="32"/>
              <w:highlight w:val="none"/>
            </w:rPr>
            <w:t>收入决算情况说明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_Toc32188 \h </w:instrText>
          </w:r>
          <w:r>
            <w:rPr>
              <w:rFonts w:hint="eastAsia" w:ascii="仿宋" w:hAnsi="仿宋" w:eastAsia="仿宋" w:cs="仿宋"/>
              <w:sz w:val="32"/>
              <w:szCs w:val="32"/>
            </w:rPr>
            <w:fldChar w:fldCharType="separate"/>
          </w:r>
          <w:r>
            <w:rPr>
              <w:rFonts w:hint="eastAsia" w:ascii="仿宋" w:hAnsi="仿宋" w:eastAsia="仿宋" w:cs="仿宋"/>
              <w:sz w:val="32"/>
              <w:szCs w:val="32"/>
            </w:rPr>
            <w:t>5</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58490ACE">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_Toc30654 </w:instrText>
          </w:r>
          <w:r>
            <w:rPr>
              <w:rFonts w:hint="eastAsia" w:ascii="仿宋" w:hAnsi="仿宋" w:eastAsia="仿宋" w:cs="仿宋"/>
              <w:sz w:val="32"/>
              <w:szCs w:val="32"/>
            </w:rPr>
            <w:fldChar w:fldCharType="separate"/>
          </w:r>
          <w:r>
            <w:rPr>
              <w:rFonts w:hint="eastAsia" w:ascii="仿宋" w:hAnsi="仿宋" w:eastAsia="仿宋" w:cs="仿宋"/>
              <w:sz w:val="32"/>
              <w:szCs w:val="32"/>
            </w:rPr>
            <w:t xml:space="preserve">三、 </w:t>
          </w:r>
          <w:r>
            <w:rPr>
              <w:rFonts w:hint="eastAsia" w:ascii="仿宋" w:hAnsi="仿宋" w:eastAsia="仿宋" w:cs="仿宋"/>
              <w:sz w:val="32"/>
              <w:szCs w:val="32"/>
              <w:highlight w:val="none"/>
            </w:rPr>
            <w:t>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_Toc30654 \h </w:instrText>
          </w:r>
          <w:r>
            <w:rPr>
              <w:rFonts w:hint="eastAsia" w:ascii="仿宋" w:hAnsi="仿宋" w:eastAsia="仿宋" w:cs="仿宋"/>
              <w:sz w:val="32"/>
              <w:szCs w:val="32"/>
            </w:rPr>
            <w:fldChar w:fldCharType="separate"/>
          </w:r>
          <w:r>
            <w:rPr>
              <w:rFonts w:hint="eastAsia" w:ascii="仿宋" w:hAnsi="仿宋" w:eastAsia="仿宋" w:cs="仿宋"/>
              <w:sz w:val="32"/>
              <w:szCs w:val="32"/>
            </w:rPr>
            <w:t>6</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79D8FD3A">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_Toc1396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四、财政拨款收入支出决算总体情况说明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_Toc1396 \h </w:instrText>
          </w:r>
          <w:r>
            <w:rPr>
              <w:rFonts w:hint="eastAsia" w:ascii="仿宋" w:hAnsi="仿宋" w:eastAsia="仿宋" w:cs="仿宋"/>
              <w:sz w:val="32"/>
              <w:szCs w:val="32"/>
            </w:rPr>
            <w:fldChar w:fldCharType="separate"/>
          </w:r>
          <w:r>
            <w:rPr>
              <w:rFonts w:hint="eastAsia" w:ascii="仿宋" w:hAnsi="仿宋" w:eastAsia="仿宋" w:cs="仿宋"/>
              <w:sz w:val="32"/>
              <w:szCs w:val="32"/>
            </w:rPr>
            <w:t>7</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35A2760E">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_Toc20815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五、一般公共预算财政拨款支出决算情况说明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_Toc20815 \h </w:instrText>
          </w:r>
          <w:r>
            <w:rPr>
              <w:rFonts w:hint="eastAsia" w:ascii="仿宋" w:hAnsi="仿宋" w:eastAsia="仿宋" w:cs="仿宋"/>
              <w:sz w:val="32"/>
              <w:szCs w:val="32"/>
            </w:rPr>
            <w:fldChar w:fldCharType="separate"/>
          </w:r>
          <w:r>
            <w:rPr>
              <w:rFonts w:hint="eastAsia" w:ascii="仿宋" w:hAnsi="仿宋" w:eastAsia="仿宋" w:cs="仿宋"/>
              <w:sz w:val="32"/>
              <w:szCs w:val="32"/>
            </w:rPr>
            <w:t>8</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42A99394">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_Toc5693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六、一般公共预算财政拨款基本支出决算情况说明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_Toc5693 \h </w:instrText>
          </w:r>
          <w:r>
            <w:rPr>
              <w:rFonts w:hint="eastAsia" w:ascii="仿宋" w:hAnsi="仿宋" w:eastAsia="仿宋" w:cs="仿宋"/>
              <w:sz w:val="32"/>
              <w:szCs w:val="32"/>
            </w:rPr>
            <w:fldChar w:fldCharType="separate"/>
          </w:r>
          <w:r>
            <w:rPr>
              <w:rFonts w:hint="eastAsia" w:ascii="仿宋" w:hAnsi="仿宋" w:eastAsia="仿宋" w:cs="仿宋"/>
              <w:sz w:val="32"/>
              <w:szCs w:val="32"/>
            </w:rPr>
            <w:t>12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03FF0AFD">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_Toc30630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七、</w:t>
          </w:r>
          <w:r>
            <w:rPr>
              <w:rFonts w:hint="eastAsia" w:ascii="仿宋" w:hAnsi="仿宋" w:eastAsia="仿宋" w:cs="仿宋"/>
              <w:sz w:val="32"/>
              <w:szCs w:val="32"/>
            </w:rPr>
            <w:t>财政拨款“三公”经费支出决算情况说明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_Toc30630 \h </w:instrText>
          </w:r>
          <w:r>
            <w:rPr>
              <w:rFonts w:hint="eastAsia" w:ascii="仿宋" w:hAnsi="仿宋" w:eastAsia="仿宋" w:cs="仿宋"/>
              <w:sz w:val="32"/>
              <w:szCs w:val="32"/>
            </w:rPr>
            <w:fldChar w:fldCharType="separate"/>
          </w:r>
          <w:r>
            <w:rPr>
              <w:rFonts w:hint="eastAsia" w:ascii="仿宋" w:hAnsi="仿宋" w:eastAsia="仿宋" w:cs="仿宋"/>
              <w:sz w:val="32"/>
              <w:szCs w:val="32"/>
            </w:rPr>
            <w:t>12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0ECA3F9A">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_Toc1470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八、政府性基金预算支出决算情况说明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_Toc1470 \h </w:instrText>
          </w:r>
          <w:r>
            <w:rPr>
              <w:rFonts w:hint="eastAsia" w:ascii="仿宋" w:hAnsi="仿宋" w:eastAsia="仿宋" w:cs="仿宋"/>
              <w:sz w:val="32"/>
              <w:szCs w:val="32"/>
            </w:rPr>
            <w:fldChar w:fldCharType="separate"/>
          </w:r>
          <w:r>
            <w:rPr>
              <w:rFonts w:hint="eastAsia" w:ascii="仿宋" w:hAnsi="仿宋" w:eastAsia="仿宋" w:cs="仿宋"/>
              <w:sz w:val="32"/>
              <w:szCs w:val="32"/>
            </w:rPr>
            <w:t>14</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29716FE4">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_Toc15275 </w:instrText>
          </w:r>
          <w:r>
            <w:rPr>
              <w:rFonts w:hint="eastAsia" w:ascii="仿宋" w:hAnsi="仿宋" w:eastAsia="仿宋" w:cs="仿宋"/>
              <w:sz w:val="32"/>
              <w:szCs w:val="32"/>
            </w:rPr>
            <w:fldChar w:fldCharType="separate"/>
          </w:r>
          <w:r>
            <w:rPr>
              <w:rFonts w:hint="eastAsia" w:ascii="仿宋" w:hAnsi="仿宋" w:eastAsia="仿宋" w:cs="仿宋"/>
              <w:sz w:val="32"/>
              <w:szCs w:val="32"/>
            </w:rPr>
            <w:t xml:space="preserve">九、 </w:t>
          </w:r>
          <w:r>
            <w:rPr>
              <w:rFonts w:hint="eastAsia" w:ascii="仿宋" w:hAnsi="仿宋" w:eastAsia="仿宋" w:cs="仿宋"/>
              <w:sz w:val="32"/>
              <w:szCs w:val="32"/>
              <w:highlight w:val="none"/>
            </w:rPr>
            <w:t>国有资本经营预算支出决算情况说明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_Toc15275 \h </w:instrText>
          </w:r>
          <w:r>
            <w:rPr>
              <w:rFonts w:hint="eastAsia" w:ascii="仿宋" w:hAnsi="仿宋" w:eastAsia="仿宋" w:cs="仿宋"/>
              <w:sz w:val="32"/>
              <w:szCs w:val="32"/>
            </w:rPr>
            <w:fldChar w:fldCharType="separate"/>
          </w:r>
          <w:r>
            <w:rPr>
              <w:rFonts w:hint="eastAsia" w:ascii="仿宋" w:hAnsi="仿宋" w:eastAsia="仿宋" w:cs="仿宋"/>
              <w:sz w:val="32"/>
              <w:szCs w:val="32"/>
            </w:rPr>
            <w:t>14</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79E53B3C">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_Toc21431 </w:instrText>
          </w:r>
          <w:r>
            <w:rPr>
              <w:rFonts w:hint="eastAsia" w:ascii="仿宋" w:hAnsi="仿宋" w:eastAsia="仿宋" w:cs="仿宋"/>
              <w:sz w:val="32"/>
              <w:szCs w:val="32"/>
            </w:rPr>
            <w:fldChar w:fldCharType="separate"/>
          </w:r>
          <w:r>
            <w:rPr>
              <w:rFonts w:hint="eastAsia" w:ascii="仿宋" w:hAnsi="仿宋" w:eastAsia="仿宋" w:cs="仿宋"/>
              <w:sz w:val="32"/>
              <w:szCs w:val="32"/>
            </w:rPr>
            <w:t xml:space="preserve">十、 </w:t>
          </w:r>
          <w:r>
            <w:rPr>
              <w:rFonts w:hint="eastAsia" w:ascii="仿宋" w:hAnsi="仿宋" w:eastAsia="仿宋" w:cs="仿宋"/>
              <w:sz w:val="32"/>
              <w:szCs w:val="32"/>
              <w:highlight w:val="none"/>
            </w:rPr>
            <w:t>其他重要事项的情况说明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_Toc21431 \h </w:instrText>
          </w:r>
          <w:r>
            <w:rPr>
              <w:rFonts w:hint="eastAsia" w:ascii="仿宋" w:hAnsi="仿宋" w:eastAsia="仿宋" w:cs="仿宋"/>
              <w:sz w:val="32"/>
              <w:szCs w:val="32"/>
            </w:rPr>
            <w:fldChar w:fldCharType="separate"/>
          </w:r>
          <w:r>
            <w:rPr>
              <w:rFonts w:hint="eastAsia" w:ascii="仿宋" w:hAnsi="仿宋" w:eastAsia="仿宋" w:cs="仿宋"/>
              <w:sz w:val="32"/>
              <w:szCs w:val="32"/>
            </w:rPr>
            <w:t>14</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5EFF362B">
          <w:pPr>
            <w:pStyle w:val="15"/>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_Toc3784 </w:instrText>
          </w:r>
          <w:r>
            <w:rPr>
              <w:rFonts w:hint="eastAsia" w:ascii="仿宋" w:hAnsi="仿宋" w:eastAsia="仿宋" w:cs="仿宋"/>
              <w:sz w:val="32"/>
              <w:szCs w:val="32"/>
            </w:rPr>
            <w:fldChar w:fldCharType="separate"/>
          </w:r>
          <w:r>
            <w:rPr>
              <w:rFonts w:hint="eastAsia" w:ascii="仿宋" w:hAnsi="仿宋" w:eastAsia="仿宋" w:cs="仿宋"/>
              <w:sz w:val="32"/>
              <w:szCs w:val="32"/>
            </w:rPr>
            <w:t xml:space="preserve">第三部分 </w:t>
          </w:r>
          <w:r>
            <w:rPr>
              <w:rFonts w:hint="eastAsia" w:ascii="仿宋" w:hAnsi="仿宋" w:eastAsia="仿宋" w:cs="仿宋"/>
              <w:sz w:val="32"/>
              <w:szCs w:val="32"/>
              <w:highlight w:val="none"/>
            </w:rPr>
            <w:t>名词解释</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_Toc3784 \h </w:instrText>
          </w:r>
          <w:r>
            <w:rPr>
              <w:rFonts w:hint="eastAsia" w:ascii="仿宋" w:hAnsi="仿宋" w:eastAsia="仿宋" w:cs="仿宋"/>
              <w:sz w:val="32"/>
              <w:szCs w:val="32"/>
            </w:rPr>
            <w:fldChar w:fldCharType="separate"/>
          </w:r>
          <w:r>
            <w:rPr>
              <w:rFonts w:hint="eastAsia" w:ascii="仿宋" w:hAnsi="仿宋" w:eastAsia="仿宋" w:cs="仿宋"/>
              <w:sz w:val="32"/>
              <w:szCs w:val="32"/>
            </w:rPr>
            <w:t>16</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78890D5F">
          <w:pPr>
            <w:pStyle w:val="15"/>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_Toc493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第四部分 附件</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_Toc493 \h </w:instrText>
          </w:r>
          <w:r>
            <w:rPr>
              <w:rFonts w:hint="eastAsia" w:ascii="仿宋" w:hAnsi="仿宋" w:eastAsia="仿宋" w:cs="仿宋"/>
              <w:sz w:val="32"/>
              <w:szCs w:val="32"/>
            </w:rPr>
            <w:fldChar w:fldCharType="separate"/>
          </w:r>
          <w:r>
            <w:rPr>
              <w:rFonts w:hint="eastAsia" w:ascii="仿宋" w:hAnsi="仿宋" w:eastAsia="仿宋" w:cs="仿宋"/>
              <w:sz w:val="32"/>
              <w:szCs w:val="32"/>
            </w:rPr>
            <w:t>20</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1D9C15B0">
          <w:pPr>
            <w:pStyle w:val="15"/>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_Toc24504 </w:instrText>
          </w:r>
          <w:r>
            <w:rPr>
              <w:rFonts w:hint="eastAsia" w:ascii="仿宋" w:hAnsi="仿宋" w:eastAsia="仿宋" w:cs="仿宋"/>
              <w:sz w:val="32"/>
              <w:szCs w:val="32"/>
            </w:rPr>
            <w:fldChar w:fldCharType="separate"/>
          </w:r>
          <w:r>
            <w:rPr>
              <w:rFonts w:hint="eastAsia" w:ascii="仿宋" w:hAnsi="仿宋" w:eastAsia="仿宋" w:cs="仿宋"/>
              <w:sz w:val="32"/>
              <w:szCs w:val="32"/>
            </w:rPr>
            <w:t>第五部分 附表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_Toc24504 \h </w:instrText>
          </w:r>
          <w:r>
            <w:rPr>
              <w:rFonts w:hint="eastAsia" w:ascii="仿宋" w:hAnsi="仿宋" w:eastAsia="仿宋" w:cs="仿宋"/>
              <w:sz w:val="32"/>
              <w:szCs w:val="32"/>
            </w:rPr>
            <w:fldChar w:fldCharType="separate"/>
          </w:r>
          <w:r>
            <w:rPr>
              <w:rFonts w:hint="eastAsia" w:ascii="仿宋" w:hAnsi="仿宋" w:eastAsia="仿宋" w:cs="仿宋"/>
              <w:sz w:val="32"/>
              <w:szCs w:val="32"/>
            </w:rPr>
            <w:t>28</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565972A3">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_Toc13620 </w:instrText>
          </w:r>
          <w:r>
            <w:rPr>
              <w:rFonts w:hint="eastAsia" w:ascii="仿宋" w:hAnsi="仿宋" w:eastAsia="仿宋" w:cs="仿宋"/>
              <w:sz w:val="32"/>
              <w:szCs w:val="32"/>
            </w:rPr>
            <w:fldChar w:fldCharType="separate"/>
          </w:r>
          <w:r>
            <w:rPr>
              <w:rFonts w:hint="eastAsia" w:ascii="仿宋" w:hAnsi="仿宋" w:eastAsia="仿宋" w:cs="仿宋"/>
              <w:sz w:val="32"/>
              <w:szCs w:val="32"/>
            </w:rPr>
            <w:t>一、收</w:t>
          </w:r>
          <w:r>
            <w:rPr>
              <w:rFonts w:hint="eastAsia" w:ascii="仿宋" w:hAnsi="仿宋" w:eastAsia="仿宋" w:cs="仿宋"/>
              <w:bCs w:val="0"/>
              <w:sz w:val="32"/>
              <w:szCs w:val="32"/>
            </w:rPr>
            <w:t>入支出决算总表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_Toc13620 \h </w:instrText>
          </w:r>
          <w:r>
            <w:rPr>
              <w:rFonts w:hint="eastAsia" w:ascii="仿宋" w:hAnsi="仿宋" w:eastAsia="仿宋" w:cs="仿宋"/>
              <w:sz w:val="32"/>
              <w:szCs w:val="32"/>
            </w:rPr>
            <w:fldChar w:fldCharType="separate"/>
          </w:r>
          <w:r>
            <w:rPr>
              <w:rFonts w:hint="eastAsia" w:ascii="仿宋" w:hAnsi="仿宋" w:eastAsia="仿宋" w:cs="仿宋"/>
              <w:sz w:val="32"/>
              <w:szCs w:val="32"/>
            </w:rPr>
            <w:t>28</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27CDF629">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_Toc20485 </w:instrText>
          </w:r>
          <w:r>
            <w:rPr>
              <w:rFonts w:hint="eastAsia" w:ascii="仿宋" w:hAnsi="仿宋" w:eastAsia="仿宋" w:cs="仿宋"/>
              <w:sz w:val="32"/>
              <w:szCs w:val="32"/>
            </w:rPr>
            <w:fldChar w:fldCharType="separate"/>
          </w:r>
          <w:r>
            <w:rPr>
              <w:rFonts w:hint="eastAsia" w:ascii="仿宋" w:hAnsi="仿宋" w:eastAsia="仿宋" w:cs="仿宋"/>
              <w:sz w:val="32"/>
              <w:szCs w:val="32"/>
            </w:rPr>
            <w:t>二、收</w:t>
          </w:r>
          <w:r>
            <w:rPr>
              <w:rFonts w:hint="eastAsia" w:ascii="仿宋" w:hAnsi="仿宋" w:eastAsia="仿宋" w:cs="仿宋"/>
              <w:bCs w:val="0"/>
              <w:sz w:val="32"/>
              <w:szCs w:val="32"/>
            </w:rPr>
            <w:t>入决算表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_Toc20485 \h </w:instrText>
          </w:r>
          <w:r>
            <w:rPr>
              <w:rFonts w:hint="eastAsia" w:ascii="仿宋" w:hAnsi="仿宋" w:eastAsia="仿宋" w:cs="仿宋"/>
              <w:sz w:val="32"/>
              <w:szCs w:val="32"/>
            </w:rPr>
            <w:fldChar w:fldCharType="separate"/>
          </w:r>
          <w:r>
            <w:rPr>
              <w:rFonts w:hint="eastAsia" w:ascii="仿宋" w:hAnsi="仿宋" w:eastAsia="仿宋" w:cs="仿宋"/>
              <w:sz w:val="32"/>
              <w:szCs w:val="32"/>
            </w:rPr>
            <w:t>28</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08DFC498">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_Toc8497 </w:instrText>
          </w:r>
          <w:r>
            <w:rPr>
              <w:rFonts w:hint="eastAsia" w:ascii="仿宋" w:hAnsi="仿宋" w:eastAsia="仿宋" w:cs="仿宋"/>
              <w:sz w:val="32"/>
              <w:szCs w:val="32"/>
            </w:rPr>
            <w:fldChar w:fldCharType="separate"/>
          </w:r>
          <w:r>
            <w:rPr>
              <w:rFonts w:hint="eastAsia" w:ascii="仿宋" w:hAnsi="仿宋" w:eastAsia="仿宋" w:cs="仿宋"/>
              <w:bCs w:val="0"/>
              <w:sz w:val="32"/>
              <w:szCs w:val="32"/>
            </w:rPr>
            <w:t>三、</w:t>
          </w:r>
          <w:r>
            <w:rPr>
              <w:rFonts w:hint="eastAsia" w:ascii="仿宋" w:hAnsi="仿宋" w:eastAsia="仿宋" w:cs="仿宋"/>
              <w:sz w:val="32"/>
              <w:szCs w:val="32"/>
            </w:rPr>
            <w:t>支</w:t>
          </w:r>
          <w:r>
            <w:rPr>
              <w:rFonts w:hint="eastAsia" w:ascii="仿宋" w:hAnsi="仿宋" w:eastAsia="仿宋" w:cs="仿宋"/>
              <w:bCs w:val="0"/>
              <w:sz w:val="32"/>
              <w:szCs w:val="32"/>
            </w:rPr>
            <w:t>出决算表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_Toc8497 \h </w:instrText>
          </w:r>
          <w:r>
            <w:rPr>
              <w:rFonts w:hint="eastAsia" w:ascii="仿宋" w:hAnsi="仿宋" w:eastAsia="仿宋" w:cs="仿宋"/>
              <w:sz w:val="32"/>
              <w:szCs w:val="32"/>
            </w:rPr>
            <w:fldChar w:fldCharType="separate"/>
          </w:r>
          <w:r>
            <w:rPr>
              <w:rFonts w:hint="eastAsia" w:ascii="仿宋" w:hAnsi="仿宋" w:eastAsia="仿宋" w:cs="仿宋"/>
              <w:sz w:val="32"/>
              <w:szCs w:val="32"/>
            </w:rPr>
            <w:t>28</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635F2360">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_Toc11908 </w:instrText>
          </w:r>
          <w:r>
            <w:rPr>
              <w:rFonts w:hint="eastAsia" w:ascii="仿宋" w:hAnsi="仿宋" w:eastAsia="仿宋" w:cs="仿宋"/>
              <w:sz w:val="32"/>
              <w:szCs w:val="32"/>
            </w:rPr>
            <w:fldChar w:fldCharType="separate"/>
          </w:r>
          <w:r>
            <w:rPr>
              <w:rFonts w:hint="eastAsia" w:ascii="仿宋" w:hAnsi="仿宋" w:eastAsia="仿宋" w:cs="仿宋"/>
              <w:bCs w:val="0"/>
              <w:sz w:val="32"/>
              <w:szCs w:val="32"/>
            </w:rPr>
            <w:t>四、</w:t>
          </w:r>
          <w:r>
            <w:rPr>
              <w:rFonts w:hint="eastAsia" w:ascii="仿宋" w:hAnsi="仿宋" w:eastAsia="仿宋" w:cs="仿宋"/>
              <w:sz w:val="32"/>
              <w:szCs w:val="32"/>
            </w:rPr>
            <w:t>财</w:t>
          </w:r>
          <w:r>
            <w:rPr>
              <w:rFonts w:hint="eastAsia" w:ascii="仿宋" w:hAnsi="仿宋" w:eastAsia="仿宋" w:cs="仿宋"/>
              <w:bCs w:val="0"/>
              <w:sz w:val="32"/>
              <w:szCs w:val="32"/>
            </w:rPr>
            <w:t>政拨款收入支出决算总表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_Toc11908 \h </w:instrText>
          </w:r>
          <w:r>
            <w:rPr>
              <w:rFonts w:hint="eastAsia" w:ascii="仿宋" w:hAnsi="仿宋" w:eastAsia="仿宋" w:cs="仿宋"/>
              <w:sz w:val="32"/>
              <w:szCs w:val="32"/>
            </w:rPr>
            <w:fldChar w:fldCharType="separate"/>
          </w:r>
          <w:r>
            <w:rPr>
              <w:rFonts w:hint="eastAsia" w:ascii="仿宋" w:hAnsi="仿宋" w:eastAsia="仿宋" w:cs="仿宋"/>
              <w:sz w:val="32"/>
              <w:szCs w:val="32"/>
            </w:rPr>
            <w:t>28</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3D197DC5">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_Toc4854 </w:instrText>
          </w:r>
          <w:r>
            <w:rPr>
              <w:rFonts w:hint="eastAsia" w:ascii="仿宋" w:hAnsi="仿宋" w:eastAsia="仿宋" w:cs="仿宋"/>
              <w:sz w:val="32"/>
              <w:szCs w:val="32"/>
            </w:rPr>
            <w:fldChar w:fldCharType="separate"/>
          </w:r>
          <w:r>
            <w:rPr>
              <w:rFonts w:hint="eastAsia" w:ascii="仿宋" w:hAnsi="仿宋" w:eastAsia="仿宋" w:cs="仿宋"/>
              <w:bCs w:val="0"/>
              <w:sz w:val="32"/>
              <w:szCs w:val="32"/>
            </w:rPr>
            <w:t>五、</w:t>
          </w:r>
          <w:r>
            <w:rPr>
              <w:rFonts w:hint="eastAsia" w:ascii="仿宋" w:hAnsi="仿宋" w:eastAsia="仿宋" w:cs="仿宋"/>
              <w:sz w:val="32"/>
              <w:szCs w:val="32"/>
            </w:rPr>
            <w:t>财</w:t>
          </w:r>
          <w:r>
            <w:rPr>
              <w:rFonts w:hint="eastAsia" w:ascii="仿宋" w:hAnsi="仿宋" w:eastAsia="仿宋" w:cs="仿宋"/>
              <w:bCs w:val="0"/>
              <w:sz w:val="32"/>
              <w:szCs w:val="32"/>
            </w:rPr>
            <w:t>政拨款支出决算明细表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_Toc4854 \h </w:instrText>
          </w:r>
          <w:r>
            <w:rPr>
              <w:rFonts w:hint="eastAsia" w:ascii="仿宋" w:hAnsi="仿宋" w:eastAsia="仿宋" w:cs="仿宋"/>
              <w:sz w:val="32"/>
              <w:szCs w:val="32"/>
            </w:rPr>
            <w:fldChar w:fldCharType="separate"/>
          </w:r>
          <w:r>
            <w:rPr>
              <w:rFonts w:hint="eastAsia" w:ascii="仿宋" w:hAnsi="仿宋" w:eastAsia="仿宋" w:cs="仿宋"/>
              <w:sz w:val="32"/>
              <w:szCs w:val="32"/>
            </w:rPr>
            <w:t>28</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273393A7">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_Toc21392 </w:instrText>
          </w:r>
          <w:r>
            <w:rPr>
              <w:rFonts w:hint="eastAsia" w:ascii="仿宋" w:hAnsi="仿宋" w:eastAsia="仿宋" w:cs="仿宋"/>
              <w:sz w:val="32"/>
              <w:szCs w:val="32"/>
            </w:rPr>
            <w:fldChar w:fldCharType="separate"/>
          </w:r>
          <w:r>
            <w:rPr>
              <w:rFonts w:hint="eastAsia" w:ascii="仿宋" w:hAnsi="仿宋" w:eastAsia="仿宋" w:cs="仿宋"/>
              <w:bCs w:val="0"/>
              <w:sz w:val="32"/>
              <w:szCs w:val="32"/>
            </w:rPr>
            <w:t>六、</w:t>
          </w:r>
          <w:r>
            <w:rPr>
              <w:rFonts w:hint="eastAsia" w:ascii="仿宋" w:hAnsi="仿宋" w:eastAsia="仿宋" w:cs="仿宋"/>
              <w:sz w:val="32"/>
              <w:szCs w:val="32"/>
            </w:rPr>
            <w:t>一</w:t>
          </w:r>
          <w:r>
            <w:rPr>
              <w:rFonts w:hint="eastAsia" w:ascii="仿宋" w:hAnsi="仿宋" w:eastAsia="仿宋" w:cs="仿宋"/>
              <w:bCs w:val="0"/>
              <w:sz w:val="32"/>
              <w:szCs w:val="32"/>
            </w:rPr>
            <w:t>般公共预算财政拨款支出决算表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_Toc21392 \h </w:instrText>
          </w:r>
          <w:r>
            <w:rPr>
              <w:rFonts w:hint="eastAsia" w:ascii="仿宋" w:hAnsi="仿宋" w:eastAsia="仿宋" w:cs="仿宋"/>
              <w:sz w:val="32"/>
              <w:szCs w:val="32"/>
            </w:rPr>
            <w:fldChar w:fldCharType="separate"/>
          </w:r>
          <w:r>
            <w:rPr>
              <w:rFonts w:hint="eastAsia" w:ascii="仿宋" w:hAnsi="仿宋" w:eastAsia="仿宋" w:cs="仿宋"/>
              <w:sz w:val="32"/>
              <w:szCs w:val="32"/>
            </w:rPr>
            <w:t>28</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3D1EC6D0">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_Toc20069 </w:instrText>
          </w:r>
          <w:r>
            <w:rPr>
              <w:rFonts w:hint="eastAsia" w:ascii="仿宋" w:hAnsi="仿宋" w:eastAsia="仿宋" w:cs="仿宋"/>
              <w:sz w:val="32"/>
              <w:szCs w:val="32"/>
            </w:rPr>
            <w:fldChar w:fldCharType="separate"/>
          </w:r>
          <w:r>
            <w:rPr>
              <w:rFonts w:hint="eastAsia" w:ascii="仿宋" w:hAnsi="仿宋" w:eastAsia="仿宋" w:cs="仿宋"/>
              <w:bCs w:val="0"/>
              <w:sz w:val="32"/>
              <w:szCs w:val="32"/>
            </w:rPr>
            <w:t>七、</w:t>
          </w:r>
          <w:r>
            <w:rPr>
              <w:rFonts w:hint="eastAsia" w:ascii="仿宋" w:hAnsi="仿宋" w:eastAsia="仿宋" w:cs="仿宋"/>
              <w:sz w:val="32"/>
              <w:szCs w:val="32"/>
            </w:rPr>
            <w:t>一</w:t>
          </w:r>
          <w:r>
            <w:rPr>
              <w:rFonts w:hint="eastAsia" w:ascii="仿宋" w:hAnsi="仿宋" w:eastAsia="仿宋" w:cs="仿宋"/>
              <w:bCs w:val="0"/>
              <w:sz w:val="32"/>
              <w:szCs w:val="32"/>
            </w:rPr>
            <w:t>般公共预算财政拨款支出决算明细表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_Toc20069 \h </w:instrText>
          </w:r>
          <w:r>
            <w:rPr>
              <w:rFonts w:hint="eastAsia" w:ascii="仿宋" w:hAnsi="仿宋" w:eastAsia="仿宋" w:cs="仿宋"/>
              <w:sz w:val="32"/>
              <w:szCs w:val="32"/>
            </w:rPr>
            <w:fldChar w:fldCharType="separate"/>
          </w:r>
          <w:r>
            <w:rPr>
              <w:rFonts w:hint="eastAsia" w:ascii="仿宋" w:hAnsi="仿宋" w:eastAsia="仿宋" w:cs="仿宋"/>
              <w:sz w:val="32"/>
              <w:szCs w:val="32"/>
            </w:rPr>
            <w:t>28</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1ADF03B0">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_Toc21675 </w:instrText>
          </w:r>
          <w:r>
            <w:rPr>
              <w:rFonts w:hint="eastAsia" w:ascii="仿宋" w:hAnsi="仿宋" w:eastAsia="仿宋" w:cs="仿宋"/>
              <w:sz w:val="32"/>
              <w:szCs w:val="32"/>
            </w:rPr>
            <w:fldChar w:fldCharType="separate"/>
          </w:r>
          <w:r>
            <w:rPr>
              <w:rFonts w:hint="eastAsia" w:ascii="仿宋" w:hAnsi="仿宋" w:eastAsia="仿宋" w:cs="仿宋"/>
              <w:bCs w:val="0"/>
              <w:sz w:val="32"/>
              <w:szCs w:val="32"/>
            </w:rPr>
            <w:t>八、</w:t>
          </w:r>
          <w:r>
            <w:rPr>
              <w:rFonts w:hint="eastAsia" w:ascii="仿宋" w:hAnsi="仿宋" w:eastAsia="仿宋" w:cs="仿宋"/>
              <w:sz w:val="32"/>
              <w:szCs w:val="32"/>
            </w:rPr>
            <w:t>一</w:t>
          </w:r>
          <w:r>
            <w:rPr>
              <w:rFonts w:hint="eastAsia" w:ascii="仿宋" w:hAnsi="仿宋" w:eastAsia="仿宋" w:cs="仿宋"/>
              <w:bCs w:val="0"/>
              <w:sz w:val="32"/>
              <w:szCs w:val="32"/>
            </w:rPr>
            <w:t>般公共预算财政拨款基本支出决算表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_Toc21675 \h </w:instrText>
          </w:r>
          <w:r>
            <w:rPr>
              <w:rFonts w:hint="eastAsia" w:ascii="仿宋" w:hAnsi="仿宋" w:eastAsia="仿宋" w:cs="仿宋"/>
              <w:sz w:val="32"/>
              <w:szCs w:val="32"/>
            </w:rPr>
            <w:fldChar w:fldCharType="separate"/>
          </w:r>
          <w:r>
            <w:rPr>
              <w:rFonts w:hint="eastAsia" w:ascii="仿宋" w:hAnsi="仿宋" w:eastAsia="仿宋" w:cs="仿宋"/>
              <w:sz w:val="32"/>
              <w:szCs w:val="32"/>
            </w:rPr>
            <w:t>28</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0CC0EF56">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_Toc6007 </w:instrText>
          </w:r>
          <w:r>
            <w:rPr>
              <w:rFonts w:hint="eastAsia" w:ascii="仿宋" w:hAnsi="仿宋" w:eastAsia="仿宋" w:cs="仿宋"/>
              <w:sz w:val="32"/>
              <w:szCs w:val="32"/>
            </w:rPr>
            <w:fldChar w:fldCharType="separate"/>
          </w:r>
          <w:r>
            <w:rPr>
              <w:rFonts w:hint="eastAsia" w:ascii="仿宋" w:hAnsi="仿宋" w:eastAsia="仿宋" w:cs="仿宋"/>
              <w:bCs w:val="0"/>
              <w:sz w:val="32"/>
              <w:szCs w:val="32"/>
            </w:rPr>
            <w:t>九、</w:t>
          </w:r>
          <w:r>
            <w:rPr>
              <w:rFonts w:hint="eastAsia" w:ascii="仿宋" w:hAnsi="仿宋" w:eastAsia="仿宋" w:cs="仿宋"/>
              <w:sz w:val="32"/>
              <w:szCs w:val="32"/>
            </w:rPr>
            <w:t>一</w:t>
          </w:r>
          <w:r>
            <w:rPr>
              <w:rFonts w:hint="eastAsia" w:ascii="仿宋" w:hAnsi="仿宋" w:eastAsia="仿宋" w:cs="仿宋"/>
              <w:bCs w:val="0"/>
              <w:sz w:val="32"/>
              <w:szCs w:val="32"/>
            </w:rPr>
            <w:t>般公共预算财政拨款项目支出决算表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_Toc6007 \h </w:instrText>
          </w:r>
          <w:r>
            <w:rPr>
              <w:rFonts w:hint="eastAsia" w:ascii="仿宋" w:hAnsi="仿宋" w:eastAsia="仿宋" w:cs="仿宋"/>
              <w:sz w:val="32"/>
              <w:szCs w:val="32"/>
            </w:rPr>
            <w:fldChar w:fldCharType="separate"/>
          </w:r>
          <w:r>
            <w:rPr>
              <w:rFonts w:hint="eastAsia" w:ascii="仿宋" w:hAnsi="仿宋" w:eastAsia="仿宋" w:cs="仿宋"/>
              <w:sz w:val="32"/>
              <w:szCs w:val="32"/>
            </w:rPr>
            <w:t>28</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26FBCF9C">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_Toc24680 </w:instrText>
          </w:r>
          <w:r>
            <w:rPr>
              <w:rFonts w:hint="eastAsia" w:ascii="仿宋" w:hAnsi="仿宋" w:eastAsia="仿宋" w:cs="仿宋"/>
              <w:sz w:val="32"/>
              <w:szCs w:val="32"/>
            </w:rPr>
            <w:fldChar w:fldCharType="separate"/>
          </w:r>
          <w:r>
            <w:rPr>
              <w:rFonts w:hint="eastAsia" w:ascii="仿宋" w:hAnsi="仿宋" w:eastAsia="仿宋" w:cs="仿宋"/>
              <w:bCs w:val="0"/>
              <w:sz w:val="32"/>
              <w:szCs w:val="32"/>
            </w:rPr>
            <w:t>十、</w:t>
          </w:r>
          <w:r>
            <w:rPr>
              <w:rFonts w:hint="eastAsia" w:ascii="仿宋" w:hAnsi="仿宋" w:eastAsia="仿宋" w:cs="仿宋"/>
              <w:sz w:val="32"/>
              <w:szCs w:val="32"/>
            </w:rPr>
            <w:t>政</w:t>
          </w:r>
          <w:r>
            <w:rPr>
              <w:rFonts w:hint="eastAsia" w:ascii="仿宋" w:hAnsi="仿宋" w:eastAsia="仿宋" w:cs="仿宋"/>
              <w:bCs w:val="0"/>
              <w:sz w:val="32"/>
              <w:szCs w:val="32"/>
            </w:rPr>
            <w:t>府性基金预算财政拨款收入支出决算表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_Toc24680 \h </w:instrText>
          </w:r>
          <w:r>
            <w:rPr>
              <w:rFonts w:hint="eastAsia" w:ascii="仿宋" w:hAnsi="仿宋" w:eastAsia="仿宋" w:cs="仿宋"/>
              <w:sz w:val="32"/>
              <w:szCs w:val="32"/>
            </w:rPr>
            <w:fldChar w:fldCharType="separate"/>
          </w:r>
          <w:r>
            <w:rPr>
              <w:rFonts w:hint="eastAsia" w:ascii="仿宋" w:hAnsi="仿宋" w:eastAsia="仿宋" w:cs="仿宋"/>
              <w:sz w:val="32"/>
              <w:szCs w:val="32"/>
            </w:rPr>
            <w:t>28</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2B5C44CF">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_Toc23307 </w:instrText>
          </w:r>
          <w:r>
            <w:rPr>
              <w:rFonts w:hint="eastAsia" w:ascii="仿宋" w:hAnsi="仿宋" w:eastAsia="仿宋" w:cs="仿宋"/>
              <w:sz w:val="32"/>
              <w:szCs w:val="32"/>
            </w:rPr>
            <w:fldChar w:fldCharType="separate"/>
          </w:r>
          <w:r>
            <w:rPr>
              <w:rFonts w:hint="eastAsia" w:ascii="仿宋" w:hAnsi="仿宋" w:eastAsia="仿宋" w:cs="仿宋"/>
              <w:bCs w:val="0"/>
              <w:sz w:val="32"/>
              <w:szCs w:val="32"/>
            </w:rPr>
            <w:t>十一、</w:t>
          </w:r>
          <w:r>
            <w:rPr>
              <w:rFonts w:hint="eastAsia" w:ascii="仿宋" w:hAnsi="仿宋" w:eastAsia="仿宋" w:cs="仿宋"/>
              <w:sz w:val="32"/>
              <w:szCs w:val="32"/>
            </w:rPr>
            <w:t>国</w:t>
          </w:r>
          <w:r>
            <w:rPr>
              <w:rFonts w:hint="eastAsia" w:ascii="仿宋" w:hAnsi="仿宋" w:eastAsia="仿宋" w:cs="仿宋"/>
              <w:bCs w:val="0"/>
              <w:sz w:val="32"/>
              <w:szCs w:val="32"/>
            </w:rPr>
            <w:t>有资本经营预算财政拨款收入支出决算表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_Toc23307 \h </w:instrText>
          </w:r>
          <w:r>
            <w:rPr>
              <w:rFonts w:hint="eastAsia" w:ascii="仿宋" w:hAnsi="仿宋" w:eastAsia="仿宋" w:cs="仿宋"/>
              <w:sz w:val="32"/>
              <w:szCs w:val="32"/>
            </w:rPr>
            <w:fldChar w:fldCharType="separate"/>
          </w:r>
          <w:r>
            <w:rPr>
              <w:rFonts w:hint="eastAsia" w:ascii="仿宋" w:hAnsi="仿宋" w:eastAsia="仿宋" w:cs="仿宋"/>
              <w:sz w:val="32"/>
              <w:szCs w:val="32"/>
            </w:rPr>
            <w:t>28</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3B916555">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_Toc3698 </w:instrText>
          </w:r>
          <w:r>
            <w:rPr>
              <w:rFonts w:hint="eastAsia" w:ascii="仿宋" w:hAnsi="仿宋" w:eastAsia="仿宋" w:cs="仿宋"/>
              <w:sz w:val="32"/>
              <w:szCs w:val="32"/>
            </w:rPr>
            <w:fldChar w:fldCharType="separate"/>
          </w:r>
          <w:r>
            <w:rPr>
              <w:rFonts w:hint="eastAsia" w:ascii="仿宋" w:hAnsi="仿宋" w:eastAsia="仿宋" w:cs="仿宋"/>
              <w:bCs w:val="0"/>
              <w:sz w:val="32"/>
              <w:szCs w:val="32"/>
            </w:rPr>
            <w:t>十二、国有资本经营预算财政拨款支出决算表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_Toc3698 \h </w:instrText>
          </w:r>
          <w:r>
            <w:rPr>
              <w:rFonts w:hint="eastAsia" w:ascii="仿宋" w:hAnsi="仿宋" w:eastAsia="仿宋" w:cs="仿宋"/>
              <w:sz w:val="32"/>
              <w:szCs w:val="32"/>
            </w:rPr>
            <w:fldChar w:fldCharType="separate"/>
          </w:r>
          <w:r>
            <w:rPr>
              <w:rFonts w:hint="eastAsia" w:ascii="仿宋" w:hAnsi="仿宋" w:eastAsia="仿宋" w:cs="仿宋"/>
              <w:sz w:val="32"/>
              <w:szCs w:val="32"/>
            </w:rPr>
            <w:t>28</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09DE4276">
          <w:pPr>
            <w:pStyle w:val="17"/>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_Toc24380 </w:instrText>
          </w:r>
          <w:r>
            <w:rPr>
              <w:rFonts w:hint="eastAsia" w:ascii="仿宋" w:hAnsi="仿宋" w:eastAsia="仿宋" w:cs="仿宋"/>
              <w:sz w:val="32"/>
              <w:szCs w:val="32"/>
            </w:rPr>
            <w:fldChar w:fldCharType="separate"/>
          </w:r>
          <w:r>
            <w:rPr>
              <w:rFonts w:hint="eastAsia" w:ascii="仿宋" w:hAnsi="仿宋" w:eastAsia="仿宋" w:cs="仿宋"/>
              <w:bCs w:val="0"/>
              <w:sz w:val="32"/>
              <w:szCs w:val="32"/>
            </w:rPr>
            <w:t>十三、财政拨款“三公”经费支出决算表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_Toc24380 \h </w:instrText>
          </w:r>
          <w:r>
            <w:rPr>
              <w:rFonts w:hint="eastAsia" w:ascii="仿宋" w:hAnsi="仿宋" w:eastAsia="仿宋" w:cs="仿宋"/>
              <w:sz w:val="32"/>
              <w:szCs w:val="32"/>
            </w:rPr>
            <w:fldChar w:fldCharType="separate"/>
          </w:r>
          <w:r>
            <w:rPr>
              <w:rFonts w:hint="eastAsia" w:ascii="仿宋" w:hAnsi="仿宋" w:eastAsia="仿宋" w:cs="仿宋"/>
              <w:sz w:val="32"/>
              <w:szCs w:val="32"/>
            </w:rPr>
            <w:t>28</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324B9963">
          <w:pPr>
            <w:tabs>
              <w:tab w:val="right" w:leader="dot" w:pos="8296"/>
            </w:tabs>
            <w:jc w:val="center"/>
            <w:rPr>
              <w:rFonts w:hint="eastAsia" w:ascii="仿宋" w:hAnsi="仿宋" w:eastAsia="仿宋" w:cs="仿宋"/>
              <w:b w:val="0"/>
              <w:color w:val="auto"/>
              <w:sz w:val="28"/>
              <w:szCs w:val="28"/>
              <w:highlight w:val="none"/>
            </w:rPr>
            <w:sectPr>
              <w:footerReference r:id="rId7" w:type="first"/>
              <w:footerReference r:id="rId6" w:type="default"/>
              <w:pgSz w:w="11906" w:h="16838"/>
              <w:pgMar w:top="1440" w:right="1800" w:bottom="1440" w:left="1800" w:header="851" w:footer="992" w:gutter="0"/>
              <w:pgNumType w:start="1"/>
              <w:cols w:space="425" w:num="1"/>
              <w:titlePg/>
              <w:docGrid w:type="lines" w:linePitch="312" w:charSpace="0"/>
            </w:sectPr>
          </w:pPr>
          <w:r>
            <w:rPr>
              <w:rFonts w:hint="eastAsia" w:ascii="仿宋" w:hAnsi="仿宋" w:eastAsia="仿宋" w:cs="仿宋"/>
              <w:sz w:val="32"/>
              <w:szCs w:val="32"/>
            </w:rPr>
            <w:fldChar w:fldCharType="end"/>
          </w:r>
        </w:p>
      </w:sdtContent>
    </w:sdt>
    <w:bookmarkEnd w:id="16"/>
    <w:bookmarkEnd w:id="17"/>
    <w:p w14:paraId="7AF8FA1E">
      <w:pPr>
        <w:pStyle w:val="3"/>
        <w:jc w:val="center"/>
        <w:rPr>
          <w:rFonts w:hint="eastAsia" w:ascii="黑体" w:hAnsi="黑体" w:eastAsia="黑体"/>
          <w:b w:val="0"/>
          <w:color w:val="auto"/>
          <w:highlight w:val="none"/>
        </w:rPr>
      </w:pPr>
      <w:bookmarkStart w:id="18" w:name="_Toc27534"/>
      <w:bookmarkStart w:id="19" w:name="_Toc15377197"/>
      <w:bookmarkStart w:id="20" w:name="_Toc15396600"/>
      <w:r>
        <w:rPr>
          <w:rFonts w:hint="eastAsia" w:ascii="黑体" w:hAnsi="黑体" w:eastAsia="黑体"/>
          <w:b w:val="0"/>
          <w:color w:val="auto"/>
          <w:highlight w:val="none"/>
        </w:rPr>
        <w:t xml:space="preserve">第一部分 </w:t>
      </w:r>
      <w:r>
        <w:rPr>
          <w:rStyle w:val="40"/>
          <w:rFonts w:hint="eastAsia" w:ascii="黑体" w:hAnsi="黑体" w:eastAsia="黑体"/>
          <w:b w:val="0"/>
          <w:bCs w:val="0"/>
          <w:color w:val="auto"/>
          <w:highlight w:val="none"/>
          <w:lang w:val="en-US" w:eastAsia="zh-CN"/>
        </w:rPr>
        <w:t>单位</w:t>
      </w:r>
      <w:r>
        <w:rPr>
          <w:rStyle w:val="40"/>
          <w:rFonts w:hint="eastAsia" w:ascii="黑体" w:hAnsi="黑体" w:eastAsia="黑体"/>
          <w:b w:val="0"/>
          <w:bCs w:val="0"/>
          <w:color w:val="auto"/>
          <w:highlight w:val="none"/>
        </w:rPr>
        <w:t>概况</w:t>
      </w:r>
      <w:bookmarkEnd w:id="18"/>
    </w:p>
    <w:p w14:paraId="6B46CB78">
      <w:pPr>
        <w:pStyle w:val="2"/>
        <w:rPr>
          <w:rFonts w:hint="default" w:ascii="仿宋" w:hAnsi="仿宋" w:eastAsia="黑体"/>
          <w:bCs/>
          <w:color w:val="auto"/>
          <w:sz w:val="32"/>
          <w:szCs w:val="32"/>
          <w:highlight w:val="none"/>
          <w:lang w:val="en-US" w:eastAsia="zh-CN"/>
        </w:rPr>
      </w:pPr>
      <w:bookmarkStart w:id="21" w:name="_Toc26218"/>
      <w:r>
        <w:rPr>
          <w:rFonts w:hint="eastAsia" w:ascii="黑体" w:hAnsi="黑体" w:eastAsia="黑体"/>
          <w:b w:val="0"/>
          <w:color w:val="auto"/>
          <w:highlight w:val="none"/>
        </w:rPr>
        <w:t>一、</w:t>
      </w:r>
      <w:r>
        <w:rPr>
          <w:rStyle w:val="41"/>
          <w:rFonts w:hint="eastAsia" w:ascii="黑体" w:hAnsi="黑体" w:eastAsia="黑体"/>
          <w:b w:val="0"/>
          <w:bCs w:val="0"/>
          <w:color w:val="auto"/>
          <w:highlight w:val="none"/>
          <w:lang w:val="zh-CN"/>
        </w:rPr>
        <w:t>主要职责</w:t>
      </w:r>
      <w:bookmarkEnd w:id="21"/>
    </w:p>
    <w:bookmarkEnd w:id="19"/>
    <w:bookmarkEnd w:id="20"/>
    <w:p w14:paraId="1B67FA92">
      <w:pPr>
        <w:keepNext/>
        <w:keepLines/>
        <w:spacing w:before="260" w:after="260" w:line="360" w:lineRule="auto"/>
        <w:ind w:firstLine="640"/>
        <w:jc w:val="both"/>
        <w:outlineLvl w:val="9"/>
        <w:rPr>
          <w:rFonts w:hint="eastAsia" w:ascii="仿宋_GB2312" w:hAnsi="仿宋" w:eastAsia="仿宋_GB2312" w:cs="Times New Roman"/>
          <w:sz w:val="32"/>
          <w:szCs w:val="32"/>
        </w:rPr>
      </w:pPr>
      <w:bookmarkStart w:id="22" w:name="_Toc15377200"/>
      <w:bookmarkStart w:id="23" w:name="_Toc15396601"/>
      <w:bookmarkStart w:id="24" w:name="_Toc15377204"/>
      <w:bookmarkStart w:id="25" w:name="_Toc15396602"/>
      <w:r>
        <w:rPr>
          <w:rFonts w:hint="eastAsia" w:ascii="仿宋_GB2312" w:hAnsi="仿宋" w:eastAsia="仿宋_GB2312" w:cs="Times New Roman"/>
          <w:sz w:val="32"/>
          <w:szCs w:val="32"/>
        </w:rPr>
        <w:t>1.完成上级下达的疾病预防控制任务，负责辖区内疾病预防控制具体工作的管理和落实；负责辖区内疫苗使用管理，组织实施免疫、消毒、控制病媒生物的危害；</w:t>
      </w:r>
    </w:p>
    <w:p w14:paraId="2010CFA2">
      <w:pPr>
        <w:keepNext/>
        <w:keepLines/>
        <w:spacing w:before="260" w:after="260" w:line="360" w:lineRule="auto"/>
        <w:ind w:firstLine="640"/>
        <w:jc w:val="both"/>
        <w:outlineLvl w:val="9"/>
        <w:rPr>
          <w:rFonts w:hint="eastAsia" w:ascii="仿宋_GB2312" w:hAnsi="仿宋" w:eastAsia="仿宋_GB2312" w:cs="Times New Roman"/>
          <w:sz w:val="32"/>
          <w:szCs w:val="32"/>
        </w:rPr>
      </w:pPr>
      <w:r>
        <w:rPr>
          <w:rFonts w:hint="eastAsia" w:ascii="仿宋_GB2312" w:hAnsi="仿宋" w:eastAsia="仿宋_GB2312" w:cs="Times New Roman"/>
          <w:sz w:val="32"/>
          <w:szCs w:val="32"/>
        </w:rPr>
        <w:t>2.负责辖区内突发公共卫生事件的监测调查与信息收集、报告，落实具体控制措施；</w:t>
      </w:r>
    </w:p>
    <w:p w14:paraId="50C53C4B">
      <w:pPr>
        <w:keepNext/>
        <w:keepLines/>
        <w:spacing w:before="260" w:after="260" w:line="360" w:lineRule="auto"/>
        <w:ind w:firstLine="640"/>
        <w:jc w:val="both"/>
        <w:outlineLvl w:val="9"/>
        <w:rPr>
          <w:rFonts w:hint="eastAsia" w:ascii="仿宋_GB2312" w:hAnsi="仿宋" w:eastAsia="仿宋_GB2312" w:cs="Times New Roman"/>
          <w:sz w:val="32"/>
          <w:szCs w:val="32"/>
        </w:rPr>
      </w:pPr>
      <w:r>
        <w:rPr>
          <w:rFonts w:hint="eastAsia" w:ascii="仿宋_GB2312" w:hAnsi="仿宋" w:eastAsia="仿宋_GB2312" w:cs="Times New Roman"/>
          <w:sz w:val="32"/>
          <w:szCs w:val="32"/>
        </w:rPr>
        <w:t>3.开展病原微生物常规检验和常见污染物的检验；</w:t>
      </w:r>
    </w:p>
    <w:p w14:paraId="691F6A22">
      <w:pPr>
        <w:keepNext/>
        <w:keepLines/>
        <w:spacing w:before="260" w:after="260" w:line="360" w:lineRule="auto"/>
        <w:ind w:firstLine="640"/>
        <w:jc w:val="both"/>
        <w:outlineLvl w:val="9"/>
        <w:rPr>
          <w:rFonts w:hint="eastAsia" w:ascii="仿宋_GB2312" w:hAnsi="仿宋" w:eastAsia="仿宋_GB2312" w:cs="Times New Roman"/>
          <w:sz w:val="32"/>
          <w:szCs w:val="32"/>
        </w:rPr>
      </w:pPr>
      <w:r>
        <w:rPr>
          <w:rFonts w:hint="eastAsia" w:ascii="仿宋_GB2312" w:hAnsi="仿宋" w:eastAsia="仿宋_GB2312" w:cs="Times New Roman"/>
          <w:sz w:val="32"/>
          <w:szCs w:val="32"/>
        </w:rPr>
        <w:t>4.承担卫生行政部门委托的与卫生监督执法相关的检验检测任务；</w:t>
      </w:r>
    </w:p>
    <w:p w14:paraId="17B5F33C">
      <w:pPr>
        <w:keepNext/>
        <w:keepLines/>
        <w:spacing w:before="260" w:after="260" w:line="360" w:lineRule="auto"/>
        <w:ind w:firstLine="640"/>
        <w:jc w:val="both"/>
        <w:outlineLvl w:val="9"/>
        <w:rPr>
          <w:rFonts w:hint="eastAsia" w:ascii="仿宋_GB2312" w:hAnsi="仿宋" w:eastAsia="仿宋_GB2312" w:cs="Times New Roman"/>
          <w:sz w:val="32"/>
          <w:szCs w:val="32"/>
        </w:rPr>
      </w:pPr>
      <w:r>
        <w:rPr>
          <w:rFonts w:hint="eastAsia" w:ascii="仿宋_GB2312" w:hAnsi="仿宋" w:eastAsia="仿宋_GB2312" w:cs="Times New Roman"/>
          <w:sz w:val="32"/>
          <w:szCs w:val="32"/>
        </w:rPr>
        <w:t>5.指导辖区内医疗卫生机构、城市社区卫生组织和农村乡(镇)卫生院开展卫生防病工作，负责考核和评价，对从事疾病预防控制相关工作的人员进行培训；</w:t>
      </w:r>
    </w:p>
    <w:p w14:paraId="205A8CFF">
      <w:pPr>
        <w:keepNext/>
        <w:keepLines/>
        <w:spacing w:before="260" w:after="260" w:line="360" w:lineRule="auto"/>
        <w:ind w:firstLine="640"/>
        <w:jc w:val="both"/>
        <w:outlineLvl w:val="9"/>
        <w:rPr>
          <w:rFonts w:hint="eastAsia" w:ascii="仿宋_GB2312" w:hAnsi="仿宋" w:eastAsia="仿宋_GB2312" w:cs="Times New Roman"/>
          <w:sz w:val="32"/>
          <w:szCs w:val="32"/>
        </w:rPr>
      </w:pPr>
      <w:r>
        <w:rPr>
          <w:rFonts w:hint="eastAsia" w:ascii="仿宋_GB2312" w:hAnsi="仿宋" w:eastAsia="仿宋_GB2312" w:cs="Times New Roman"/>
          <w:sz w:val="32"/>
          <w:szCs w:val="32"/>
        </w:rPr>
        <w:t>6.负责疫情和公共卫生健康危害因素监测、报告，指导乡、村和有关部门收集、报告疫情；</w:t>
      </w:r>
    </w:p>
    <w:p w14:paraId="07A7AA9F">
      <w:pPr>
        <w:keepNext/>
        <w:keepLines/>
        <w:spacing w:before="260" w:after="260" w:line="360" w:lineRule="auto"/>
        <w:ind w:firstLine="640"/>
        <w:jc w:val="both"/>
        <w:outlineLvl w:val="9"/>
        <w:rPr>
          <w:rFonts w:hint="eastAsia" w:ascii="仿宋_GB2312" w:hAnsi="仿宋" w:eastAsia="仿宋_GB2312" w:cs="Times New Roman"/>
          <w:sz w:val="32"/>
          <w:szCs w:val="32"/>
        </w:rPr>
      </w:pPr>
      <w:r>
        <w:rPr>
          <w:rFonts w:hint="eastAsia" w:ascii="仿宋_GB2312" w:hAnsi="仿宋" w:eastAsia="仿宋_GB2312" w:cs="Times New Roman"/>
          <w:sz w:val="32"/>
          <w:szCs w:val="32"/>
        </w:rPr>
        <w:t>7.开展卫生宣传教育与健康促进活动，普及卫生防病知识。</w:t>
      </w:r>
    </w:p>
    <w:p w14:paraId="6F1AED48">
      <w:pPr>
        <w:pStyle w:val="8"/>
        <w:rPr>
          <w:rFonts w:hint="eastAsia"/>
        </w:rPr>
      </w:pPr>
    </w:p>
    <w:p w14:paraId="22578BDE">
      <w:pPr>
        <w:pStyle w:val="2"/>
        <w:rPr>
          <w:rStyle w:val="41"/>
          <w:rFonts w:hint="eastAsia" w:ascii="黑体" w:hAnsi="黑体" w:eastAsia="黑体"/>
          <w:b w:val="0"/>
          <w:bCs w:val="0"/>
          <w:color w:val="auto"/>
          <w:highlight w:val="none"/>
        </w:rPr>
      </w:pPr>
      <w:bookmarkStart w:id="26" w:name="_Toc3039"/>
      <w:r>
        <w:rPr>
          <w:rStyle w:val="41"/>
          <w:rFonts w:hint="eastAsia" w:ascii="黑体" w:hAnsi="黑体" w:eastAsia="黑体"/>
          <w:b w:val="0"/>
          <w:bCs w:val="0"/>
          <w:color w:val="auto"/>
          <w:highlight w:val="none"/>
        </w:rPr>
        <w:t>二、机构设置</w:t>
      </w:r>
      <w:bookmarkEnd w:id="22"/>
      <w:bookmarkEnd w:id="23"/>
      <w:bookmarkEnd w:id="26"/>
    </w:p>
    <w:p w14:paraId="5938DC23">
      <w:pPr>
        <w:numPr>
          <w:ilvl w:val="0"/>
          <w:numId w:val="0"/>
        </w:numPr>
        <w:snapToGrid w:val="0"/>
        <w:spacing w:line="520" w:lineRule="exact"/>
        <w:ind w:firstLine="640" w:firstLineChars="200"/>
        <w:rPr>
          <w:rFonts w:hint="eastAsia" w:ascii="Times New Roman" w:hAnsi="Times New Roman" w:eastAsia="仿宋_GB2312" w:cs="仿宋_GB2312"/>
          <w:sz w:val="32"/>
          <w:szCs w:val="24"/>
        </w:rPr>
      </w:pPr>
      <w:r>
        <w:rPr>
          <w:rFonts w:hint="eastAsia" w:ascii="Times New Roman" w:hAnsi="Times New Roman" w:eastAsia="仿宋_GB2312" w:cs="仿宋_GB2312"/>
          <w:sz w:val="32"/>
          <w:szCs w:val="24"/>
          <w:lang w:val="en-US" w:eastAsia="zh-CN"/>
        </w:rPr>
        <w:t>马边彝族自治县疾病预防控制中心</w:t>
      </w:r>
      <w:r>
        <w:rPr>
          <w:rFonts w:hint="eastAsia" w:eastAsia="仿宋_GB2312" w:cs="仿宋_GB2312"/>
          <w:sz w:val="32"/>
          <w:szCs w:val="24"/>
          <w:lang w:val="en-US" w:eastAsia="zh-CN"/>
        </w:rPr>
        <w:t>为马边彝族自治县卫生健康局</w:t>
      </w:r>
      <w:r>
        <w:rPr>
          <w:rFonts w:hint="eastAsia" w:ascii="Times New Roman" w:hAnsi="Times New Roman" w:eastAsia="仿宋_GB2312" w:cs="仿宋_GB2312"/>
          <w:sz w:val="32"/>
          <w:szCs w:val="24"/>
        </w:rPr>
        <w:t>下属二级预算单位。</w:t>
      </w:r>
    </w:p>
    <w:p w14:paraId="2C358D70">
      <w:pPr>
        <w:pStyle w:val="8"/>
        <w:ind w:firstLine="640" w:firstLineChars="200"/>
        <w:rPr>
          <w:rFonts w:hint="eastAsia" w:ascii="仿宋_GB2312" w:hAnsi="仿宋" w:eastAsia="仿宋_GB2312" w:cs="Times New Roman"/>
          <w:color w:val="000000"/>
          <w:sz w:val="32"/>
          <w:szCs w:val="32"/>
          <w:lang w:val="en-US" w:eastAsia="zh-CN"/>
        </w:rPr>
        <w:sectPr>
          <w:footerReference r:id="rId9" w:type="first"/>
          <w:footerReference r:id="rId8" w:type="default"/>
          <w:pgSz w:w="11906" w:h="16838"/>
          <w:pgMar w:top="1440" w:right="1800" w:bottom="1440" w:left="1800" w:header="851" w:footer="992" w:gutter="0"/>
          <w:pgNumType w:fmt="decimal"/>
          <w:cols w:space="425" w:num="1"/>
          <w:docGrid w:type="lines" w:linePitch="312" w:charSpace="0"/>
        </w:sectPr>
      </w:pPr>
      <w:r>
        <w:rPr>
          <w:rFonts w:hint="eastAsia" w:ascii="仿宋_GB2312" w:hAnsi="仿宋" w:eastAsia="仿宋_GB2312" w:cs="Times New Roman"/>
          <w:color w:val="000000"/>
          <w:sz w:val="32"/>
          <w:szCs w:val="32"/>
          <w:lang w:val="en-US" w:eastAsia="zh-CN"/>
        </w:rPr>
        <w:t>马边彝族自治县疾病预防控制中心总编制36个，年末在职人员36人。其中：非参公事业人员36人。</w:t>
      </w:r>
    </w:p>
    <w:p w14:paraId="551ED81B">
      <w:pPr>
        <w:pStyle w:val="3"/>
        <w:ind w:right="440"/>
        <w:jc w:val="center"/>
        <w:rPr>
          <w:rStyle w:val="40"/>
          <w:rFonts w:ascii="黑体" w:hAnsi="黑体" w:eastAsia="黑体"/>
          <w:b w:val="0"/>
          <w:bCs/>
          <w:color w:val="auto"/>
          <w:highlight w:val="none"/>
        </w:rPr>
      </w:pPr>
      <w:bookmarkStart w:id="27" w:name="_Toc5714"/>
      <w:r>
        <w:rPr>
          <w:rFonts w:hint="eastAsia" w:ascii="黑体" w:hAnsi="黑体" w:eastAsia="黑体"/>
          <w:b w:val="0"/>
          <w:bCs/>
          <w:color w:val="auto"/>
          <w:highlight w:val="none"/>
        </w:rPr>
        <w:t xml:space="preserve">第二部分 </w:t>
      </w:r>
      <w:r>
        <w:rPr>
          <w:rFonts w:hint="eastAsia" w:ascii="黑体" w:hAnsi="黑体" w:eastAsia="黑体"/>
          <w:b w:val="0"/>
          <w:bCs/>
          <w:color w:val="auto"/>
          <w:highlight w:val="none"/>
          <w:lang w:val="en-US" w:eastAsia="zh-CN"/>
        </w:rPr>
        <w:t>2023年度</w:t>
      </w:r>
      <w:r>
        <w:rPr>
          <w:rFonts w:hint="eastAsia" w:ascii="黑体" w:hAnsi="黑体" w:eastAsia="黑体"/>
          <w:b w:val="0"/>
          <w:bCs/>
          <w:color w:val="auto"/>
          <w:highlight w:val="none"/>
          <w:lang w:val="zh-CN" w:eastAsia="zh-CN"/>
        </w:rPr>
        <w:t>单位</w:t>
      </w:r>
      <w:r>
        <w:rPr>
          <w:rFonts w:hint="eastAsia" w:ascii="黑体" w:hAnsi="黑体" w:eastAsia="黑体"/>
          <w:b w:val="0"/>
          <w:bCs/>
          <w:color w:val="auto"/>
          <w:highlight w:val="none"/>
          <w:lang w:val="en-US" w:eastAsia="zh-CN"/>
        </w:rPr>
        <w:t>决</w:t>
      </w:r>
      <w:r>
        <w:rPr>
          <w:rStyle w:val="40"/>
          <w:rFonts w:hint="eastAsia" w:ascii="黑体" w:hAnsi="黑体" w:eastAsia="黑体"/>
          <w:b w:val="0"/>
          <w:bCs/>
          <w:color w:val="auto"/>
          <w:highlight w:val="none"/>
        </w:rPr>
        <w:t>算情况说明</w:t>
      </w:r>
      <w:bookmarkEnd w:id="24"/>
      <w:bookmarkEnd w:id="25"/>
      <w:bookmarkEnd w:id="27"/>
    </w:p>
    <w:p w14:paraId="4654636B">
      <w:pPr>
        <w:pStyle w:val="39"/>
        <w:numPr>
          <w:ilvl w:val="0"/>
          <w:numId w:val="3"/>
        </w:numPr>
        <w:spacing w:line="600" w:lineRule="exact"/>
        <w:ind w:firstLineChars="0"/>
        <w:outlineLvl w:val="1"/>
        <w:rPr>
          <w:rStyle w:val="41"/>
          <w:rFonts w:ascii="黑体" w:hAnsi="黑体" w:eastAsia="黑体"/>
          <w:b w:val="0"/>
          <w:color w:val="auto"/>
          <w:highlight w:val="none"/>
        </w:rPr>
      </w:pPr>
      <w:bookmarkStart w:id="28" w:name="_Toc4023"/>
      <w:bookmarkStart w:id="29" w:name="_Toc15377205"/>
      <w:bookmarkStart w:id="30" w:name="_Toc15396603"/>
      <w:r>
        <w:rPr>
          <w:rFonts w:hint="eastAsia" w:ascii="黑体" w:hAnsi="黑体" w:eastAsia="黑体"/>
          <w:color w:val="auto"/>
          <w:sz w:val="32"/>
          <w:szCs w:val="32"/>
          <w:highlight w:val="none"/>
        </w:rPr>
        <w:t>收</w:t>
      </w:r>
      <w:r>
        <w:rPr>
          <w:rStyle w:val="41"/>
          <w:rFonts w:hint="eastAsia" w:ascii="黑体" w:hAnsi="黑体" w:eastAsia="黑体"/>
          <w:b w:val="0"/>
          <w:color w:val="auto"/>
          <w:highlight w:val="none"/>
        </w:rPr>
        <w:t>入支出决算总体情况说明</w:t>
      </w:r>
      <w:bookmarkEnd w:id="28"/>
      <w:bookmarkEnd w:id="29"/>
      <w:bookmarkEnd w:id="30"/>
    </w:p>
    <w:p w14:paraId="57B2BD9C">
      <w:pPr>
        <w:spacing w:line="600" w:lineRule="exact"/>
        <w:ind w:firstLine="640" w:firstLineChars="200"/>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2023年度</w:t>
      </w:r>
      <w:r>
        <w:rPr>
          <w:rFonts w:hint="eastAsia" w:ascii="仿宋" w:hAnsi="仿宋" w:eastAsia="仿宋"/>
          <w:color w:val="auto"/>
          <w:sz w:val="32"/>
          <w:szCs w:val="32"/>
          <w:highlight w:val="none"/>
          <w:lang w:val="en-US" w:eastAsia="zh-CN"/>
        </w:rPr>
        <w:t>收、支总计均为1539.81万元</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2022年</w:t>
      </w:r>
      <w:r>
        <w:rPr>
          <w:rFonts w:hint="eastAsia" w:ascii="仿宋" w:hAnsi="仿宋" w:eastAsia="仿宋"/>
          <w:color w:val="auto"/>
          <w:sz w:val="32"/>
          <w:szCs w:val="32"/>
          <w:highlight w:val="none"/>
        </w:rPr>
        <w:t>相比，收</w:t>
      </w:r>
      <w:r>
        <w:rPr>
          <w:rFonts w:hint="eastAsia" w:ascii="仿宋" w:hAnsi="仿宋" w:eastAsia="仿宋"/>
          <w:color w:val="auto"/>
          <w:sz w:val="32"/>
          <w:szCs w:val="32"/>
          <w:highlight w:val="none"/>
          <w:lang w:val="en-US" w:eastAsia="zh-CN"/>
        </w:rPr>
        <w:t>入、支出总计均增加240.10万元，增长102.60%。</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川财预（2023）35号，疫情防控财力补助资金55万元，-川财社（2023）15号，2023年重大传染病防控中央补助资金（第二批）（艾滋病）50万元，公共卫生特别服务岗人员工资44.77万元。</w:t>
      </w:r>
    </w:p>
    <w:p w14:paraId="2289FCFC">
      <w:pPr>
        <w:pStyle w:val="7"/>
        <w:jc w:val="center"/>
        <w:rPr>
          <w:rFonts w:hint="eastAsia" w:eastAsia="宋体"/>
          <w:lang w:eastAsia="zh-CN"/>
        </w:rPr>
      </w:pPr>
      <w:r>
        <w:rPr>
          <w:rFonts w:hint="eastAsia" w:eastAsia="宋体"/>
          <w:lang w:eastAsia="zh-CN"/>
        </w:rPr>
        <w:drawing>
          <wp:inline distT="0" distB="0" distL="114300" distR="114300">
            <wp:extent cx="4918075" cy="2680970"/>
            <wp:effectExtent l="4445" t="4445" r="11430" b="57785"/>
            <wp:docPr id="8" name="图表 8" descr="7b0a202020202263686172745265734964223a202232303436393737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3D5F062">
      <w:pPr>
        <w:spacing w:line="600" w:lineRule="exact"/>
        <w:ind w:firstLine="640" w:firstLineChars="200"/>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w:t>
      </w:r>
    </w:p>
    <w:p w14:paraId="130C37D7">
      <w:pPr>
        <w:pStyle w:val="7"/>
      </w:pPr>
    </w:p>
    <w:p w14:paraId="025DAA68">
      <w:pPr>
        <w:pStyle w:val="39"/>
        <w:numPr>
          <w:ilvl w:val="0"/>
          <w:numId w:val="3"/>
        </w:numPr>
        <w:spacing w:line="600" w:lineRule="exact"/>
        <w:ind w:firstLineChars="0"/>
        <w:outlineLvl w:val="1"/>
        <w:rPr>
          <w:rStyle w:val="41"/>
          <w:rFonts w:ascii="黑体" w:hAnsi="黑体" w:eastAsia="黑体"/>
          <w:b w:val="0"/>
          <w:color w:val="auto"/>
          <w:highlight w:val="none"/>
        </w:rPr>
      </w:pPr>
      <w:bookmarkStart w:id="31" w:name="_Toc32188"/>
      <w:bookmarkStart w:id="32" w:name="_Toc15396604"/>
      <w:bookmarkStart w:id="33" w:name="_Toc15377206"/>
      <w:r>
        <w:rPr>
          <w:rFonts w:hint="eastAsia" w:ascii="黑体" w:hAnsi="黑体" w:eastAsia="黑体"/>
          <w:color w:val="auto"/>
          <w:sz w:val="32"/>
          <w:szCs w:val="32"/>
          <w:highlight w:val="none"/>
        </w:rPr>
        <w:t>收</w:t>
      </w:r>
      <w:r>
        <w:rPr>
          <w:rStyle w:val="41"/>
          <w:rFonts w:hint="eastAsia" w:ascii="黑体" w:hAnsi="黑体" w:eastAsia="黑体"/>
          <w:b w:val="0"/>
          <w:color w:val="auto"/>
          <w:highlight w:val="none"/>
        </w:rPr>
        <w:t>入决算情况说明</w:t>
      </w:r>
      <w:bookmarkEnd w:id="31"/>
      <w:bookmarkEnd w:id="32"/>
      <w:bookmarkEnd w:id="33"/>
    </w:p>
    <w:p w14:paraId="088C6859">
      <w:pPr>
        <w:spacing w:line="600" w:lineRule="exact"/>
        <w:ind w:firstLine="640" w:firstLineChars="200"/>
        <w:outlineLvl w:val="9"/>
        <w:rPr>
          <w:rFonts w:hint="eastAsia" w:ascii="仿宋" w:hAnsi="仿宋" w:eastAsia="仿宋"/>
          <w:color w:val="auto"/>
          <w:sz w:val="32"/>
          <w:szCs w:val="32"/>
          <w:highlight w:val="none"/>
          <w:lang w:eastAsia="zh-CN"/>
        </w:rPr>
      </w:pPr>
      <w:bookmarkStart w:id="34" w:name="_Toc23881"/>
      <w:r>
        <w:rPr>
          <w:rFonts w:hint="eastAsia" w:ascii="仿宋" w:hAnsi="仿宋" w:eastAsia="仿宋"/>
          <w:color w:val="auto"/>
          <w:sz w:val="32"/>
          <w:szCs w:val="32"/>
          <w:highlight w:val="none"/>
          <w:lang w:eastAsia="zh-CN"/>
        </w:rPr>
        <w:t>2023年</w:t>
      </w:r>
      <w:r>
        <w:rPr>
          <w:rFonts w:hint="eastAsia" w:ascii="仿宋" w:hAnsi="仿宋" w:eastAsia="仿宋"/>
          <w:color w:val="auto"/>
          <w:sz w:val="32"/>
          <w:szCs w:val="32"/>
          <w:highlight w:val="none"/>
        </w:rPr>
        <w:t>本年收入合计</w:t>
      </w:r>
      <w:r>
        <w:rPr>
          <w:rFonts w:hint="eastAsia" w:ascii="仿宋" w:hAnsi="仿宋" w:eastAsia="仿宋"/>
          <w:color w:val="auto"/>
          <w:sz w:val="32"/>
          <w:szCs w:val="32"/>
          <w:highlight w:val="none"/>
          <w:lang w:val="en-US" w:eastAsia="zh-CN"/>
        </w:rPr>
        <w:t>1539.81</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1047.78</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99.99</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0.15</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0.01</w:t>
      </w:r>
      <w:r>
        <w:rPr>
          <w:rFonts w:ascii="仿宋" w:hAnsi="仿宋" w:eastAsia="仿宋"/>
          <w:color w:val="auto"/>
          <w:sz w:val="32"/>
          <w:szCs w:val="32"/>
          <w:highlight w:val="none"/>
        </w:rPr>
        <w:t>%</w:t>
      </w:r>
      <w:bookmarkEnd w:id="34"/>
      <w:r>
        <w:rPr>
          <w:rFonts w:hint="eastAsia" w:ascii="仿宋" w:hAnsi="仿宋" w:eastAsia="仿宋"/>
          <w:color w:val="auto"/>
          <w:sz w:val="32"/>
          <w:szCs w:val="32"/>
          <w:highlight w:val="none"/>
          <w:lang w:eastAsia="zh-CN"/>
        </w:rPr>
        <w:t>。</w:t>
      </w:r>
    </w:p>
    <w:p w14:paraId="55FF4F62">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center"/>
        <w:textAlignment w:val="auto"/>
        <w:outlineLvl w:val="9"/>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drawing>
          <wp:inline distT="0" distB="0" distL="114300" distR="114300">
            <wp:extent cx="5080000" cy="4195445"/>
            <wp:effectExtent l="4445" t="4445" r="20955" b="10160"/>
            <wp:docPr id="3" name="图表 3" descr="7b0a202020202263686172745265734964223a202232303436393832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CD32EF5">
      <w:pPr>
        <w:spacing w:line="600" w:lineRule="exact"/>
        <w:ind w:firstLine="640" w:firstLineChars="200"/>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图2：收入决算结构图</w:t>
      </w:r>
    </w:p>
    <w:p w14:paraId="052C7E1B">
      <w:pPr>
        <w:pStyle w:val="7"/>
      </w:pPr>
    </w:p>
    <w:p w14:paraId="022B5023">
      <w:pPr>
        <w:pStyle w:val="39"/>
        <w:numPr>
          <w:ilvl w:val="0"/>
          <w:numId w:val="3"/>
        </w:numPr>
        <w:spacing w:line="600" w:lineRule="exact"/>
        <w:ind w:firstLineChars="0"/>
        <w:outlineLvl w:val="1"/>
        <w:rPr>
          <w:rStyle w:val="41"/>
          <w:rFonts w:ascii="黑体" w:hAnsi="黑体" w:eastAsia="黑体"/>
          <w:b w:val="0"/>
          <w:color w:val="auto"/>
          <w:highlight w:val="none"/>
        </w:rPr>
      </w:pPr>
      <w:bookmarkStart w:id="35" w:name="_Toc15377207"/>
      <w:bookmarkStart w:id="36" w:name="_Toc30654"/>
      <w:bookmarkStart w:id="37" w:name="_Toc15396605"/>
      <w:r>
        <w:rPr>
          <w:rFonts w:hint="eastAsia" w:ascii="黑体" w:hAnsi="黑体" w:eastAsia="黑体"/>
          <w:color w:val="auto"/>
          <w:sz w:val="32"/>
          <w:szCs w:val="32"/>
          <w:highlight w:val="none"/>
        </w:rPr>
        <w:t>支</w:t>
      </w:r>
      <w:r>
        <w:rPr>
          <w:rStyle w:val="41"/>
          <w:rFonts w:hint="eastAsia" w:ascii="黑体" w:hAnsi="黑体" w:eastAsia="黑体"/>
          <w:b w:val="0"/>
          <w:color w:val="auto"/>
          <w:highlight w:val="none"/>
        </w:rPr>
        <w:t>出决算情况说明</w:t>
      </w:r>
      <w:bookmarkEnd w:id="35"/>
      <w:bookmarkEnd w:id="36"/>
      <w:bookmarkEnd w:id="37"/>
    </w:p>
    <w:p w14:paraId="4A1F07CB">
      <w:pPr>
        <w:spacing w:line="600" w:lineRule="exact"/>
        <w:ind w:firstLine="640" w:firstLineChars="200"/>
        <w:outlineLvl w:val="9"/>
        <w:rPr>
          <w:rFonts w:ascii="仿宋" w:hAnsi="仿宋" w:eastAsia="仿宋"/>
          <w:color w:val="auto"/>
          <w:sz w:val="32"/>
          <w:szCs w:val="32"/>
          <w:highlight w:val="none"/>
        </w:rPr>
      </w:pPr>
      <w:bookmarkStart w:id="38" w:name="_Toc26868"/>
      <w:r>
        <w:rPr>
          <w:rFonts w:hint="eastAsia" w:ascii="仿宋" w:hAnsi="仿宋" w:eastAsia="仿宋"/>
          <w:color w:val="auto"/>
          <w:sz w:val="32"/>
          <w:szCs w:val="32"/>
          <w:highlight w:val="none"/>
          <w:lang w:eastAsia="zh-CN"/>
        </w:rPr>
        <w:t>2023年</w:t>
      </w:r>
      <w:r>
        <w:rPr>
          <w:rFonts w:hint="eastAsia" w:ascii="仿宋" w:hAnsi="仿宋" w:eastAsia="仿宋"/>
          <w:color w:val="auto"/>
          <w:sz w:val="32"/>
          <w:szCs w:val="32"/>
          <w:highlight w:val="none"/>
        </w:rPr>
        <w:t>本年支出合计</w:t>
      </w:r>
      <w:r>
        <w:rPr>
          <w:rFonts w:hint="eastAsia" w:ascii="仿宋" w:hAnsi="仿宋" w:eastAsia="仿宋"/>
          <w:color w:val="auto"/>
          <w:sz w:val="32"/>
          <w:szCs w:val="32"/>
          <w:highlight w:val="none"/>
          <w:lang w:val="en-US" w:eastAsia="zh-CN"/>
        </w:rPr>
        <w:t>1539.81</w:t>
      </w:r>
      <w:r>
        <w:rPr>
          <w:rFonts w:hint="eastAsia" w:ascii="仿宋" w:hAnsi="仿宋" w:eastAsia="仿宋"/>
          <w:color w:val="auto"/>
          <w:sz w:val="32"/>
          <w:szCs w:val="32"/>
          <w:highlight w:val="none"/>
        </w:rPr>
        <w:t>万元，其中：基本支出</w:t>
      </w:r>
      <w:r>
        <w:rPr>
          <w:rFonts w:hint="eastAsia" w:ascii="仿宋" w:hAnsi="仿宋" w:eastAsia="仿宋"/>
          <w:color w:val="auto"/>
          <w:sz w:val="32"/>
          <w:szCs w:val="32"/>
          <w:highlight w:val="none"/>
          <w:lang w:val="en-US" w:eastAsia="zh-CN"/>
        </w:rPr>
        <w:t>694.88</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45.13</w:t>
      </w:r>
      <w:r>
        <w:rPr>
          <w:rFonts w:ascii="仿宋" w:hAnsi="仿宋" w:eastAsia="仿宋"/>
          <w:color w:val="auto"/>
          <w:sz w:val="32"/>
          <w:szCs w:val="32"/>
          <w:highlight w:val="none"/>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844.93</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54.87</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；上缴上级支出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；对附属单位补助支出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38"/>
    </w:p>
    <w:p w14:paraId="2D548C54">
      <w:pPr>
        <w:keepNext w:val="0"/>
        <w:keepLines w:val="0"/>
        <w:pageBreakBefore w:val="0"/>
        <w:widowControl w:val="0"/>
        <w:kinsoku/>
        <w:wordWrap/>
        <w:overflowPunct/>
        <w:topLinePunct w:val="0"/>
        <w:autoSpaceDE/>
        <w:autoSpaceDN/>
        <w:bidi w:val="0"/>
        <w:adjustRightInd/>
        <w:snapToGrid/>
        <w:spacing w:line="240" w:lineRule="auto"/>
        <w:ind w:firstLine="641"/>
        <w:jc w:val="center"/>
        <w:textAlignment w:val="auto"/>
        <w:rPr>
          <w:rFonts w:ascii="仿宋" w:hAnsi="仿宋" w:eastAsia="仿宋"/>
          <w:color w:val="auto"/>
          <w:sz w:val="32"/>
          <w:szCs w:val="32"/>
          <w:highlight w:val="none"/>
          <w:shd w:val="pct10" w:color="auto" w:fill="FFFFFF"/>
        </w:rPr>
      </w:pPr>
      <w:r>
        <w:rPr>
          <w:rFonts w:hint="eastAsia" w:ascii="仿宋" w:hAnsi="仿宋" w:eastAsia="仿宋"/>
          <w:color w:val="auto"/>
          <w:sz w:val="32"/>
          <w:szCs w:val="32"/>
          <w:highlight w:val="none"/>
          <w:lang w:eastAsia="zh-CN"/>
        </w:rPr>
        <w:drawing>
          <wp:inline distT="0" distB="0" distL="114300" distR="114300">
            <wp:extent cx="4975225" cy="3799840"/>
            <wp:effectExtent l="4445" t="4445" r="11430" b="5715"/>
            <wp:docPr id="5" name="图表 5" descr="7b0a202020202263686172745265734964223a202232303436393832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4F5EC3F">
      <w:pPr>
        <w:spacing w:line="600" w:lineRule="exact"/>
        <w:ind w:firstLine="640" w:firstLineChars="200"/>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图3：支出决算结构图</w:t>
      </w:r>
    </w:p>
    <w:p w14:paraId="681C703E">
      <w:pPr>
        <w:pStyle w:val="7"/>
      </w:pPr>
    </w:p>
    <w:p w14:paraId="242151FC">
      <w:pPr>
        <w:spacing w:line="600" w:lineRule="exact"/>
        <w:ind w:firstLine="640" w:firstLineChars="200"/>
        <w:outlineLvl w:val="1"/>
        <w:rPr>
          <w:rStyle w:val="41"/>
          <w:rFonts w:ascii="黑体" w:hAnsi="黑体" w:eastAsia="黑体"/>
          <w:b w:val="0"/>
          <w:color w:val="auto"/>
          <w:highlight w:val="none"/>
        </w:rPr>
      </w:pPr>
      <w:bookmarkStart w:id="39" w:name="_Toc15377208"/>
      <w:bookmarkStart w:id="40" w:name="_Toc15396606"/>
      <w:bookmarkStart w:id="41" w:name="_Toc1396"/>
      <w:r>
        <w:rPr>
          <w:rFonts w:hint="eastAsia" w:ascii="黑体" w:hAnsi="黑体" w:eastAsia="黑体"/>
          <w:color w:val="auto"/>
          <w:sz w:val="32"/>
          <w:szCs w:val="32"/>
          <w:highlight w:val="none"/>
        </w:rPr>
        <w:t>四、财</w:t>
      </w:r>
      <w:r>
        <w:rPr>
          <w:rStyle w:val="41"/>
          <w:rFonts w:hint="eastAsia" w:ascii="黑体" w:hAnsi="黑体" w:eastAsia="黑体"/>
          <w:b w:val="0"/>
          <w:color w:val="auto"/>
          <w:highlight w:val="none"/>
        </w:rPr>
        <w:t>政拨款收入支出决算总体情况说明</w:t>
      </w:r>
      <w:bookmarkEnd w:id="39"/>
      <w:bookmarkEnd w:id="40"/>
      <w:bookmarkEnd w:id="41"/>
    </w:p>
    <w:p w14:paraId="1CAB001F">
      <w:pPr>
        <w:spacing w:line="600" w:lineRule="exact"/>
        <w:ind w:firstLine="640" w:firstLineChars="200"/>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2023年度</w:t>
      </w:r>
      <w:r>
        <w:rPr>
          <w:rFonts w:hint="eastAsia" w:ascii="仿宋" w:hAnsi="仿宋" w:eastAsia="仿宋"/>
          <w:color w:val="auto"/>
          <w:sz w:val="32"/>
          <w:szCs w:val="32"/>
          <w:highlight w:val="none"/>
        </w:rPr>
        <w:t>财政拨款</w:t>
      </w:r>
      <w:r>
        <w:rPr>
          <w:rFonts w:hint="eastAsia" w:ascii="仿宋" w:hAnsi="仿宋" w:eastAsia="仿宋"/>
          <w:color w:val="auto"/>
          <w:sz w:val="32"/>
          <w:szCs w:val="32"/>
          <w:highlight w:val="none"/>
          <w:lang w:val="en-US" w:eastAsia="zh-CN"/>
        </w:rPr>
        <w:t>收、支总计均为1539.81万元</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2022年</w:t>
      </w:r>
      <w:r>
        <w:rPr>
          <w:rFonts w:hint="eastAsia" w:ascii="仿宋" w:hAnsi="仿宋" w:eastAsia="仿宋"/>
          <w:color w:val="auto"/>
          <w:sz w:val="32"/>
          <w:szCs w:val="32"/>
          <w:highlight w:val="none"/>
        </w:rPr>
        <w:t>相比，财政拨款收</w:t>
      </w:r>
      <w:r>
        <w:rPr>
          <w:rFonts w:hint="eastAsia" w:ascii="仿宋" w:hAnsi="仿宋" w:eastAsia="仿宋"/>
          <w:color w:val="auto"/>
          <w:sz w:val="32"/>
          <w:szCs w:val="32"/>
          <w:highlight w:val="none"/>
          <w:lang w:val="en-US" w:eastAsia="zh-CN"/>
        </w:rPr>
        <w:t>、支总计均增加240.10万元，增长102.60%。</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川财预（2023）35号，疫情防控财力补助资金55万元，-川财社（2023）15号，2023年重大传染病防控中央补助资金（第二批）（艾滋病）50万元，公共卫生特别服务岗人员工资44.77万元。</w:t>
      </w:r>
    </w:p>
    <w:p w14:paraId="13D815C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olor w:val="auto"/>
          <w:sz w:val="32"/>
          <w:szCs w:val="32"/>
          <w:highlight w:val="none"/>
          <w:lang w:eastAsia="zh-CN"/>
        </w:rPr>
      </w:pPr>
      <w:r>
        <w:rPr>
          <w:rFonts w:hint="eastAsia" w:eastAsia="宋体"/>
          <w:lang w:eastAsia="zh-CN"/>
        </w:rPr>
        <w:drawing>
          <wp:inline distT="0" distB="0" distL="114300" distR="114300">
            <wp:extent cx="4918075" cy="2680970"/>
            <wp:effectExtent l="4445" t="4445" r="11430" b="57785"/>
            <wp:docPr id="2" name="图表 2" descr="7b0a202020202263686172745265734964223a202232303436393737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F1B6AB5">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（图4：财政拨款收、支决算总计变动情况）（柱状图）</w:t>
      </w:r>
    </w:p>
    <w:p w14:paraId="5D0CD6E8">
      <w:pPr>
        <w:spacing w:line="600" w:lineRule="exact"/>
        <w:ind w:firstLine="640"/>
        <w:rPr>
          <w:rFonts w:ascii="仿宋" w:hAnsi="仿宋" w:eastAsia="仿宋"/>
          <w:b/>
          <w:color w:val="auto"/>
          <w:sz w:val="32"/>
          <w:szCs w:val="32"/>
          <w:highlight w:val="none"/>
        </w:rPr>
      </w:pPr>
    </w:p>
    <w:p w14:paraId="1F079F71">
      <w:pPr>
        <w:spacing w:line="600" w:lineRule="exact"/>
        <w:ind w:firstLine="640" w:firstLineChars="200"/>
        <w:outlineLvl w:val="1"/>
        <w:rPr>
          <w:rStyle w:val="41"/>
          <w:rFonts w:ascii="黑体" w:hAnsi="黑体" w:eastAsia="黑体"/>
          <w:b w:val="0"/>
          <w:color w:val="auto"/>
          <w:highlight w:val="none"/>
        </w:rPr>
      </w:pPr>
      <w:bookmarkStart w:id="42" w:name="_Toc15377209"/>
      <w:bookmarkStart w:id="43" w:name="_Toc20815"/>
      <w:bookmarkStart w:id="44" w:name="_Toc15396607"/>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41"/>
          <w:rFonts w:hint="eastAsia" w:ascii="黑体" w:hAnsi="黑体" w:eastAsia="黑体"/>
          <w:b w:val="0"/>
          <w:color w:val="auto"/>
          <w:highlight w:val="none"/>
        </w:rPr>
        <w:t>般公共预算财政拨款支出决算情况说明</w:t>
      </w:r>
      <w:bookmarkEnd w:id="42"/>
      <w:bookmarkEnd w:id="43"/>
      <w:bookmarkEnd w:id="44"/>
    </w:p>
    <w:p w14:paraId="66DAFF30">
      <w:pPr>
        <w:spacing w:line="600" w:lineRule="exact"/>
        <w:ind w:firstLine="643" w:firstLineChars="200"/>
        <w:outlineLvl w:val="2"/>
        <w:rPr>
          <w:rFonts w:ascii="仿宋" w:hAnsi="仿宋" w:eastAsia="仿宋"/>
          <w:b/>
          <w:color w:val="auto"/>
          <w:sz w:val="32"/>
          <w:szCs w:val="32"/>
          <w:highlight w:val="none"/>
        </w:rPr>
      </w:pPr>
      <w:bookmarkStart w:id="45" w:name="_Toc15377210"/>
      <w:r>
        <w:rPr>
          <w:rFonts w:hint="eastAsia" w:ascii="仿宋" w:hAnsi="仿宋" w:eastAsia="仿宋"/>
          <w:b/>
          <w:color w:val="auto"/>
          <w:sz w:val="32"/>
          <w:szCs w:val="32"/>
          <w:highlight w:val="none"/>
        </w:rPr>
        <w:t>（一）一般公共预算财政拨款支出决算总体情况</w:t>
      </w:r>
      <w:bookmarkEnd w:id="45"/>
    </w:p>
    <w:p w14:paraId="5FBB2A61">
      <w:pPr>
        <w:spacing w:line="600" w:lineRule="exact"/>
        <w:ind w:firstLine="640" w:firstLineChars="200"/>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2023年</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1047.78</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99.99</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2022年</w:t>
      </w:r>
      <w:r>
        <w:rPr>
          <w:rFonts w:hint="eastAsia" w:ascii="仿宋" w:hAnsi="仿宋" w:eastAsia="仿宋"/>
          <w:color w:val="auto"/>
          <w:sz w:val="32"/>
          <w:szCs w:val="32"/>
          <w:highlight w:val="none"/>
        </w:rPr>
        <w:t>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增加228.54</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增长27.90</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川财预（2023）35号，疫情防控财力补助资金55万元，-川财社（2023）15号，2023年重大传染病防控中央补助资金（第二批）（艾滋病）50万元，公共卫生特别服务岗人员工资44.77万元。</w:t>
      </w:r>
    </w:p>
    <w:p w14:paraId="7319643F">
      <w:pPr>
        <w:pStyle w:val="7"/>
        <w:jc w:val="center"/>
      </w:pPr>
      <w:r>
        <w:rPr>
          <w:rFonts w:hint="eastAsia" w:eastAsia="宋体"/>
          <w:lang w:eastAsia="zh-CN"/>
        </w:rPr>
        <w:drawing>
          <wp:inline distT="0" distB="0" distL="114300" distR="114300">
            <wp:extent cx="5080000" cy="3810000"/>
            <wp:effectExtent l="4445" t="4445" r="20955" b="14605"/>
            <wp:docPr id="7" name="图表 7" descr="7b0a202020202263686172745265734964223a202232303437313133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6DA5D52">
      <w:pPr>
        <w:spacing w:line="600" w:lineRule="exact"/>
        <w:ind w:firstLine="640" w:firstLineChars="200"/>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图5：一般公共预算财政拨款支出决算变动情况</w:t>
      </w:r>
    </w:p>
    <w:p w14:paraId="4D9DE6CD">
      <w:pPr>
        <w:pStyle w:val="7"/>
      </w:pPr>
    </w:p>
    <w:p w14:paraId="02421180">
      <w:pPr>
        <w:spacing w:line="600" w:lineRule="exact"/>
        <w:ind w:firstLine="643" w:firstLineChars="200"/>
        <w:outlineLvl w:val="2"/>
        <w:rPr>
          <w:rFonts w:ascii="仿宋" w:hAnsi="仿宋" w:eastAsia="仿宋"/>
          <w:b/>
          <w:color w:val="auto"/>
          <w:sz w:val="32"/>
          <w:szCs w:val="32"/>
          <w:highlight w:val="none"/>
        </w:rPr>
      </w:pPr>
      <w:bookmarkStart w:id="46" w:name="_Toc15377211"/>
      <w:r>
        <w:rPr>
          <w:rFonts w:hint="eastAsia" w:ascii="仿宋" w:hAnsi="仿宋" w:eastAsia="仿宋"/>
          <w:b/>
          <w:color w:val="auto"/>
          <w:sz w:val="32"/>
          <w:szCs w:val="32"/>
          <w:highlight w:val="none"/>
        </w:rPr>
        <w:t>（二）一般公共预算财政拨款支出决算结构情况</w:t>
      </w:r>
      <w:bookmarkEnd w:id="46"/>
    </w:p>
    <w:p w14:paraId="77F4DE52">
      <w:pPr>
        <w:spacing w:line="600" w:lineRule="exact"/>
        <w:ind w:firstLine="640"/>
        <w:rPr>
          <w:rFonts w:hint="default" w:ascii="仿宋" w:hAnsi="仿宋" w:eastAsia="仿宋"/>
          <w:b/>
          <w:color w:val="auto"/>
          <w:sz w:val="32"/>
          <w:szCs w:val="32"/>
          <w:highlight w:val="none"/>
          <w:lang w:val="en-US" w:eastAsia="zh-CN"/>
        </w:rPr>
      </w:pPr>
      <w:r>
        <w:rPr>
          <w:rFonts w:hint="eastAsia" w:ascii="仿宋" w:hAnsi="仿宋" w:eastAsia="仿宋"/>
          <w:color w:val="auto"/>
          <w:sz w:val="32"/>
          <w:szCs w:val="32"/>
          <w:highlight w:val="none"/>
          <w:lang w:eastAsia="zh-CN"/>
        </w:rPr>
        <w:t>2023年</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1047.78</w:t>
      </w:r>
      <w:r>
        <w:rPr>
          <w:rFonts w:hint="eastAsia" w:ascii="仿宋" w:hAnsi="仿宋" w:eastAsia="仿宋"/>
          <w:color w:val="auto"/>
          <w:sz w:val="32"/>
          <w:szCs w:val="32"/>
          <w:highlight w:val="none"/>
        </w:rPr>
        <w:t>万元，主要用于以下方面</w:t>
      </w:r>
      <w:r>
        <w:rPr>
          <w:rFonts w:hint="eastAsia" w:ascii="仿宋" w:hAnsi="仿宋" w:eastAsia="仿宋"/>
          <w:b w:val="0"/>
          <w:bCs w:val="0"/>
          <w:color w:val="auto"/>
          <w:sz w:val="32"/>
          <w:szCs w:val="32"/>
          <w:highlight w:val="none"/>
          <w:lang w:eastAsia="zh-CN"/>
        </w:rPr>
        <w:t>：</w:t>
      </w:r>
      <w:r>
        <w:rPr>
          <w:rFonts w:hint="eastAsia" w:ascii="仿宋" w:hAnsi="仿宋" w:eastAsia="仿宋"/>
          <w:b/>
          <w:color w:val="auto"/>
          <w:sz w:val="32"/>
          <w:szCs w:val="32"/>
          <w:highlight w:val="none"/>
          <w:lang w:val="en-US" w:eastAsia="zh-CN"/>
        </w:rPr>
        <w:t>社会保障和就业支出</w:t>
      </w:r>
      <w:r>
        <w:rPr>
          <w:rFonts w:hint="eastAsia" w:ascii="仿宋" w:hAnsi="仿宋" w:eastAsia="仿宋"/>
          <w:b/>
          <w:color w:val="auto"/>
          <w:sz w:val="32"/>
          <w:szCs w:val="32"/>
          <w:highlight w:val="none"/>
        </w:rPr>
        <w:t>（类）</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113.21</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占10.80%；</w:t>
      </w:r>
      <w:r>
        <w:rPr>
          <w:rFonts w:hint="eastAsia" w:ascii="仿宋" w:hAnsi="仿宋" w:eastAsia="仿宋"/>
          <w:b/>
          <w:color w:val="auto"/>
          <w:sz w:val="32"/>
          <w:szCs w:val="32"/>
          <w:highlight w:val="none"/>
          <w:lang w:val="en-US" w:eastAsia="zh-CN"/>
        </w:rPr>
        <w:t>卫生健康支出</w:t>
      </w:r>
      <w:r>
        <w:rPr>
          <w:rFonts w:hint="eastAsia" w:ascii="仿宋" w:hAnsi="仿宋" w:eastAsia="仿宋"/>
          <w:b/>
          <w:color w:val="auto"/>
          <w:sz w:val="32"/>
          <w:szCs w:val="32"/>
          <w:highlight w:val="none"/>
        </w:rPr>
        <w:t>（类）</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880.66</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占84.05%；</w:t>
      </w:r>
      <w:r>
        <w:rPr>
          <w:rFonts w:hint="eastAsia" w:ascii="仿宋" w:hAnsi="仿宋" w:eastAsia="仿宋"/>
          <w:b/>
          <w:color w:val="auto"/>
          <w:sz w:val="32"/>
          <w:szCs w:val="32"/>
          <w:highlight w:val="none"/>
          <w:lang w:val="en-US" w:eastAsia="zh-CN"/>
        </w:rPr>
        <w:t>住房保障支出</w:t>
      </w:r>
      <w:r>
        <w:rPr>
          <w:rFonts w:hint="eastAsia" w:ascii="仿宋" w:hAnsi="仿宋" w:eastAsia="仿宋"/>
          <w:b/>
          <w:color w:val="auto"/>
          <w:sz w:val="32"/>
          <w:szCs w:val="32"/>
          <w:highlight w:val="none"/>
        </w:rPr>
        <w:t>（类）</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53.90</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占5.14%.</w:t>
      </w:r>
    </w:p>
    <w:p w14:paraId="25717F27">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drawing>
          <wp:inline distT="0" distB="0" distL="114300" distR="114300">
            <wp:extent cx="5330825" cy="2623185"/>
            <wp:effectExtent l="4445" t="4445" r="17780" b="20320"/>
            <wp:docPr id="4" name="图表 4" descr="7b0a202020202263686172745265734964223a202232303436393832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2582A00">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（图6：一般公共预算财政拨款支出决算结构</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（饼状图）</w:t>
      </w:r>
    </w:p>
    <w:p w14:paraId="71F478A7">
      <w:pPr>
        <w:spacing w:line="600" w:lineRule="exact"/>
        <w:ind w:firstLine="640" w:firstLineChars="200"/>
        <w:rPr>
          <w:rFonts w:ascii="仿宋" w:hAnsi="仿宋" w:eastAsia="仿宋"/>
          <w:color w:val="auto"/>
          <w:sz w:val="32"/>
          <w:szCs w:val="32"/>
          <w:highlight w:val="none"/>
        </w:rPr>
      </w:pPr>
    </w:p>
    <w:p w14:paraId="32E57C4C">
      <w:pPr>
        <w:spacing w:line="600" w:lineRule="exact"/>
        <w:ind w:firstLine="643" w:firstLineChars="200"/>
        <w:outlineLvl w:val="2"/>
        <w:rPr>
          <w:rFonts w:ascii="仿宋" w:hAnsi="仿宋" w:eastAsia="仿宋"/>
          <w:b/>
          <w:color w:val="auto"/>
          <w:sz w:val="32"/>
          <w:szCs w:val="32"/>
          <w:highlight w:val="none"/>
        </w:rPr>
      </w:pPr>
      <w:bookmarkStart w:id="47" w:name="_Toc15377212"/>
      <w:r>
        <w:rPr>
          <w:rFonts w:hint="eastAsia" w:ascii="仿宋" w:hAnsi="仿宋" w:eastAsia="仿宋"/>
          <w:b/>
          <w:color w:val="auto"/>
          <w:sz w:val="32"/>
          <w:szCs w:val="32"/>
          <w:highlight w:val="none"/>
        </w:rPr>
        <w:t>（三）一般公共预算财政拨款支出决算具体情况</w:t>
      </w:r>
      <w:bookmarkEnd w:id="47"/>
    </w:p>
    <w:p w14:paraId="5AD0D9C9">
      <w:pPr>
        <w:spacing w:line="600" w:lineRule="exact"/>
        <w:ind w:firstLine="643" w:firstLineChars="200"/>
        <w:outlineLvl w:val="2"/>
        <w:rPr>
          <w:rFonts w:ascii="仿宋" w:hAnsi="仿宋" w:eastAsia="仿宋"/>
          <w:color w:val="auto"/>
          <w:sz w:val="32"/>
          <w:szCs w:val="32"/>
          <w:highlight w:val="none"/>
        </w:rPr>
      </w:pPr>
      <w:bookmarkStart w:id="48" w:name="_Toc15378460"/>
      <w:bookmarkStart w:id="49" w:name="_Toc15377213"/>
      <w:bookmarkStart w:id="50" w:name="_Toc15377444"/>
      <w:r>
        <w:rPr>
          <w:rFonts w:hint="eastAsia" w:ascii="仿宋" w:hAnsi="仿宋" w:eastAsia="仿宋"/>
          <w:b/>
          <w:color w:val="auto"/>
          <w:sz w:val="32"/>
          <w:szCs w:val="32"/>
          <w:highlight w:val="none"/>
          <w:lang w:eastAsia="zh-CN"/>
        </w:rPr>
        <w:t>2023年一</w:t>
      </w:r>
      <w:r>
        <w:rPr>
          <w:rFonts w:hint="eastAsia" w:ascii="仿宋" w:hAnsi="仿宋" w:eastAsia="仿宋"/>
          <w:b/>
          <w:color w:val="auto"/>
          <w:sz w:val="32"/>
          <w:szCs w:val="32"/>
          <w:highlight w:val="none"/>
        </w:rPr>
        <w:t>般公共预算支出决算数为</w:t>
      </w:r>
      <w:r>
        <w:rPr>
          <w:rFonts w:hint="eastAsia" w:ascii="仿宋" w:hAnsi="仿宋" w:eastAsia="仿宋"/>
          <w:b/>
          <w:color w:val="auto"/>
          <w:sz w:val="32"/>
          <w:szCs w:val="32"/>
          <w:highlight w:val="none"/>
          <w:lang w:val="en-US" w:eastAsia="zh-CN"/>
        </w:rPr>
        <w:t>1047.78</w:t>
      </w:r>
      <w:r>
        <w:rPr>
          <w:rFonts w:hint="eastAsia" w:ascii="仿宋" w:hAnsi="仿宋" w:eastAsia="仿宋"/>
          <w:color w:val="auto"/>
          <w:sz w:val="32"/>
          <w:szCs w:val="32"/>
          <w:highlight w:val="none"/>
          <w:lang w:val="en-US" w:eastAsia="zh-CN"/>
        </w:rPr>
        <w:t>万元</w:t>
      </w:r>
      <w:r>
        <w:rPr>
          <w:rFonts w:hint="eastAsia" w:ascii="仿宋" w:hAnsi="仿宋" w:eastAsia="仿宋"/>
          <w:color w:val="auto"/>
          <w:sz w:val="32"/>
          <w:szCs w:val="32"/>
          <w:highlight w:val="none"/>
        </w:rPr>
        <w:t>，</w:t>
      </w:r>
      <w:r>
        <w:rPr>
          <w:rStyle w:val="25"/>
          <w:rFonts w:hint="eastAsia" w:ascii="仿宋" w:hAnsi="仿宋" w:eastAsia="仿宋"/>
          <w:bCs/>
          <w:color w:val="auto"/>
          <w:sz w:val="32"/>
          <w:szCs w:val="32"/>
          <w:highlight w:val="none"/>
        </w:rPr>
        <w:t>完成预算</w:t>
      </w:r>
      <w:r>
        <w:rPr>
          <w:rStyle w:val="25"/>
          <w:rFonts w:hint="eastAsia" w:ascii="仿宋" w:hAnsi="仿宋" w:eastAsia="仿宋"/>
          <w:bCs/>
          <w:color w:val="auto"/>
          <w:sz w:val="32"/>
          <w:szCs w:val="32"/>
          <w:highlight w:val="none"/>
          <w:lang w:val="en-US" w:eastAsia="zh-CN"/>
        </w:rPr>
        <w:t>100</w:t>
      </w:r>
      <w:r>
        <w:rPr>
          <w:rStyle w:val="25"/>
          <w:rFonts w:ascii="仿宋" w:hAnsi="仿宋" w:eastAsia="仿宋"/>
          <w:bCs/>
          <w:color w:val="auto"/>
          <w:sz w:val="32"/>
          <w:szCs w:val="32"/>
          <w:highlight w:val="none"/>
        </w:rPr>
        <w:t>%</w:t>
      </w:r>
      <w:r>
        <w:rPr>
          <w:rStyle w:val="25"/>
          <w:rFonts w:hint="eastAsia" w:ascii="仿宋" w:hAnsi="仿宋" w:eastAsia="仿宋"/>
          <w:bCs/>
          <w:color w:val="auto"/>
          <w:sz w:val="32"/>
          <w:szCs w:val="32"/>
          <w:highlight w:val="none"/>
        </w:rPr>
        <w:t>。其中：</w:t>
      </w:r>
      <w:bookmarkEnd w:id="48"/>
      <w:bookmarkEnd w:id="49"/>
      <w:bookmarkEnd w:id="50"/>
    </w:p>
    <w:p w14:paraId="041BF6E5">
      <w:pPr>
        <w:numPr>
          <w:ilvl w:val="0"/>
          <w:numId w:val="4"/>
        </w:numPr>
        <w:spacing w:line="600" w:lineRule="exact"/>
        <w:ind w:left="-13" w:leftChars="0" w:firstLine="643" w:firstLineChars="0"/>
        <w:rPr>
          <w:rFonts w:ascii="仿宋" w:hAnsi="仿宋" w:eastAsia="仿宋"/>
          <w:b/>
          <w:color w:val="auto"/>
          <w:sz w:val="32"/>
          <w:szCs w:val="32"/>
          <w:highlight w:val="none"/>
        </w:rPr>
      </w:pPr>
      <w:r>
        <w:rPr>
          <w:rStyle w:val="25"/>
          <w:rFonts w:hint="eastAsia" w:ascii="仿宋" w:hAnsi="仿宋" w:eastAsia="仿宋"/>
          <w:bCs/>
          <w:color w:val="auto"/>
          <w:sz w:val="32"/>
          <w:szCs w:val="32"/>
          <w:highlight w:val="none"/>
          <w:lang w:val="en-US" w:eastAsia="zh-CN"/>
        </w:rPr>
        <w:t>社会保障和就业支出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208</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行政事业单位养老支出</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05</w:t>
      </w:r>
      <w:r>
        <w:rPr>
          <w:rFonts w:hint="eastAsia" w:ascii="仿宋" w:hAnsi="仿宋" w:eastAsia="仿宋"/>
          <w:b/>
          <w:bCs w:val="0"/>
          <w:color w:val="auto"/>
          <w:sz w:val="32"/>
          <w:szCs w:val="32"/>
          <w:lang w:eastAsia="zh-CN"/>
        </w:rPr>
        <w:t>）机关事业单位基本养老保险缴费支出（</w:t>
      </w:r>
      <w:r>
        <w:rPr>
          <w:rFonts w:hint="eastAsia" w:ascii="仿宋" w:hAnsi="仿宋" w:eastAsia="仿宋"/>
          <w:b/>
          <w:bCs w:val="0"/>
          <w:color w:val="auto"/>
          <w:sz w:val="32"/>
          <w:szCs w:val="32"/>
          <w:lang w:val="en-US" w:eastAsia="zh-CN"/>
        </w:rPr>
        <w:t>05</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Style w:val="25"/>
          <w:rFonts w:hint="eastAsia" w:ascii="仿宋" w:hAnsi="仿宋" w:eastAsia="仿宋"/>
          <w:b w:val="0"/>
          <w:bCs/>
          <w:color w:val="auto"/>
          <w:sz w:val="32"/>
          <w:szCs w:val="32"/>
          <w:lang w:val="en-US" w:eastAsia="zh-CN"/>
        </w:rPr>
        <w:t>69.16</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r>
        <w:rPr>
          <w:rStyle w:val="25"/>
          <w:rFonts w:hint="eastAsia" w:ascii="仿宋" w:hAnsi="仿宋" w:eastAsia="仿宋"/>
          <w:b w:val="0"/>
          <w:bCs/>
          <w:color w:val="000000"/>
          <w:sz w:val="32"/>
          <w:szCs w:val="32"/>
          <w:lang w:val="en-US" w:eastAsia="zh-CN"/>
        </w:rPr>
        <w:t>与全年预算数持平</w:t>
      </w:r>
      <w:r>
        <w:rPr>
          <w:rStyle w:val="25"/>
          <w:rFonts w:hint="eastAsia" w:ascii="仿宋" w:hAnsi="仿宋" w:eastAsia="仿宋"/>
          <w:b w:val="0"/>
          <w:bCs/>
          <w:color w:val="000000"/>
          <w:sz w:val="32"/>
          <w:szCs w:val="32"/>
          <w:lang w:eastAsia="zh-CN"/>
        </w:rPr>
        <w:t>。</w:t>
      </w:r>
    </w:p>
    <w:p w14:paraId="128B88A5">
      <w:pPr>
        <w:numPr>
          <w:ilvl w:val="0"/>
          <w:numId w:val="4"/>
        </w:numPr>
        <w:spacing w:line="600" w:lineRule="exact"/>
        <w:ind w:left="-13" w:leftChars="0" w:firstLine="643" w:firstLineChars="0"/>
      </w:pPr>
      <w:r>
        <w:rPr>
          <w:rStyle w:val="25"/>
          <w:rFonts w:hint="eastAsia" w:ascii="仿宋" w:hAnsi="仿宋" w:eastAsia="仿宋"/>
          <w:bCs/>
          <w:color w:val="auto"/>
          <w:sz w:val="32"/>
          <w:szCs w:val="32"/>
          <w:highlight w:val="none"/>
          <w:lang w:val="en-US" w:eastAsia="zh-CN"/>
        </w:rPr>
        <w:t>社会保障和就业支出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208</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行政事业单位养老支出</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05</w:t>
      </w:r>
      <w:r>
        <w:rPr>
          <w:rFonts w:hint="eastAsia" w:ascii="仿宋" w:hAnsi="仿宋" w:eastAsia="仿宋"/>
          <w:b/>
          <w:bCs w:val="0"/>
          <w:color w:val="auto"/>
          <w:sz w:val="32"/>
          <w:szCs w:val="32"/>
          <w:lang w:eastAsia="zh-CN"/>
        </w:rPr>
        <w:t>）机关事业单位职业年金缴费支出（</w:t>
      </w:r>
      <w:r>
        <w:rPr>
          <w:rFonts w:hint="eastAsia" w:ascii="仿宋" w:hAnsi="仿宋" w:eastAsia="仿宋"/>
          <w:b/>
          <w:bCs w:val="0"/>
          <w:color w:val="auto"/>
          <w:sz w:val="32"/>
          <w:szCs w:val="32"/>
          <w:lang w:val="en-US" w:eastAsia="zh-CN"/>
        </w:rPr>
        <w:t>06</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Style w:val="25"/>
          <w:rFonts w:hint="eastAsia" w:ascii="仿宋" w:hAnsi="仿宋" w:eastAsia="仿宋"/>
          <w:b w:val="0"/>
          <w:bCs/>
          <w:color w:val="auto"/>
          <w:sz w:val="32"/>
          <w:szCs w:val="32"/>
          <w:lang w:val="en-US" w:eastAsia="zh-CN"/>
        </w:rPr>
        <w:t>18.92</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r>
        <w:rPr>
          <w:rStyle w:val="25"/>
          <w:rFonts w:hint="eastAsia" w:ascii="仿宋" w:hAnsi="仿宋" w:eastAsia="仿宋"/>
          <w:b w:val="0"/>
          <w:bCs/>
          <w:color w:val="000000"/>
          <w:sz w:val="32"/>
          <w:szCs w:val="32"/>
          <w:lang w:val="en-US" w:eastAsia="zh-CN"/>
        </w:rPr>
        <w:t>与全年预算数持平</w:t>
      </w:r>
      <w:r>
        <w:rPr>
          <w:rStyle w:val="25"/>
          <w:rFonts w:hint="eastAsia" w:ascii="仿宋" w:hAnsi="仿宋" w:eastAsia="仿宋"/>
          <w:b w:val="0"/>
          <w:bCs/>
          <w:color w:val="000000"/>
          <w:sz w:val="32"/>
          <w:szCs w:val="32"/>
          <w:lang w:eastAsia="zh-CN"/>
        </w:rPr>
        <w:t>。</w:t>
      </w:r>
    </w:p>
    <w:p w14:paraId="2753C047">
      <w:pPr>
        <w:numPr>
          <w:ilvl w:val="0"/>
          <w:numId w:val="4"/>
        </w:numPr>
        <w:spacing w:line="600" w:lineRule="exact"/>
        <w:ind w:left="-13" w:leftChars="0" w:firstLine="643" w:firstLineChars="0"/>
      </w:pPr>
      <w:r>
        <w:rPr>
          <w:rStyle w:val="25"/>
          <w:rFonts w:hint="eastAsia" w:ascii="仿宋" w:hAnsi="仿宋" w:eastAsia="仿宋"/>
          <w:bCs/>
          <w:color w:val="auto"/>
          <w:sz w:val="32"/>
          <w:szCs w:val="32"/>
          <w:highlight w:val="none"/>
          <w:lang w:val="en-US" w:eastAsia="zh-CN"/>
        </w:rPr>
        <w:t>社会保障和就业支出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208</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抚恤</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01</w:t>
      </w:r>
      <w:r>
        <w:rPr>
          <w:rFonts w:hint="eastAsia" w:ascii="仿宋" w:hAnsi="仿宋" w:eastAsia="仿宋"/>
          <w:b/>
          <w:bCs w:val="0"/>
          <w:color w:val="auto"/>
          <w:sz w:val="32"/>
          <w:szCs w:val="32"/>
          <w:lang w:eastAsia="zh-CN"/>
        </w:rPr>
        <w:t>）死亡抚恤（</w:t>
      </w:r>
      <w:r>
        <w:rPr>
          <w:rFonts w:hint="eastAsia" w:ascii="仿宋" w:hAnsi="仿宋" w:eastAsia="仿宋"/>
          <w:b/>
          <w:bCs w:val="0"/>
          <w:color w:val="auto"/>
          <w:sz w:val="32"/>
          <w:szCs w:val="32"/>
          <w:lang w:val="en-US" w:eastAsia="zh-CN"/>
        </w:rPr>
        <w:t>01</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Style w:val="25"/>
          <w:rFonts w:hint="eastAsia" w:ascii="仿宋" w:hAnsi="仿宋" w:eastAsia="仿宋"/>
          <w:b w:val="0"/>
          <w:bCs/>
          <w:color w:val="auto"/>
          <w:sz w:val="32"/>
          <w:szCs w:val="32"/>
          <w:lang w:val="en-US" w:eastAsia="zh-CN"/>
        </w:rPr>
        <w:t>10.27</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r>
        <w:rPr>
          <w:rStyle w:val="25"/>
          <w:rFonts w:hint="eastAsia" w:ascii="仿宋" w:hAnsi="仿宋" w:eastAsia="仿宋"/>
          <w:b w:val="0"/>
          <w:bCs/>
          <w:color w:val="000000"/>
          <w:sz w:val="32"/>
          <w:szCs w:val="32"/>
          <w:lang w:val="en-US" w:eastAsia="zh-CN"/>
        </w:rPr>
        <w:t>与全年预算数持平</w:t>
      </w:r>
      <w:r>
        <w:rPr>
          <w:rStyle w:val="25"/>
          <w:rFonts w:hint="eastAsia" w:ascii="仿宋" w:hAnsi="仿宋" w:eastAsia="仿宋"/>
          <w:b w:val="0"/>
          <w:bCs/>
          <w:color w:val="000000"/>
          <w:sz w:val="32"/>
          <w:szCs w:val="32"/>
          <w:lang w:eastAsia="zh-CN"/>
        </w:rPr>
        <w:t>。</w:t>
      </w:r>
    </w:p>
    <w:p w14:paraId="675A1275">
      <w:pPr>
        <w:numPr>
          <w:ilvl w:val="0"/>
          <w:numId w:val="4"/>
        </w:numPr>
        <w:spacing w:line="600" w:lineRule="exact"/>
        <w:ind w:left="-13" w:leftChars="0" w:firstLine="643" w:firstLineChars="0"/>
        <w:rPr>
          <w:rFonts w:ascii="仿宋" w:hAnsi="仿宋" w:eastAsia="仿宋"/>
          <w:b/>
          <w:color w:val="auto"/>
          <w:sz w:val="32"/>
          <w:szCs w:val="32"/>
          <w:highlight w:val="none"/>
        </w:rPr>
      </w:pPr>
      <w:r>
        <w:rPr>
          <w:rStyle w:val="25"/>
          <w:rFonts w:hint="eastAsia" w:ascii="仿宋" w:hAnsi="仿宋" w:eastAsia="仿宋"/>
          <w:bCs/>
          <w:color w:val="auto"/>
          <w:sz w:val="32"/>
          <w:szCs w:val="32"/>
          <w:highlight w:val="none"/>
          <w:lang w:val="en-US" w:eastAsia="zh-CN"/>
        </w:rPr>
        <w:t>社会保障和就业支出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208</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其他社会保障和就业支出</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99</w:t>
      </w:r>
      <w:r>
        <w:rPr>
          <w:rFonts w:hint="eastAsia" w:ascii="仿宋" w:hAnsi="仿宋" w:eastAsia="仿宋"/>
          <w:b/>
          <w:bCs w:val="0"/>
          <w:color w:val="auto"/>
          <w:sz w:val="32"/>
          <w:szCs w:val="32"/>
          <w:lang w:eastAsia="zh-CN"/>
        </w:rPr>
        <w:t>）其他社会保障和就业支出（</w:t>
      </w:r>
      <w:r>
        <w:rPr>
          <w:rFonts w:hint="eastAsia" w:ascii="仿宋" w:hAnsi="仿宋" w:eastAsia="仿宋"/>
          <w:b/>
          <w:bCs w:val="0"/>
          <w:color w:val="auto"/>
          <w:sz w:val="32"/>
          <w:szCs w:val="32"/>
          <w:lang w:val="en-US" w:eastAsia="zh-CN"/>
        </w:rPr>
        <w:t>99</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Style w:val="25"/>
          <w:rFonts w:hint="eastAsia" w:ascii="仿宋" w:hAnsi="仿宋" w:eastAsia="仿宋"/>
          <w:b w:val="0"/>
          <w:bCs/>
          <w:color w:val="auto"/>
          <w:sz w:val="32"/>
          <w:szCs w:val="32"/>
          <w:lang w:val="en-US" w:eastAsia="zh-CN"/>
        </w:rPr>
        <w:t>14.86</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r>
        <w:rPr>
          <w:rStyle w:val="25"/>
          <w:rFonts w:hint="eastAsia" w:ascii="仿宋" w:hAnsi="仿宋" w:eastAsia="仿宋"/>
          <w:b w:val="0"/>
          <w:bCs/>
          <w:color w:val="000000"/>
          <w:sz w:val="32"/>
          <w:szCs w:val="32"/>
          <w:lang w:val="en-US" w:eastAsia="zh-CN"/>
        </w:rPr>
        <w:t>与全年预算数持平</w:t>
      </w:r>
      <w:r>
        <w:rPr>
          <w:rStyle w:val="25"/>
          <w:rFonts w:hint="eastAsia" w:ascii="仿宋" w:hAnsi="仿宋" w:eastAsia="仿宋"/>
          <w:b w:val="0"/>
          <w:bCs/>
          <w:color w:val="000000"/>
          <w:sz w:val="32"/>
          <w:szCs w:val="32"/>
          <w:lang w:eastAsia="zh-CN"/>
        </w:rPr>
        <w:t>。</w:t>
      </w:r>
    </w:p>
    <w:p w14:paraId="0D1EC057">
      <w:pPr>
        <w:numPr>
          <w:ilvl w:val="0"/>
          <w:numId w:val="4"/>
        </w:numPr>
        <w:spacing w:line="600" w:lineRule="exact"/>
        <w:ind w:left="-13" w:leftChars="0" w:firstLine="643" w:firstLineChars="0"/>
        <w:rPr>
          <w:rFonts w:ascii="仿宋" w:hAnsi="仿宋" w:eastAsia="仿宋"/>
          <w:b/>
          <w:color w:val="auto"/>
          <w:sz w:val="32"/>
          <w:szCs w:val="32"/>
          <w:highlight w:val="none"/>
        </w:rPr>
      </w:pPr>
      <w:bookmarkStart w:id="51" w:name="_Toc15377214"/>
      <w:bookmarkStart w:id="52" w:name="_Toc15396608"/>
      <w:r>
        <w:rPr>
          <w:rStyle w:val="25"/>
          <w:rFonts w:hint="eastAsia" w:ascii="仿宋" w:hAnsi="仿宋" w:eastAsia="仿宋"/>
          <w:bCs/>
          <w:color w:val="auto"/>
          <w:sz w:val="32"/>
          <w:szCs w:val="32"/>
          <w:highlight w:val="none"/>
          <w:lang w:val="en-US" w:eastAsia="zh-CN"/>
        </w:rPr>
        <w:t>卫生健康支出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210</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公共卫生</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04）疾病预防控制机构</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01</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Style w:val="25"/>
          <w:rFonts w:hint="eastAsia" w:ascii="仿宋" w:hAnsi="仿宋" w:eastAsia="仿宋"/>
          <w:b w:val="0"/>
          <w:bCs/>
          <w:color w:val="auto"/>
          <w:sz w:val="32"/>
          <w:szCs w:val="32"/>
          <w:lang w:val="en-US" w:eastAsia="zh-CN"/>
        </w:rPr>
        <w:t>622.83</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r>
        <w:rPr>
          <w:rStyle w:val="25"/>
          <w:rFonts w:hint="eastAsia" w:ascii="仿宋" w:hAnsi="仿宋" w:eastAsia="仿宋"/>
          <w:b w:val="0"/>
          <w:bCs/>
          <w:color w:val="000000"/>
          <w:sz w:val="32"/>
          <w:szCs w:val="32"/>
          <w:lang w:val="en-US" w:eastAsia="zh-CN"/>
        </w:rPr>
        <w:t>与全年预算数持平</w:t>
      </w:r>
      <w:r>
        <w:rPr>
          <w:rStyle w:val="25"/>
          <w:rFonts w:hint="eastAsia" w:ascii="仿宋" w:hAnsi="仿宋" w:eastAsia="仿宋"/>
          <w:b w:val="0"/>
          <w:bCs/>
          <w:color w:val="000000"/>
          <w:sz w:val="32"/>
          <w:szCs w:val="32"/>
          <w:lang w:eastAsia="zh-CN"/>
        </w:rPr>
        <w:t>。</w:t>
      </w:r>
    </w:p>
    <w:p w14:paraId="29D70432">
      <w:pPr>
        <w:numPr>
          <w:ilvl w:val="0"/>
          <w:numId w:val="4"/>
        </w:numPr>
        <w:spacing w:line="600" w:lineRule="exact"/>
        <w:ind w:left="-13" w:leftChars="0" w:firstLine="643" w:firstLineChars="0"/>
      </w:pPr>
      <w:r>
        <w:rPr>
          <w:rStyle w:val="25"/>
          <w:rFonts w:hint="eastAsia" w:ascii="仿宋" w:hAnsi="仿宋" w:eastAsia="仿宋"/>
          <w:bCs/>
          <w:color w:val="auto"/>
          <w:sz w:val="32"/>
          <w:szCs w:val="32"/>
          <w:highlight w:val="none"/>
          <w:lang w:val="en-US" w:eastAsia="zh-CN"/>
        </w:rPr>
        <w:t>卫生健康支出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210</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公共卫生</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04）基本公共卫生服务</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08</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Style w:val="25"/>
          <w:rFonts w:hint="eastAsia" w:ascii="仿宋" w:hAnsi="仿宋" w:eastAsia="仿宋"/>
          <w:b w:val="0"/>
          <w:bCs/>
          <w:color w:val="auto"/>
          <w:sz w:val="32"/>
          <w:szCs w:val="32"/>
          <w:lang w:val="en-US" w:eastAsia="zh-CN"/>
        </w:rPr>
        <w:t>16.01</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r>
        <w:rPr>
          <w:rStyle w:val="25"/>
          <w:rFonts w:hint="eastAsia" w:ascii="仿宋" w:hAnsi="仿宋" w:eastAsia="仿宋"/>
          <w:b w:val="0"/>
          <w:bCs/>
          <w:color w:val="000000"/>
          <w:sz w:val="32"/>
          <w:szCs w:val="32"/>
          <w:lang w:val="en-US" w:eastAsia="zh-CN"/>
        </w:rPr>
        <w:t>与全年预算数持平</w:t>
      </w:r>
      <w:r>
        <w:rPr>
          <w:rStyle w:val="25"/>
          <w:rFonts w:hint="eastAsia" w:ascii="仿宋" w:hAnsi="仿宋" w:eastAsia="仿宋"/>
          <w:b w:val="0"/>
          <w:bCs/>
          <w:color w:val="000000"/>
          <w:sz w:val="32"/>
          <w:szCs w:val="32"/>
          <w:lang w:eastAsia="zh-CN"/>
        </w:rPr>
        <w:t>。</w:t>
      </w:r>
    </w:p>
    <w:p w14:paraId="345D0A06">
      <w:pPr>
        <w:numPr>
          <w:ilvl w:val="0"/>
          <w:numId w:val="4"/>
        </w:numPr>
        <w:spacing w:line="600" w:lineRule="exact"/>
        <w:ind w:left="-13" w:leftChars="0" w:firstLine="643" w:firstLineChars="0"/>
      </w:pPr>
      <w:r>
        <w:rPr>
          <w:rStyle w:val="25"/>
          <w:rFonts w:hint="eastAsia" w:ascii="仿宋" w:hAnsi="仿宋" w:eastAsia="仿宋"/>
          <w:bCs/>
          <w:color w:val="auto"/>
          <w:sz w:val="32"/>
          <w:szCs w:val="32"/>
          <w:highlight w:val="none"/>
          <w:lang w:val="en-US" w:eastAsia="zh-CN"/>
        </w:rPr>
        <w:t>卫生健康支出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210</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公共卫生</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04）重大公共卫生服务</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09</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Style w:val="25"/>
          <w:rFonts w:hint="eastAsia" w:ascii="仿宋" w:hAnsi="仿宋" w:eastAsia="仿宋"/>
          <w:b w:val="0"/>
          <w:bCs/>
          <w:color w:val="auto"/>
          <w:sz w:val="32"/>
          <w:szCs w:val="32"/>
          <w:lang w:val="en-US" w:eastAsia="zh-CN"/>
        </w:rPr>
        <w:t>135.43</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r>
        <w:rPr>
          <w:rStyle w:val="25"/>
          <w:rFonts w:hint="eastAsia" w:ascii="仿宋" w:hAnsi="仿宋" w:eastAsia="仿宋"/>
          <w:b w:val="0"/>
          <w:bCs/>
          <w:color w:val="000000"/>
          <w:sz w:val="32"/>
          <w:szCs w:val="32"/>
          <w:lang w:val="en-US" w:eastAsia="zh-CN"/>
        </w:rPr>
        <w:t>与全年预算数持平</w:t>
      </w:r>
      <w:r>
        <w:rPr>
          <w:rStyle w:val="25"/>
          <w:rFonts w:hint="eastAsia" w:ascii="仿宋" w:hAnsi="仿宋" w:eastAsia="仿宋"/>
          <w:b w:val="0"/>
          <w:bCs/>
          <w:color w:val="000000"/>
          <w:sz w:val="32"/>
          <w:szCs w:val="32"/>
          <w:lang w:eastAsia="zh-CN"/>
        </w:rPr>
        <w:t>。</w:t>
      </w:r>
    </w:p>
    <w:p w14:paraId="734112FA">
      <w:pPr>
        <w:numPr>
          <w:ilvl w:val="0"/>
          <w:numId w:val="4"/>
        </w:numPr>
        <w:spacing w:line="600" w:lineRule="exact"/>
        <w:ind w:left="-13" w:leftChars="0" w:firstLine="643" w:firstLineChars="0"/>
      </w:pPr>
      <w:r>
        <w:rPr>
          <w:rStyle w:val="25"/>
          <w:rFonts w:hint="eastAsia" w:ascii="仿宋" w:hAnsi="仿宋" w:eastAsia="仿宋"/>
          <w:bCs/>
          <w:color w:val="auto"/>
          <w:sz w:val="32"/>
          <w:szCs w:val="32"/>
          <w:highlight w:val="none"/>
          <w:lang w:val="en-US" w:eastAsia="zh-CN"/>
        </w:rPr>
        <w:t>卫生健康支出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210</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公共卫生</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04）突发公共卫生事件应急处理</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10</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Style w:val="25"/>
          <w:rFonts w:hint="eastAsia" w:ascii="仿宋" w:hAnsi="仿宋" w:eastAsia="仿宋"/>
          <w:b w:val="0"/>
          <w:bCs/>
          <w:color w:val="auto"/>
          <w:sz w:val="32"/>
          <w:szCs w:val="32"/>
          <w:lang w:val="en-US" w:eastAsia="zh-CN"/>
        </w:rPr>
        <w:t>54.98</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r>
        <w:rPr>
          <w:rStyle w:val="25"/>
          <w:rFonts w:hint="eastAsia" w:ascii="仿宋" w:hAnsi="仿宋" w:eastAsia="仿宋"/>
          <w:b w:val="0"/>
          <w:bCs/>
          <w:color w:val="000000"/>
          <w:sz w:val="32"/>
          <w:szCs w:val="32"/>
          <w:lang w:val="en-US" w:eastAsia="zh-CN"/>
        </w:rPr>
        <w:t>与全年预算数持平</w:t>
      </w:r>
      <w:r>
        <w:rPr>
          <w:rStyle w:val="25"/>
          <w:rFonts w:hint="eastAsia" w:ascii="仿宋" w:hAnsi="仿宋" w:eastAsia="仿宋"/>
          <w:b w:val="0"/>
          <w:bCs/>
          <w:color w:val="000000"/>
          <w:sz w:val="32"/>
          <w:szCs w:val="32"/>
          <w:lang w:eastAsia="zh-CN"/>
        </w:rPr>
        <w:t>。</w:t>
      </w:r>
    </w:p>
    <w:p w14:paraId="1959A0EC">
      <w:pPr>
        <w:numPr>
          <w:ilvl w:val="0"/>
          <w:numId w:val="4"/>
        </w:numPr>
        <w:spacing w:line="600" w:lineRule="exact"/>
        <w:ind w:left="-13" w:leftChars="0" w:firstLine="643" w:firstLineChars="0"/>
      </w:pPr>
      <w:r>
        <w:rPr>
          <w:rStyle w:val="25"/>
          <w:rFonts w:hint="eastAsia" w:ascii="仿宋" w:hAnsi="仿宋" w:eastAsia="仿宋"/>
          <w:bCs/>
          <w:color w:val="auto"/>
          <w:sz w:val="32"/>
          <w:szCs w:val="32"/>
          <w:highlight w:val="none"/>
          <w:lang w:val="en-US" w:eastAsia="zh-CN"/>
        </w:rPr>
        <w:t>卫生健康支出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210</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行政事业单位医疗</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11）事业单位医疗</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02</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Style w:val="25"/>
          <w:rFonts w:hint="eastAsia" w:ascii="仿宋" w:hAnsi="仿宋" w:eastAsia="仿宋"/>
          <w:b w:val="0"/>
          <w:bCs/>
          <w:color w:val="auto"/>
          <w:sz w:val="32"/>
          <w:szCs w:val="32"/>
          <w:lang w:val="en-US" w:eastAsia="zh-CN"/>
        </w:rPr>
        <w:t>19.90</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r>
        <w:rPr>
          <w:rStyle w:val="25"/>
          <w:rFonts w:hint="eastAsia" w:ascii="仿宋" w:hAnsi="仿宋" w:eastAsia="仿宋"/>
          <w:b w:val="0"/>
          <w:bCs/>
          <w:color w:val="000000"/>
          <w:sz w:val="32"/>
          <w:szCs w:val="32"/>
          <w:lang w:val="en-US" w:eastAsia="zh-CN"/>
        </w:rPr>
        <w:t>与全年预算数持平</w:t>
      </w:r>
      <w:r>
        <w:rPr>
          <w:rStyle w:val="25"/>
          <w:rFonts w:hint="eastAsia" w:ascii="仿宋" w:hAnsi="仿宋" w:eastAsia="仿宋"/>
          <w:b w:val="0"/>
          <w:bCs/>
          <w:color w:val="000000"/>
          <w:sz w:val="32"/>
          <w:szCs w:val="32"/>
          <w:lang w:eastAsia="zh-CN"/>
        </w:rPr>
        <w:t>。</w:t>
      </w:r>
    </w:p>
    <w:p w14:paraId="6504D185">
      <w:pPr>
        <w:numPr>
          <w:ilvl w:val="0"/>
          <w:numId w:val="4"/>
        </w:numPr>
        <w:spacing w:line="600" w:lineRule="exact"/>
        <w:ind w:left="-13" w:leftChars="0" w:firstLine="643" w:firstLineChars="0"/>
      </w:pPr>
      <w:r>
        <w:rPr>
          <w:rStyle w:val="25"/>
          <w:rFonts w:hint="eastAsia" w:ascii="仿宋" w:hAnsi="仿宋" w:eastAsia="仿宋"/>
          <w:bCs/>
          <w:color w:val="auto"/>
          <w:sz w:val="32"/>
          <w:szCs w:val="32"/>
          <w:highlight w:val="none"/>
          <w:lang w:val="en-US" w:eastAsia="zh-CN"/>
        </w:rPr>
        <w:t>卫生健康支出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210</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其他卫生健康支出</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99）其他卫生健康支出</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99</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Style w:val="25"/>
          <w:rFonts w:hint="eastAsia" w:ascii="仿宋" w:hAnsi="仿宋" w:eastAsia="仿宋"/>
          <w:b w:val="0"/>
          <w:bCs/>
          <w:color w:val="auto"/>
          <w:sz w:val="32"/>
          <w:szCs w:val="32"/>
          <w:lang w:val="en-US" w:eastAsia="zh-CN"/>
        </w:rPr>
        <w:t>31.52</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r>
        <w:rPr>
          <w:rStyle w:val="25"/>
          <w:rFonts w:hint="eastAsia" w:ascii="仿宋" w:hAnsi="仿宋" w:eastAsia="仿宋"/>
          <w:b w:val="0"/>
          <w:bCs/>
          <w:color w:val="000000"/>
          <w:sz w:val="32"/>
          <w:szCs w:val="32"/>
          <w:lang w:val="en-US" w:eastAsia="zh-CN"/>
        </w:rPr>
        <w:t>与全年预算数持平</w:t>
      </w:r>
      <w:r>
        <w:rPr>
          <w:rStyle w:val="25"/>
          <w:rFonts w:hint="eastAsia" w:ascii="仿宋" w:hAnsi="仿宋" w:eastAsia="仿宋"/>
          <w:b w:val="0"/>
          <w:bCs/>
          <w:color w:val="000000"/>
          <w:sz w:val="32"/>
          <w:szCs w:val="32"/>
          <w:lang w:eastAsia="zh-CN"/>
        </w:rPr>
        <w:t>。</w:t>
      </w:r>
    </w:p>
    <w:p w14:paraId="64D6BA68">
      <w:pPr>
        <w:numPr>
          <w:ilvl w:val="0"/>
          <w:numId w:val="4"/>
        </w:numPr>
        <w:spacing w:line="600" w:lineRule="exact"/>
        <w:ind w:left="-13" w:leftChars="0" w:firstLine="643" w:firstLineChars="0"/>
      </w:pPr>
      <w:r>
        <w:rPr>
          <w:rStyle w:val="25"/>
          <w:rFonts w:hint="eastAsia" w:ascii="仿宋" w:hAnsi="仿宋" w:eastAsia="仿宋"/>
          <w:bCs/>
          <w:color w:val="auto"/>
          <w:sz w:val="32"/>
          <w:szCs w:val="32"/>
          <w:highlight w:val="none"/>
          <w:lang w:val="en-US" w:eastAsia="zh-CN"/>
        </w:rPr>
        <w:t>住房保障支出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221</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住房改革支出</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02）住房公积金</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01</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Style w:val="25"/>
          <w:rFonts w:hint="eastAsia" w:ascii="仿宋" w:hAnsi="仿宋" w:eastAsia="仿宋"/>
          <w:b w:val="0"/>
          <w:bCs/>
          <w:color w:val="auto"/>
          <w:sz w:val="32"/>
          <w:szCs w:val="32"/>
          <w:lang w:val="en-US" w:eastAsia="zh-CN"/>
        </w:rPr>
        <w:t>53.90</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r>
        <w:rPr>
          <w:rStyle w:val="25"/>
          <w:rFonts w:hint="eastAsia" w:ascii="仿宋" w:hAnsi="仿宋" w:eastAsia="仿宋"/>
          <w:b w:val="0"/>
          <w:bCs/>
          <w:color w:val="000000"/>
          <w:sz w:val="32"/>
          <w:szCs w:val="32"/>
          <w:lang w:val="en-US" w:eastAsia="zh-CN"/>
        </w:rPr>
        <w:t>与全年预算数持平</w:t>
      </w:r>
      <w:r>
        <w:rPr>
          <w:rStyle w:val="25"/>
          <w:rFonts w:hint="eastAsia" w:ascii="仿宋" w:hAnsi="仿宋" w:eastAsia="仿宋"/>
          <w:b w:val="0"/>
          <w:bCs/>
          <w:color w:val="000000"/>
          <w:sz w:val="32"/>
          <w:szCs w:val="32"/>
          <w:lang w:eastAsia="zh-CN"/>
        </w:rPr>
        <w:t>。</w:t>
      </w:r>
    </w:p>
    <w:p w14:paraId="1184C9E5">
      <w:pPr>
        <w:tabs>
          <w:tab w:val="right" w:pos="8306"/>
        </w:tabs>
        <w:spacing w:line="600" w:lineRule="exact"/>
        <w:ind w:firstLine="640"/>
        <w:outlineLvl w:val="1"/>
        <w:rPr>
          <w:rStyle w:val="41"/>
          <w:color w:val="auto"/>
          <w:highlight w:val="none"/>
        </w:rPr>
      </w:pPr>
      <w:bookmarkStart w:id="53" w:name="_Toc5693"/>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41"/>
          <w:rFonts w:hint="eastAsia" w:ascii="黑体" w:hAnsi="黑体" w:eastAsia="黑体"/>
          <w:b w:val="0"/>
          <w:color w:val="auto"/>
          <w:highlight w:val="none"/>
        </w:rPr>
        <w:t>般公共预算财政拨款基本支出决算情况说明</w:t>
      </w:r>
      <w:bookmarkEnd w:id="51"/>
      <w:bookmarkEnd w:id="52"/>
      <w:bookmarkEnd w:id="53"/>
      <w:r>
        <w:rPr>
          <w:rStyle w:val="41"/>
          <w:rFonts w:ascii="黑体" w:hAnsi="黑体" w:eastAsia="黑体"/>
          <w:b w:val="0"/>
          <w:color w:val="auto"/>
          <w:highlight w:val="none"/>
        </w:rPr>
        <w:tab/>
      </w:r>
    </w:p>
    <w:p w14:paraId="7E0115A1">
      <w:pPr>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2023年</w:t>
      </w:r>
      <w:r>
        <w:rPr>
          <w:rFonts w:hint="eastAsia" w:ascii="仿宋" w:hAnsi="仿宋" w:eastAsia="仿宋"/>
          <w:color w:val="auto"/>
          <w:sz w:val="32"/>
          <w:szCs w:val="32"/>
          <w:highlight w:val="none"/>
        </w:rPr>
        <w:t>一般公共预算财政拨款基本支出</w:t>
      </w:r>
      <w:r>
        <w:rPr>
          <w:rFonts w:hint="eastAsia" w:ascii="仿宋" w:hAnsi="仿宋" w:eastAsia="仿宋"/>
          <w:color w:val="auto"/>
          <w:sz w:val="32"/>
          <w:szCs w:val="32"/>
          <w:highlight w:val="none"/>
          <w:lang w:val="en-US" w:eastAsia="zh-CN"/>
        </w:rPr>
        <w:t>694.88</w:t>
      </w:r>
      <w:r>
        <w:rPr>
          <w:rFonts w:hint="eastAsia" w:ascii="仿宋" w:hAnsi="仿宋" w:eastAsia="仿宋"/>
          <w:color w:val="auto"/>
          <w:sz w:val="32"/>
          <w:szCs w:val="32"/>
          <w:highlight w:val="none"/>
        </w:rPr>
        <w:t>万元，其中：</w:t>
      </w:r>
    </w:p>
    <w:p w14:paraId="2E27132A">
      <w:pPr>
        <w:spacing w:line="600" w:lineRule="exact"/>
        <w:ind w:firstLine="645"/>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636.8</w:t>
      </w:r>
      <w:r>
        <w:rPr>
          <w:rFonts w:hint="eastAsia" w:ascii="仿宋" w:hAnsi="仿宋" w:eastAsia="仿宋"/>
          <w:color w:val="auto"/>
          <w:sz w:val="32"/>
          <w:szCs w:val="32"/>
          <w:highlight w:val="none"/>
        </w:rPr>
        <w:t>万元，主要包括：基本工资、津贴补贴、奖金、伙食补助费、绩效工资、机关事业单位基本养老保险缴费</w:t>
      </w:r>
      <w:r>
        <w:rPr>
          <w:rFonts w:hint="eastAsia" w:ascii="仿宋" w:hAnsi="仿宋" w:eastAsia="仿宋"/>
          <w:color w:val="auto"/>
          <w:sz w:val="32"/>
          <w:szCs w:val="32"/>
          <w:highlight w:val="none"/>
          <w:lang w:eastAsia="zh-CN"/>
        </w:rPr>
        <w:t>、职业年金缴费、职工基本医疗保险缴费、其他社会保障缴费、住房公积金、</w:t>
      </w:r>
      <w:r>
        <w:rPr>
          <w:rFonts w:hint="eastAsia" w:ascii="仿宋" w:hAnsi="仿宋" w:eastAsia="仿宋"/>
          <w:color w:val="auto"/>
          <w:sz w:val="32"/>
          <w:szCs w:val="32"/>
          <w:highlight w:val="none"/>
        </w:rPr>
        <w:t>其他工资福利支出</w:t>
      </w:r>
      <w:r>
        <w:rPr>
          <w:rFonts w:hint="eastAsia" w:ascii="仿宋" w:hAnsi="仿宋" w:eastAsia="仿宋"/>
          <w:color w:val="auto"/>
          <w:sz w:val="32"/>
          <w:szCs w:val="32"/>
          <w:highlight w:val="none"/>
          <w:lang w:eastAsia="zh-CN"/>
        </w:rPr>
        <w:t>、抚恤金、奖励金、其他对个人和家庭的补助</w:t>
      </w:r>
      <w:r>
        <w:rPr>
          <w:rFonts w:hint="eastAsia" w:ascii="仿宋" w:hAnsi="仿宋" w:eastAsia="仿宋"/>
          <w:color w:val="auto"/>
          <w:sz w:val="32"/>
          <w:szCs w:val="32"/>
          <w:highlight w:val="none"/>
        </w:rPr>
        <w:t>等。</w:t>
      </w:r>
    </w:p>
    <w:p w14:paraId="24852316">
      <w:pPr>
        <w:spacing w:line="600" w:lineRule="exact"/>
        <w:ind w:firstLine="645"/>
        <w:rPr>
          <w:rFonts w:ascii="仿宋" w:hAnsi="仿宋" w:eastAsia="仿宋"/>
          <w:b/>
          <w:color w:val="auto"/>
          <w:sz w:val="32"/>
          <w:szCs w:val="32"/>
          <w:highlight w:val="none"/>
        </w:rPr>
      </w:pPr>
      <w:r>
        <w:rPr>
          <w:rFonts w:hint="eastAsia" w:ascii="仿宋" w:hAnsi="仿宋" w:eastAsia="仿宋"/>
          <w:color w:val="auto"/>
          <w:sz w:val="32"/>
          <w:szCs w:val="32"/>
          <w:highlight w:val="none"/>
        </w:rPr>
        <w:t>公用经费</w:t>
      </w:r>
      <w:r>
        <w:rPr>
          <w:rFonts w:hint="eastAsia" w:ascii="仿宋" w:hAnsi="仿宋" w:eastAsia="仿宋"/>
          <w:color w:val="auto"/>
          <w:sz w:val="32"/>
          <w:szCs w:val="32"/>
          <w:highlight w:val="none"/>
          <w:lang w:val="en-US" w:eastAsia="zh-CN"/>
        </w:rPr>
        <w:t>58.08</w:t>
      </w:r>
      <w:r>
        <w:rPr>
          <w:rFonts w:hint="eastAsia" w:ascii="仿宋" w:hAnsi="仿宋" w:eastAsia="仿宋"/>
          <w:color w:val="auto"/>
          <w:sz w:val="32"/>
          <w:szCs w:val="32"/>
          <w:highlight w:val="none"/>
        </w:rPr>
        <w:t>万元，主要包括：办公费、</w:t>
      </w:r>
      <w:r>
        <w:rPr>
          <w:rFonts w:hint="eastAsia" w:ascii="仿宋" w:hAnsi="仿宋" w:eastAsia="仿宋"/>
          <w:color w:val="auto"/>
          <w:sz w:val="32"/>
          <w:szCs w:val="32"/>
          <w:highlight w:val="none"/>
          <w:lang w:val="en-US" w:eastAsia="zh-CN"/>
        </w:rPr>
        <w:t>印刷费、</w:t>
      </w:r>
      <w:r>
        <w:rPr>
          <w:rFonts w:hint="eastAsia" w:ascii="仿宋" w:hAnsi="仿宋" w:eastAsia="仿宋"/>
          <w:color w:val="auto"/>
          <w:sz w:val="32"/>
          <w:szCs w:val="32"/>
          <w:highlight w:val="none"/>
        </w:rPr>
        <w:t>水费、电费、邮电费、维修（护）费</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差旅费、</w:t>
      </w:r>
      <w:r>
        <w:rPr>
          <w:rFonts w:hint="eastAsia" w:ascii="仿宋" w:hAnsi="仿宋" w:eastAsia="仿宋"/>
          <w:color w:val="auto"/>
          <w:sz w:val="32"/>
          <w:szCs w:val="32"/>
          <w:highlight w:val="none"/>
          <w:lang w:val="en-US" w:eastAsia="zh-CN"/>
        </w:rPr>
        <w:t>租赁费、公务接待费</w:t>
      </w:r>
      <w:r>
        <w:rPr>
          <w:rFonts w:hint="eastAsia" w:ascii="仿宋" w:hAnsi="仿宋" w:eastAsia="仿宋"/>
          <w:color w:val="auto"/>
          <w:sz w:val="32"/>
          <w:szCs w:val="32"/>
          <w:highlight w:val="none"/>
          <w:lang w:eastAsia="zh-CN"/>
        </w:rPr>
        <w:t>、专用材料费、</w:t>
      </w:r>
      <w:r>
        <w:rPr>
          <w:rFonts w:hint="eastAsia" w:ascii="仿宋" w:hAnsi="仿宋" w:eastAsia="仿宋"/>
          <w:color w:val="auto"/>
          <w:sz w:val="32"/>
          <w:szCs w:val="32"/>
          <w:highlight w:val="none"/>
        </w:rPr>
        <w:t>劳务费</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委托业务费、工会经费、福利费、公务用车运行维护费、其他交通费用、其他商品和服务支出</w:t>
      </w:r>
      <w:r>
        <w:rPr>
          <w:rFonts w:hint="eastAsia" w:ascii="仿宋" w:hAnsi="仿宋" w:eastAsia="仿宋"/>
          <w:color w:val="auto"/>
          <w:sz w:val="32"/>
          <w:szCs w:val="32"/>
          <w:highlight w:val="none"/>
        </w:rPr>
        <w:t>。</w:t>
      </w:r>
    </w:p>
    <w:p w14:paraId="59139BE1">
      <w:pPr>
        <w:spacing w:line="600" w:lineRule="exact"/>
        <w:ind w:firstLine="640"/>
        <w:outlineLvl w:val="1"/>
        <w:rPr>
          <w:rStyle w:val="41"/>
          <w:rFonts w:ascii="黑体" w:hAnsi="黑体" w:eastAsia="黑体"/>
          <w:b w:val="0"/>
          <w:color w:val="auto"/>
          <w:highlight w:val="none"/>
        </w:rPr>
      </w:pPr>
      <w:bookmarkStart w:id="54" w:name="_Toc15377215"/>
      <w:bookmarkStart w:id="55" w:name="_Toc15396609"/>
      <w:bookmarkStart w:id="56" w:name="_Toc30630"/>
      <w:r>
        <w:rPr>
          <w:rFonts w:hint="eastAsia" w:ascii="黑体" w:eastAsia="黑体"/>
          <w:color w:val="auto"/>
          <w:sz w:val="32"/>
          <w:szCs w:val="32"/>
          <w:highlight w:val="none"/>
        </w:rPr>
        <w:t>七、</w:t>
      </w:r>
      <w:bookmarkEnd w:id="54"/>
      <w:bookmarkEnd w:id="55"/>
      <w:r>
        <w:rPr>
          <w:rStyle w:val="41"/>
          <w:rFonts w:hint="eastAsia" w:ascii="黑体" w:hAnsi="黑体" w:eastAsia="黑体"/>
          <w:b w:val="0"/>
        </w:rPr>
        <w:t>财政拨款</w:t>
      </w:r>
      <w:r>
        <w:rPr>
          <w:rStyle w:val="41"/>
          <w:rFonts w:hint="eastAsia" w:ascii="黑体" w:hAnsi="黑体" w:eastAsia="黑体"/>
        </w:rPr>
        <w:t>“</w:t>
      </w:r>
      <w:r>
        <w:rPr>
          <w:rStyle w:val="41"/>
          <w:rFonts w:hint="eastAsia" w:ascii="黑体" w:hAnsi="黑体" w:eastAsia="黑体"/>
          <w:b w:val="0"/>
        </w:rPr>
        <w:t>三公”经费支出决算情况说明</w:t>
      </w:r>
      <w:bookmarkEnd w:id="56"/>
    </w:p>
    <w:p w14:paraId="14A6B212">
      <w:pPr>
        <w:spacing w:line="600" w:lineRule="exact"/>
        <w:ind w:firstLine="640"/>
        <w:outlineLvl w:val="2"/>
        <w:rPr>
          <w:rFonts w:ascii="仿宋" w:hAnsi="仿宋" w:eastAsia="仿宋"/>
          <w:b/>
          <w:color w:val="auto"/>
          <w:sz w:val="32"/>
          <w:szCs w:val="32"/>
          <w:highlight w:val="none"/>
        </w:rPr>
      </w:pPr>
      <w:bookmarkStart w:id="57" w:name="_Toc15377216"/>
      <w:r>
        <w:rPr>
          <w:rFonts w:hint="eastAsia" w:ascii="仿宋" w:hAnsi="仿宋" w:eastAsia="仿宋"/>
          <w:b/>
          <w:color w:val="auto"/>
          <w:sz w:val="32"/>
          <w:szCs w:val="32"/>
          <w:highlight w:val="none"/>
        </w:rPr>
        <w:t>（一）“三公”经费财政拨款支出决算总体情况说明</w:t>
      </w:r>
      <w:bookmarkEnd w:id="57"/>
    </w:p>
    <w:p w14:paraId="640EEE74">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2023年</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3.26</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较上年减少0.11万元，下降3.31%。</w:t>
      </w:r>
    </w:p>
    <w:p w14:paraId="0759B2F3">
      <w:pPr>
        <w:spacing w:line="600" w:lineRule="exact"/>
        <w:ind w:firstLine="640"/>
        <w:outlineLvl w:val="2"/>
        <w:rPr>
          <w:rFonts w:ascii="仿宋" w:hAnsi="仿宋" w:eastAsia="仿宋"/>
          <w:b/>
          <w:color w:val="auto"/>
          <w:sz w:val="32"/>
          <w:szCs w:val="32"/>
          <w:highlight w:val="none"/>
        </w:rPr>
      </w:pPr>
      <w:bookmarkStart w:id="58" w:name="_Toc15377217"/>
      <w:r>
        <w:rPr>
          <w:rFonts w:hint="eastAsia" w:ascii="仿宋" w:hAnsi="仿宋" w:eastAsia="仿宋"/>
          <w:b/>
          <w:color w:val="auto"/>
          <w:sz w:val="32"/>
          <w:szCs w:val="32"/>
          <w:highlight w:val="none"/>
        </w:rPr>
        <w:t>（二）“三公”经费财政拨款支出决算具体情况说明</w:t>
      </w:r>
      <w:bookmarkEnd w:id="58"/>
    </w:p>
    <w:p w14:paraId="2059542B">
      <w:pPr>
        <w:spacing w:line="600" w:lineRule="exact"/>
        <w:ind w:firstLine="640"/>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2023年</w:t>
      </w:r>
      <w:r>
        <w:rPr>
          <w:rFonts w:hint="eastAsia" w:ascii="仿宋" w:hAnsi="仿宋" w:eastAsia="仿宋"/>
          <w:color w:val="auto"/>
          <w:sz w:val="32"/>
          <w:szCs w:val="32"/>
          <w:highlight w:val="none"/>
        </w:rPr>
        <w:t>“三公”经费财政拨款支出决算中，因公出国（境）费支出决算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2.31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70.64</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0.95</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29.36</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14:paraId="12730DE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sz w:val="32"/>
          <w:szCs w:val="32"/>
        </w:rPr>
      </w:pPr>
      <w:r>
        <w:rPr>
          <w:rFonts w:hint="eastAsia" w:ascii="仿宋" w:hAnsi="仿宋" w:eastAsia="仿宋"/>
          <w:color w:val="auto"/>
          <w:sz w:val="32"/>
          <w:szCs w:val="32"/>
          <w:highlight w:val="none"/>
          <w:lang w:eastAsia="zh-CN"/>
        </w:rPr>
        <w:drawing>
          <wp:inline distT="0" distB="0" distL="114300" distR="114300">
            <wp:extent cx="5747385" cy="3982720"/>
            <wp:effectExtent l="4445" t="4445" r="20320" b="13335"/>
            <wp:docPr id="1" name="图表 1" descr="7b0a202020202263686172745265734964223a202232303436393832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B811D6D">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（图7：“三公”经费财政拨款支出结构）（饼状图）</w:t>
      </w:r>
    </w:p>
    <w:p w14:paraId="74F81A43">
      <w:pPr>
        <w:spacing w:line="600" w:lineRule="exact"/>
        <w:ind w:firstLine="643" w:firstLineChars="200"/>
        <w:rPr>
          <w:rFonts w:ascii="仿宋_GB2312" w:eastAsia="仿宋_GB2312"/>
          <w:b/>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r>
        <w:rPr>
          <w:rStyle w:val="25"/>
          <w:rFonts w:hint="eastAsia" w:ascii="仿宋" w:hAnsi="仿宋" w:eastAsia="仿宋"/>
          <w:b w:val="0"/>
          <w:bCs/>
          <w:color w:val="auto"/>
          <w:sz w:val="32"/>
          <w:szCs w:val="32"/>
          <w:highlight w:val="none"/>
        </w:rPr>
        <w:t>完成预算</w:t>
      </w:r>
      <w:r>
        <w:rPr>
          <w:rFonts w:hint="eastAsia" w:ascii="仿宋" w:hAnsi="仿宋" w:eastAsia="仿宋"/>
          <w:color w:val="auto"/>
          <w:sz w:val="32"/>
          <w:szCs w:val="32"/>
          <w:highlight w:val="none"/>
          <w:lang w:val="en-US" w:eastAsia="zh-CN"/>
        </w:rPr>
        <w:t>0</w:t>
      </w:r>
      <w:r>
        <w:rPr>
          <w:rStyle w:val="25"/>
          <w:rFonts w:ascii="仿宋" w:hAnsi="仿宋" w:eastAsia="仿宋"/>
          <w:b w:val="0"/>
          <w:bCs/>
          <w:color w:val="auto"/>
          <w:sz w:val="32"/>
          <w:szCs w:val="32"/>
          <w:highlight w:val="none"/>
        </w:rPr>
        <w:t>%</w:t>
      </w:r>
      <w:r>
        <w:rPr>
          <w:rStyle w:val="25"/>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w:t>
      </w:r>
      <w:r>
        <w:rPr>
          <w:rFonts w:hint="eastAsia" w:ascii="仿宋_GB2312" w:eastAsia="仿宋_GB2312"/>
          <w:color w:val="auto"/>
          <w:sz w:val="32"/>
          <w:szCs w:val="32"/>
          <w:highlight w:val="none"/>
          <w:lang w:val="en-US" w:eastAsia="zh-CN"/>
        </w:rPr>
        <w:t>与</w:t>
      </w:r>
      <w:r>
        <w:rPr>
          <w:rFonts w:hint="eastAsia" w:ascii="仿宋_GB2312" w:eastAsia="仿宋_GB2312"/>
          <w:color w:val="auto"/>
          <w:sz w:val="32"/>
          <w:szCs w:val="32"/>
          <w:highlight w:val="none"/>
          <w:lang w:eastAsia="zh-CN"/>
        </w:rPr>
        <w:t>2022年</w:t>
      </w:r>
      <w:r>
        <w:rPr>
          <w:rFonts w:hint="eastAsia" w:ascii="仿宋_GB2312" w:eastAsia="仿宋_GB2312"/>
          <w:color w:val="auto"/>
          <w:sz w:val="32"/>
          <w:szCs w:val="32"/>
          <w:highlight w:val="none"/>
          <w:lang w:val="en-US" w:eastAsia="zh-CN"/>
        </w:rPr>
        <w:t>持平</w:t>
      </w:r>
      <w:r>
        <w:rPr>
          <w:rFonts w:hint="eastAsia" w:ascii="仿宋_GB2312" w:eastAsia="仿宋_GB2312"/>
          <w:color w:val="auto"/>
          <w:sz w:val="32"/>
          <w:szCs w:val="32"/>
          <w:highlight w:val="none"/>
        </w:rPr>
        <w:t>。</w:t>
      </w:r>
    </w:p>
    <w:p w14:paraId="106C75A7">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 w:hAnsi="仿宋" w:eastAsia="仿宋"/>
          <w:color w:val="auto"/>
          <w:sz w:val="32"/>
          <w:szCs w:val="32"/>
          <w:highlight w:val="none"/>
          <w:lang w:val="en-US" w:eastAsia="zh-CN"/>
        </w:rPr>
        <w:t>2.31</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Style w:val="25"/>
          <w:rFonts w:hint="eastAsia" w:ascii="仿宋" w:hAnsi="仿宋" w:eastAsia="仿宋"/>
          <w:b w:val="0"/>
          <w:bCs/>
          <w:color w:val="auto"/>
          <w:sz w:val="32"/>
          <w:szCs w:val="32"/>
          <w:highlight w:val="none"/>
        </w:rPr>
        <w:t>完成预算</w:t>
      </w:r>
      <w:r>
        <w:rPr>
          <w:rStyle w:val="25"/>
          <w:rFonts w:hint="eastAsia" w:ascii="仿宋" w:hAnsi="仿宋" w:eastAsia="仿宋"/>
          <w:b w:val="0"/>
          <w:bCs/>
          <w:color w:val="auto"/>
          <w:sz w:val="32"/>
          <w:szCs w:val="32"/>
          <w:highlight w:val="none"/>
          <w:lang w:val="en-US" w:eastAsia="zh-CN"/>
        </w:rPr>
        <w:t>100</w:t>
      </w:r>
      <w:r>
        <w:rPr>
          <w:rStyle w:val="25"/>
          <w:rFonts w:ascii="仿宋" w:hAnsi="仿宋" w:eastAsia="仿宋"/>
          <w:b w:val="0"/>
          <w:bCs/>
          <w:color w:val="auto"/>
          <w:sz w:val="32"/>
          <w:szCs w:val="32"/>
          <w:highlight w:val="none"/>
        </w:rPr>
        <w:t>%</w:t>
      </w:r>
      <w:r>
        <w:rPr>
          <w:rStyle w:val="25"/>
          <w:rFonts w:hint="eastAsia" w:ascii="仿宋" w:hAnsi="仿宋" w:eastAsia="仿宋"/>
          <w:b w:val="0"/>
          <w:bCs/>
          <w:color w:val="auto"/>
          <w:sz w:val="32"/>
          <w:szCs w:val="32"/>
          <w:highlight w:val="none"/>
          <w:lang w:eastAsia="zh-CN"/>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2022年</w:t>
      </w:r>
      <w:r>
        <w:rPr>
          <w:rFonts w:hint="eastAsia" w:ascii="仿宋" w:hAnsi="仿宋" w:eastAsia="仿宋"/>
          <w:color w:val="auto"/>
          <w:sz w:val="32"/>
          <w:szCs w:val="32"/>
          <w:highlight w:val="none"/>
          <w:lang w:val="en-US" w:eastAsia="zh-CN"/>
        </w:rPr>
        <w:t>相比减少0.62万元，下降21.14%。主要原因是单位本年度车辆维修费减少</w:t>
      </w:r>
      <w:r>
        <w:rPr>
          <w:rStyle w:val="25"/>
          <w:rFonts w:hint="eastAsia" w:ascii="仿宋" w:hAnsi="仿宋" w:eastAsia="仿宋"/>
          <w:b w:val="0"/>
          <w:bCs/>
          <w:color w:val="auto"/>
          <w:sz w:val="32"/>
          <w:szCs w:val="32"/>
          <w:highlight w:val="none"/>
        </w:rPr>
        <w:t>。</w:t>
      </w:r>
    </w:p>
    <w:p w14:paraId="37ADC6B3">
      <w:pPr>
        <w:spacing w:line="600" w:lineRule="exact"/>
        <w:ind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万元。截至</w:t>
      </w:r>
      <w:r>
        <w:rPr>
          <w:rFonts w:hint="eastAsia" w:ascii="仿宋_GB2312" w:eastAsia="仿宋_GB2312"/>
          <w:color w:val="auto"/>
          <w:sz w:val="32"/>
          <w:szCs w:val="32"/>
          <w:highlight w:val="none"/>
          <w:lang w:eastAsia="zh-CN"/>
        </w:rPr>
        <w:t>2023年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月底，单位共有公务用车</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、其他车型</w:t>
      </w:r>
      <w:r>
        <w:rPr>
          <w:rFonts w:hint="eastAsia" w:ascii="仿宋_GB2312" w:eastAsia="仿宋_GB2312"/>
          <w:color w:val="auto"/>
          <w:sz w:val="32"/>
          <w:szCs w:val="32"/>
          <w:highlight w:val="none"/>
          <w:lang w:val="en-US" w:eastAsia="zh-CN"/>
        </w:rPr>
        <w:t>0辆</w:t>
      </w:r>
      <w:r>
        <w:rPr>
          <w:rFonts w:hint="eastAsia" w:ascii="仿宋_GB2312" w:eastAsia="仿宋_GB2312"/>
          <w:color w:val="auto"/>
          <w:sz w:val="32"/>
          <w:szCs w:val="32"/>
          <w:highlight w:val="none"/>
        </w:rPr>
        <w:t>。</w:t>
      </w:r>
    </w:p>
    <w:p w14:paraId="3C3383B0">
      <w:p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2.31</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主要用于</w:t>
      </w:r>
      <w:r>
        <w:rPr>
          <w:rFonts w:hint="eastAsia" w:ascii="仿宋_GB2312" w:eastAsia="仿宋_GB2312"/>
          <w:color w:val="auto"/>
          <w:sz w:val="32"/>
          <w:szCs w:val="32"/>
          <w:highlight w:val="none"/>
          <w:lang w:val="en-US" w:eastAsia="zh-CN"/>
        </w:rPr>
        <w:t>办公出行</w:t>
      </w:r>
      <w:r>
        <w:rPr>
          <w:rFonts w:hint="eastAsia" w:ascii="仿宋_GB2312" w:eastAsia="仿宋_GB2312"/>
          <w:color w:val="auto"/>
          <w:sz w:val="32"/>
          <w:szCs w:val="32"/>
          <w:highlight w:val="none"/>
        </w:rPr>
        <w:t>等所需的公务用车燃料费、维修费、过路过桥费、保险费等支出。</w:t>
      </w:r>
    </w:p>
    <w:p w14:paraId="628E192A">
      <w:pPr>
        <w:spacing w:line="600" w:lineRule="exact"/>
        <w:ind w:firstLine="640"/>
        <w:rPr>
          <w:rFonts w:hint="default" w:ascii="仿宋" w:hAnsi="仿宋" w:eastAsia="仿宋"/>
          <w:color w:val="auto"/>
          <w:sz w:val="32"/>
          <w:szCs w:val="32"/>
          <w:highlight w:val="none"/>
          <w:lang w:val="en-US" w:eastAsia="zh-CN"/>
        </w:rPr>
      </w:pPr>
      <w:r>
        <w:rPr>
          <w:rFonts w:ascii="仿宋_GB2312" w:eastAsia="仿宋_GB2312"/>
          <w:b/>
          <w:color w:val="auto"/>
          <w:sz w:val="32"/>
          <w:szCs w:val="32"/>
          <w:highlight w:val="none"/>
        </w:rPr>
        <w:t>3.</w:t>
      </w: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0.95</w:t>
      </w:r>
      <w:r>
        <w:rPr>
          <w:rFonts w:hint="eastAsia" w:ascii="仿宋_GB2312" w:eastAsia="仿宋_GB2312"/>
          <w:color w:val="auto"/>
          <w:sz w:val="32"/>
          <w:szCs w:val="32"/>
          <w:highlight w:val="none"/>
        </w:rPr>
        <w:t>万元，</w:t>
      </w:r>
      <w:r>
        <w:rPr>
          <w:rStyle w:val="25"/>
          <w:rFonts w:hint="eastAsia" w:ascii="仿宋" w:hAnsi="仿宋" w:eastAsia="仿宋"/>
          <w:b w:val="0"/>
          <w:bCs/>
          <w:color w:val="auto"/>
          <w:sz w:val="32"/>
          <w:szCs w:val="32"/>
          <w:highlight w:val="none"/>
        </w:rPr>
        <w:t>完成预算</w:t>
      </w:r>
      <w:r>
        <w:rPr>
          <w:rStyle w:val="25"/>
          <w:rFonts w:hint="eastAsia" w:ascii="仿宋" w:hAnsi="仿宋" w:eastAsia="仿宋"/>
          <w:b w:val="0"/>
          <w:bCs/>
          <w:color w:val="auto"/>
          <w:sz w:val="32"/>
          <w:szCs w:val="32"/>
          <w:highlight w:val="none"/>
          <w:lang w:val="en-US" w:eastAsia="zh-CN"/>
        </w:rPr>
        <w:t>100</w:t>
      </w:r>
      <w:r>
        <w:rPr>
          <w:rStyle w:val="25"/>
          <w:rFonts w:ascii="仿宋" w:hAnsi="仿宋" w:eastAsia="仿宋"/>
          <w:b w:val="0"/>
          <w:bCs/>
          <w:color w:val="auto"/>
          <w:sz w:val="32"/>
          <w:szCs w:val="32"/>
          <w:highlight w:val="none"/>
        </w:rPr>
        <w:t>%</w:t>
      </w:r>
      <w:r>
        <w:rPr>
          <w:rStyle w:val="25"/>
          <w:rFonts w:hint="eastAsia" w:ascii="仿宋" w:hAnsi="仿宋" w:eastAsia="仿宋"/>
          <w:b w:val="0"/>
          <w:bCs/>
          <w:color w:val="auto"/>
          <w:sz w:val="32"/>
          <w:szCs w:val="32"/>
          <w:highlight w:val="none"/>
          <w:lang w:eastAsia="zh-CN"/>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2022年</w:t>
      </w:r>
      <w:r>
        <w:rPr>
          <w:rFonts w:hint="eastAsia" w:ascii="仿宋" w:hAnsi="仿宋" w:eastAsia="仿宋"/>
          <w:color w:val="auto"/>
          <w:sz w:val="32"/>
          <w:szCs w:val="32"/>
          <w:highlight w:val="none"/>
        </w:rPr>
        <w:t>相比，公务接待费</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lang w:val="en-US" w:eastAsia="zh-CN"/>
        </w:rPr>
        <w:t>决算比2022年增加0.51</w:t>
      </w:r>
      <w:r>
        <w:rPr>
          <w:rFonts w:hint="eastAsia" w:ascii="仿宋" w:hAnsi="仿宋" w:eastAsia="仿宋"/>
          <w:color w:val="auto"/>
          <w:sz w:val="32"/>
          <w:szCs w:val="32"/>
          <w:highlight w:val="none"/>
          <w:lang w:eastAsia="zh-CN"/>
        </w:rPr>
        <w:t>万元，</w:t>
      </w:r>
      <w:r>
        <w:rPr>
          <w:rFonts w:hint="eastAsia" w:ascii="仿宋" w:hAnsi="仿宋" w:eastAsia="仿宋"/>
          <w:color w:val="auto"/>
          <w:sz w:val="32"/>
          <w:szCs w:val="32"/>
          <w:highlight w:val="none"/>
          <w:lang w:val="en-US" w:eastAsia="zh-CN"/>
        </w:rPr>
        <w:t>增长113.21</w:t>
      </w:r>
      <w:r>
        <w:rPr>
          <w:rFonts w:hint="eastAsia" w:ascii="仿宋" w:hAnsi="仿宋" w:eastAsia="仿宋"/>
          <w:color w:val="auto"/>
          <w:sz w:val="32"/>
          <w:szCs w:val="32"/>
          <w:highlight w:val="none"/>
          <w:lang w:eastAsia="zh-CN"/>
        </w:rPr>
        <w:t>%。主要变动原因是</w:t>
      </w:r>
      <w:r>
        <w:rPr>
          <w:rFonts w:hint="eastAsia" w:ascii="仿宋" w:hAnsi="仿宋" w:eastAsia="仿宋"/>
          <w:color w:val="auto"/>
          <w:sz w:val="32"/>
          <w:szCs w:val="32"/>
          <w:highlight w:val="none"/>
          <w:lang w:val="en-US" w:eastAsia="zh-CN"/>
        </w:rPr>
        <w:t>2023年业务工作需要，公务接待较多</w:t>
      </w:r>
      <w:r>
        <w:rPr>
          <w:rFonts w:hint="eastAsia" w:ascii="仿宋" w:hAnsi="仿宋" w:eastAsia="仿宋"/>
          <w:color w:val="auto"/>
          <w:sz w:val="32"/>
          <w:szCs w:val="32"/>
          <w:highlight w:val="none"/>
          <w:lang w:eastAsia="zh-CN"/>
        </w:rPr>
        <w:t>。</w:t>
      </w:r>
    </w:p>
    <w:p w14:paraId="022B0227">
      <w:pPr>
        <w:spacing w:line="600" w:lineRule="exact"/>
        <w:ind w:firstLine="640"/>
        <w:rPr>
          <w:rFonts w:hint="default" w:ascii="仿宋" w:hAnsi="仿宋" w:eastAsia="仿宋"/>
          <w:color w:val="auto"/>
          <w:sz w:val="32"/>
          <w:szCs w:val="32"/>
          <w:highlight w:val="none"/>
          <w:lang w:val="en-US" w:eastAsia="zh-CN"/>
        </w:rPr>
      </w:pPr>
      <w:r>
        <w:rPr>
          <w:rFonts w:hint="eastAsia" w:ascii="仿宋" w:hAnsi="仿宋" w:eastAsia="仿宋"/>
          <w:b/>
          <w:color w:val="auto"/>
          <w:sz w:val="32"/>
          <w:szCs w:val="32"/>
          <w:highlight w:val="none"/>
        </w:rPr>
        <w:t>国内公务接待支出</w:t>
      </w:r>
      <w:r>
        <w:rPr>
          <w:rFonts w:hint="eastAsia" w:ascii="仿宋_GB2312" w:eastAsia="仿宋_GB2312"/>
          <w:color w:val="auto"/>
          <w:sz w:val="32"/>
          <w:szCs w:val="32"/>
          <w:highlight w:val="none"/>
          <w:lang w:val="en-US" w:eastAsia="zh-CN"/>
        </w:rPr>
        <w:t>0.95</w:t>
      </w:r>
      <w:r>
        <w:rPr>
          <w:rFonts w:hint="eastAsia" w:ascii="仿宋_GB2312" w:eastAsia="仿宋_GB2312"/>
          <w:color w:val="auto"/>
          <w:sz w:val="32"/>
          <w:szCs w:val="32"/>
          <w:highlight w:val="none"/>
        </w:rPr>
        <w:t>万元。国内公务接待</w:t>
      </w:r>
      <w:r>
        <w:rPr>
          <w:rFonts w:hint="eastAsia" w:ascii="仿宋_GB2312" w:eastAsia="仿宋_GB2312"/>
          <w:color w:val="auto"/>
          <w:sz w:val="32"/>
          <w:szCs w:val="32"/>
          <w:highlight w:val="none"/>
          <w:lang w:val="en-US" w:eastAsia="zh-CN"/>
        </w:rPr>
        <w:t>12</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102</w:t>
      </w:r>
      <w:r>
        <w:rPr>
          <w:rFonts w:hint="eastAsia" w:ascii="仿宋_GB2312" w:eastAsia="仿宋_GB2312"/>
          <w:color w:val="auto"/>
          <w:sz w:val="32"/>
          <w:szCs w:val="32"/>
          <w:highlight w:val="none"/>
        </w:rPr>
        <w:t>人次（不包括陪同人员），共计支出</w:t>
      </w:r>
      <w:r>
        <w:rPr>
          <w:rFonts w:hint="eastAsia" w:ascii="仿宋_GB2312" w:eastAsia="仿宋_GB2312"/>
          <w:color w:val="auto"/>
          <w:sz w:val="32"/>
          <w:szCs w:val="32"/>
          <w:highlight w:val="none"/>
          <w:lang w:val="en-US" w:eastAsia="zh-CN"/>
        </w:rPr>
        <w:t>0.95</w:t>
      </w:r>
      <w:r>
        <w:rPr>
          <w:rFonts w:hint="eastAsia" w:ascii="仿宋_GB2312" w:eastAsia="仿宋_GB2312"/>
          <w:color w:val="auto"/>
          <w:sz w:val="32"/>
          <w:szCs w:val="32"/>
          <w:highlight w:val="none"/>
        </w:rPr>
        <w:t>万元。</w:t>
      </w:r>
      <w:r>
        <w:rPr>
          <w:rFonts w:hint="eastAsia" w:ascii="仿宋" w:hAnsi="仿宋" w:eastAsia="仿宋"/>
          <w:color w:val="auto"/>
          <w:sz w:val="32"/>
          <w:szCs w:val="32"/>
          <w:highlight w:val="none"/>
          <w:lang w:eastAsia="zh-CN"/>
        </w:rPr>
        <w:t>具体内容包括接待卫健委一行11人开展防汛减灾和地质灾害防治工作1000元；接待市疾控中心来马督导传染病信息报告管理工作596元；接待市疾控中心误餐287元；接待峨眉山市疾控中心对口支援工作餐费1300元；接待峨眉山市结对帮扶干部餐费872元；接待峨眉山市疾控赴马开展对口支援工作706元；接待参加乐山市2023年HPV疫苗接种启动仪式人员餐费 820元；民建镇数字化门诊接待费485元；省市卫健委到马边督导传染病信息报告管理与疾控信息工作1860元；接待市精神卫生中心专家到我县重精用药指导工作误餐费680元；接待市精神卫生中心到我县开展用药指导工作894元。</w:t>
      </w:r>
    </w:p>
    <w:p w14:paraId="10F493D4">
      <w:pPr>
        <w:spacing w:line="600" w:lineRule="exact"/>
        <w:ind w:firstLine="643" w:firstLineChars="200"/>
        <w:rPr>
          <w:rFonts w:ascii="黑体" w:eastAsia="黑体"/>
          <w:color w:val="auto"/>
          <w:sz w:val="32"/>
          <w:szCs w:val="32"/>
          <w:highlight w:val="none"/>
        </w:rPr>
      </w:pPr>
      <w:r>
        <w:rPr>
          <w:rFonts w:hint="eastAsia" w:ascii="仿宋" w:hAnsi="仿宋" w:eastAsia="仿宋"/>
          <w:b/>
          <w:color w:val="auto"/>
          <w:sz w:val="32"/>
          <w:szCs w:val="32"/>
          <w:highlight w:val="none"/>
        </w:rPr>
        <w:t>外事接待支出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万元，外事接待</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人，共计支出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bookmarkStart w:id="59" w:name="_Toc15396610"/>
      <w:bookmarkStart w:id="60" w:name="_Toc15377218"/>
    </w:p>
    <w:p w14:paraId="0E82072C">
      <w:pPr>
        <w:spacing w:line="600" w:lineRule="exact"/>
        <w:ind w:firstLine="640"/>
        <w:outlineLvl w:val="1"/>
        <w:rPr>
          <w:rStyle w:val="41"/>
          <w:rFonts w:ascii="黑体" w:hAnsi="黑体" w:eastAsia="黑体"/>
          <w:color w:val="auto"/>
          <w:highlight w:val="none"/>
        </w:rPr>
      </w:pPr>
      <w:bookmarkStart w:id="61" w:name="_Toc1470"/>
      <w:r>
        <w:rPr>
          <w:rFonts w:hint="eastAsia" w:ascii="黑体" w:eastAsia="黑体"/>
          <w:color w:val="auto"/>
          <w:sz w:val="32"/>
          <w:szCs w:val="32"/>
          <w:highlight w:val="none"/>
        </w:rPr>
        <w:t>八、</w:t>
      </w:r>
      <w:r>
        <w:rPr>
          <w:rStyle w:val="41"/>
          <w:rFonts w:hint="eastAsia" w:ascii="黑体" w:hAnsi="黑体" w:eastAsia="黑体"/>
          <w:b w:val="0"/>
          <w:color w:val="auto"/>
          <w:highlight w:val="none"/>
        </w:rPr>
        <w:t>政府性基金预算支出决算情况说明</w:t>
      </w:r>
      <w:bookmarkEnd w:id="59"/>
      <w:bookmarkEnd w:id="60"/>
      <w:bookmarkEnd w:id="61"/>
    </w:p>
    <w:p w14:paraId="6323AA61">
      <w:pPr>
        <w:spacing w:line="600" w:lineRule="exact"/>
        <w:ind w:firstLine="64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2023年</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0.15</w:t>
      </w:r>
      <w:r>
        <w:rPr>
          <w:rFonts w:hint="eastAsia" w:ascii="仿宋_GB2312" w:eastAsia="仿宋_GB2312"/>
          <w:color w:val="auto"/>
          <w:sz w:val="32"/>
          <w:szCs w:val="32"/>
          <w:highlight w:val="none"/>
        </w:rPr>
        <w:t>万元。</w:t>
      </w:r>
    </w:p>
    <w:p w14:paraId="4B7DA94B">
      <w:pPr>
        <w:numPr>
          <w:ilvl w:val="0"/>
          <w:numId w:val="5"/>
        </w:numPr>
        <w:spacing w:line="600" w:lineRule="exact"/>
        <w:ind w:firstLine="640"/>
        <w:outlineLvl w:val="1"/>
        <w:rPr>
          <w:rStyle w:val="41"/>
          <w:rFonts w:ascii="黑体" w:hAnsi="黑体" w:eastAsia="黑体"/>
          <w:b w:val="0"/>
          <w:color w:val="auto"/>
          <w:highlight w:val="none"/>
        </w:rPr>
      </w:pPr>
      <w:bookmarkStart w:id="62" w:name="_Toc15396611"/>
      <w:bookmarkStart w:id="63" w:name="_Toc15275"/>
      <w:bookmarkStart w:id="64" w:name="_Toc15377219"/>
      <w:r>
        <w:rPr>
          <w:rStyle w:val="41"/>
          <w:rFonts w:hint="eastAsia" w:ascii="黑体" w:hAnsi="黑体" w:eastAsia="黑体"/>
          <w:b w:val="0"/>
          <w:color w:val="auto"/>
          <w:highlight w:val="none"/>
        </w:rPr>
        <w:t>国有资本经营预算支出决算情况说明</w:t>
      </w:r>
      <w:bookmarkEnd w:id="62"/>
      <w:bookmarkEnd w:id="63"/>
      <w:bookmarkEnd w:id="64"/>
    </w:p>
    <w:p w14:paraId="3F3BF127">
      <w:pPr>
        <w:spacing w:line="600" w:lineRule="exact"/>
        <w:ind w:firstLine="640"/>
        <w:rPr>
          <w:rFonts w:ascii="方正小标宋简体" w:hAnsi="方正小标宋简体" w:eastAsia="方正小标宋简体" w:cs="方正小标宋简体"/>
          <w:color w:val="auto"/>
          <w:sz w:val="44"/>
          <w:szCs w:val="44"/>
          <w:highlight w:val="none"/>
        </w:rPr>
      </w:pPr>
      <w:r>
        <w:rPr>
          <w:rFonts w:hint="eastAsia" w:ascii="仿宋_GB2312" w:eastAsia="仿宋_GB2312"/>
          <w:color w:val="auto"/>
          <w:sz w:val="32"/>
          <w:szCs w:val="32"/>
          <w:highlight w:val="none"/>
          <w:lang w:eastAsia="zh-CN"/>
        </w:rPr>
        <w:t>2023年</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77DB6601">
      <w:pPr>
        <w:numPr>
          <w:ilvl w:val="0"/>
          <w:numId w:val="5"/>
        </w:numPr>
        <w:spacing w:line="600" w:lineRule="exact"/>
        <w:ind w:firstLine="640"/>
        <w:outlineLvl w:val="1"/>
        <w:rPr>
          <w:rStyle w:val="41"/>
          <w:rFonts w:hint="eastAsia" w:ascii="黑体" w:hAnsi="黑体" w:eastAsia="黑体"/>
          <w:b w:val="0"/>
          <w:color w:val="auto"/>
          <w:highlight w:val="none"/>
        </w:rPr>
      </w:pPr>
      <w:bookmarkStart w:id="65" w:name="_Toc15396612"/>
      <w:bookmarkStart w:id="66" w:name="_Toc15377221"/>
      <w:bookmarkStart w:id="67" w:name="_Toc21431"/>
      <w:r>
        <w:rPr>
          <w:rStyle w:val="41"/>
          <w:rFonts w:hint="eastAsia" w:ascii="黑体" w:hAnsi="黑体" w:eastAsia="黑体"/>
          <w:b w:val="0"/>
          <w:color w:val="auto"/>
          <w:highlight w:val="none"/>
        </w:rPr>
        <w:t>其他重要事项的情况说明</w:t>
      </w:r>
      <w:bookmarkEnd w:id="65"/>
      <w:bookmarkEnd w:id="66"/>
      <w:bookmarkEnd w:id="67"/>
    </w:p>
    <w:p w14:paraId="74E5012A">
      <w:pPr>
        <w:spacing w:line="600" w:lineRule="exact"/>
        <w:ind w:firstLine="643" w:firstLineChars="200"/>
        <w:outlineLvl w:val="2"/>
        <w:rPr>
          <w:rFonts w:ascii="仿宋" w:hAnsi="仿宋" w:eastAsia="仿宋"/>
          <w:color w:val="auto"/>
          <w:sz w:val="32"/>
          <w:szCs w:val="32"/>
          <w:highlight w:val="none"/>
        </w:rPr>
      </w:pPr>
      <w:bookmarkStart w:id="68" w:name="_Toc15377222"/>
      <w:r>
        <w:rPr>
          <w:rFonts w:hint="eastAsia" w:ascii="仿宋" w:hAnsi="仿宋" w:eastAsia="仿宋"/>
          <w:b/>
          <w:color w:val="auto"/>
          <w:sz w:val="32"/>
          <w:szCs w:val="32"/>
          <w:highlight w:val="none"/>
        </w:rPr>
        <w:t>（一）机关运行经费支出情况</w:t>
      </w:r>
      <w:bookmarkEnd w:id="68"/>
    </w:p>
    <w:p w14:paraId="6DDE69CD">
      <w:pPr>
        <w:spacing w:line="600" w:lineRule="exact"/>
        <w:ind w:firstLine="640" w:firstLineChars="200"/>
        <w:rPr>
          <w:rFonts w:hint="default" w:ascii="仿宋_GB2312" w:eastAsia="仿宋_GB2312"/>
          <w:color w:val="FF0000"/>
          <w:sz w:val="32"/>
          <w:szCs w:val="32"/>
          <w:highlight w:val="none"/>
          <w:lang w:val="en-US" w:eastAsia="zh-CN"/>
        </w:rPr>
      </w:pPr>
      <w:r>
        <w:rPr>
          <w:rFonts w:hint="eastAsia" w:ascii="仿宋_GB2312" w:eastAsia="仿宋_GB2312"/>
          <w:color w:val="auto"/>
          <w:sz w:val="32"/>
          <w:szCs w:val="32"/>
          <w:highlight w:val="none"/>
          <w:lang w:eastAsia="zh-CN"/>
        </w:rPr>
        <w:t>2023年</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马边彝族自治县疾病预防控制中心</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2022年</w:t>
      </w:r>
      <w:r>
        <w:rPr>
          <w:rFonts w:hint="eastAsia" w:ascii="仿宋" w:hAnsi="仿宋" w:eastAsia="仿宋"/>
          <w:color w:val="auto"/>
          <w:sz w:val="32"/>
          <w:szCs w:val="32"/>
          <w:highlight w:val="none"/>
          <w:lang w:val="en-US" w:eastAsia="zh-CN"/>
        </w:rPr>
        <w:t>决算数持平。主要原因是本单位为事业单位，未使用机关运行经费相关科目，机关运行经费安排为零。</w:t>
      </w:r>
    </w:p>
    <w:p w14:paraId="33DDB7F7">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69" w:name="_Toc15377223"/>
      <w:r>
        <w:rPr>
          <w:rFonts w:hint="eastAsia" w:ascii="仿宋" w:hAnsi="仿宋" w:eastAsia="仿宋"/>
          <w:b/>
          <w:color w:val="auto"/>
          <w:sz w:val="32"/>
          <w:szCs w:val="32"/>
          <w:highlight w:val="none"/>
        </w:rPr>
        <w:t>（二）政府采购支出情况</w:t>
      </w:r>
      <w:bookmarkEnd w:id="69"/>
    </w:p>
    <w:p w14:paraId="1F67C46E">
      <w:pPr>
        <w:spacing w:line="600" w:lineRule="exact"/>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eastAsia="zh-CN"/>
        </w:rPr>
        <w:t>2023年</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马边彝族自治县疾病预防控制中心</w:t>
      </w:r>
      <w:r>
        <w:rPr>
          <w:rFonts w:hint="eastAsia" w:ascii="仿宋_GB2312" w:eastAsia="仿宋_GB2312"/>
          <w:color w:val="auto"/>
          <w:sz w:val="32"/>
          <w:szCs w:val="32"/>
          <w:highlight w:val="none"/>
        </w:rPr>
        <w:t>采购支出总额</w:t>
      </w:r>
      <w:r>
        <w:rPr>
          <w:rFonts w:hint="eastAsia" w:ascii="仿宋_GB2312" w:eastAsia="仿宋_GB2312"/>
          <w:color w:val="auto"/>
          <w:sz w:val="32"/>
          <w:szCs w:val="32"/>
          <w:highlight w:val="none"/>
          <w:lang w:val="en-US" w:eastAsia="zh-CN"/>
        </w:rPr>
        <w:t>50.70</w:t>
      </w:r>
      <w:r>
        <w:rPr>
          <w:rFonts w:hint="eastAsia" w:ascii="仿宋_GB2312" w:eastAsia="仿宋_GB2312"/>
          <w:color w:val="auto"/>
          <w:sz w:val="32"/>
          <w:szCs w:val="32"/>
          <w:highlight w:val="none"/>
        </w:rPr>
        <w:t>万元，其中：政府采购货物支</w:t>
      </w:r>
      <w:r>
        <w:rPr>
          <w:rFonts w:hint="eastAsia" w:ascii="仿宋_GB2312" w:eastAsia="仿宋_GB2312"/>
          <w:color w:val="auto"/>
          <w:sz w:val="32"/>
          <w:szCs w:val="32"/>
          <w:highlight w:val="none"/>
          <w:lang w:val="en-US" w:eastAsia="zh-CN"/>
        </w:rPr>
        <w:t>出50.70</w:t>
      </w:r>
      <w:r>
        <w:rPr>
          <w:rFonts w:hint="eastAsia" w:ascii="仿宋_GB2312" w:eastAsia="仿宋_GB2312"/>
          <w:color w:val="auto"/>
          <w:sz w:val="32"/>
          <w:szCs w:val="32"/>
          <w:highlight w:val="none"/>
        </w:rPr>
        <w:t>万元、政府采购工程支出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万元、政府采购服务支出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万元。授予中小企业合同金额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w:t>
      </w:r>
    </w:p>
    <w:p w14:paraId="0BA4041D">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70" w:name="_Toc15377224"/>
      <w:r>
        <w:rPr>
          <w:rFonts w:hint="eastAsia" w:ascii="仿宋" w:hAnsi="仿宋" w:eastAsia="仿宋"/>
          <w:b/>
          <w:color w:val="auto"/>
          <w:sz w:val="32"/>
          <w:szCs w:val="32"/>
          <w:highlight w:val="none"/>
        </w:rPr>
        <w:t>（三）国有资产占有使用情况</w:t>
      </w:r>
      <w:bookmarkEnd w:id="70"/>
    </w:p>
    <w:p w14:paraId="5CC6B448">
      <w:pPr>
        <w:autoSpaceDE w:val="0"/>
        <w:autoSpaceDN w:val="0"/>
        <w:adjustRightInd w:val="0"/>
        <w:spacing w:line="600" w:lineRule="exact"/>
        <w:ind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2023年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eastAsia="zh-CN"/>
        </w:rPr>
        <w:t>马边彝族自治县疾病预防控制中心</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辆、执法执勤用车</w:t>
      </w:r>
      <w:r>
        <w:rPr>
          <w:rFonts w:hint="eastAsia" w:ascii="仿宋_GB2312" w:eastAsia="仿宋_GB2312"/>
          <w:color w:val="auto"/>
          <w:sz w:val="32"/>
          <w:szCs w:val="32"/>
          <w:highlight w:val="none"/>
          <w:lang w:val="en-US" w:eastAsia="zh-CN"/>
        </w:rPr>
        <w:t>0辆，特种专业技术用车0辆，离退休干部用车0辆，</w:t>
      </w:r>
      <w:r>
        <w:rPr>
          <w:rFonts w:hint="eastAsia" w:ascii="仿宋_GB2312" w:eastAsia="仿宋_GB2312"/>
          <w:color w:val="auto"/>
          <w:sz w:val="32"/>
          <w:szCs w:val="32"/>
          <w:highlight w:val="none"/>
        </w:rPr>
        <w:t>其他用车</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其他用车主要是用于</w:t>
      </w:r>
      <w:r>
        <w:rPr>
          <w:rFonts w:hint="eastAsia" w:ascii="仿宋_GB2312" w:eastAsia="仿宋_GB2312"/>
          <w:color w:val="auto"/>
          <w:sz w:val="32"/>
          <w:szCs w:val="32"/>
          <w:highlight w:val="none"/>
          <w:lang w:val="en-US" w:eastAsia="zh-CN"/>
        </w:rPr>
        <w:t>办公使用，</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50</w:t>
      </w:r>
      <w:r>
        <w:rPr>
          <w:rFonts w:hint="eastAsia" w:ascii="仿宋_GB2312" w:eastAsia="仿宋_GB2312"/>
          <w:color w:val="auto"/>
          <w:sz w:val="32"/>
          <w:szCs w:val="32"/>
          <w:highlight w:val="none"/>
        </w:rPr>
        <w:t>万元以上通用设备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台（套），单价</w:t>
      </w:r>
      <w:r>
        <w:rPr>
          <w:rFonts w:ascii="仿宋_GB2312" w:eastAsia="仿宋_GB2312"/>
          <w:color w:val="auto"/>
          <w:sz w:val="32"/>
          <w:szCs w:val="32"/>
          <w:highlight w:val="none"/>
        </w:rPr>
        <w:t>100</w:t>
      </w:r>
      <w:r>
        <w:rPr>
          <w:rFonts w:hint="eastAsia" w:ascii="仿宋_GB2312" w:eastAsia="仿宋_GB2312"/>
          <w:color w:val="auto"/>
          <w:sz w:val="32"/>
          <w:szCs w:val="32"/>
          <w:highlight w:val="none"/>
        </w:rPr>
        <w:t>万元以上专用设备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p>
    <w:p w14:paraId="331721DB">
      <w:pPr>
        <w:autoSpaceDE w:val="0"/>
        <w:autoSpaceDN w:val="0"/>
        <w:adjustRightInd w:val="0"/>
        <w:spacing w:line="600" w:lineRule="exact"/>
        <w:ind w:firstLine="643" w:firstLineChars="200"/>
        <w:jc w:val="left"/>
        <w:outlineLvl w:val="2"/>
        <w:rPr>
          <w:rFonts w:hint="eastAsia" w:ascii="仿宋" w:hAnsi="仿宋" w:eastAsia="仿宋"/>
          <w:b/>
          <w:color w:val="auto"/>
          <w:sz w:val="32"/>
          <w:szCs w:val="32"/>
          <w:highlight w:val="none"/>
          <w:lang w:eastAsia="zh-CN"/>
        </w:rPr>
      </w:pPr>
      <w:r>
        <w:rPr>
          <w:rFonts w:hint="eastAsia" w:ascii="仿宋" w:hAnsi="仿宋" w:eastAsia="仿宋"/>
          <w:b/>
          <w:color w:val="auto"/>
          <w:sz w:val="32"/>
          <w:szCs w:val="32"/>
          <w:highlight w:val="none"/>
        </w:rPr>
        <w:t>（四）预算绩效管理情况</w:t>
      </w:r>
    </w:p>
    <w:p w14:paraId="20684425">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根据预算绩效管理要求，</w:t>
      </w:r>
      <w:r>
        <w:rPr>
          <w:rFonts w:hint="eastAsia" w:ascii="仿宋_GB2312" w:hAnsi="仿宋_GB2312" w:eastAsia="仿宋_GB2312" w:cs="仿宋_GB2312"/>
          <w:color w:val="auto"/>
          <w:sz w:val="32"/>
          <w:szCs w:val="32"/>
          <w:highlight w:val="none"/>
          <w:lang w:eastAsia="zh-CN"/>
        </w:rPr>
        <w:t>本部门</w:t>
      </w:r>
      <w:r>
        <w:rPr>
          <w:rFonts w:hint="eastAsia" w:ascii="仿宋_GB2312" w:hAnsi="仿宋_GB2312" w:eastAsia="仿宋_GB2312" w:cs="仿宋_GB2312"/>
          <w:color w:val="auto"/>
          <w:sz w:val="32"/>
          <w:szCs w:val="32"/>
          <w:highlight w:val="none"/>
        </w:rPr>
        <w:t>在</w:t>
      </w:r>
      <w:r>
        <w:rPr>
          <w:rFonts w:hint="eastAsia" w:ascii="仿宋_GB2312" w:hAnsi="仿宋_GB2312" w:eastAsia="仿宋_GB2312" w:cs="仿宋_GB2312"/>
          <w:color w:val="auto"/>
          <w:sz w:val="32"/>
          <w:szCs w:val="32"/>
          <w:highlight w:val="none"/>
          <w:lang w:val="en-US" w:eastAsia="zh-CN"/>
        </w:rPr>
        <w:t>2023年度</w:t>
      </w:r>
      <w:r>
        <w:rPr>
          <w:rFonts w:hint="eastAsia" w:ascii="仿宋_GB2312" w:hAnsi="仿宋_GB2312" w:eastAsia="仿宋_GB2312" w:cs="仿宋_GB2312"/>
          <w:color w:val="auto"/>
          <w:sz w:val="32"/>
          <w:szCs w:val="32"/>
          <w:highlight w:val="none"/>
        </w:rPr>
        <w:t>预算编制阶段，组织</w:t>
      </w:r>
      <w:r>
        <w:rPr>
          <w:rFonts w:hint="eastAsia" w:ascii="仿宋_GB2312" w:hAnsi="仿宋_GB2312" w:eastAsia="仿宋_GB2312" w:cs="仿宋_GB2312"/>
          <w:color w:val="auto"/>
          <w:sz w:val="32"/>
          <w:szCs w:val="32"/>
          <w:highlight w:val="none"/>
          <w:lang w:val="en-US" w:eastAsia="zh-CN"/>
        </w:rPr>
        <w:t>对艾滋病防治、艾滋病人困难补助、传染病报告管理、解决生物安全实验室改造项目缺口经费、预防接种疫苗成本、预防接种劳务费</w:t>
      </w:r>
      <w:r>
        <w:rPr>
          <w:rFonts w:hint="eastAsia" w:ascii="仿宋_GB2312" w:hAnsi="仿宋" w:eastAsia="仿宋_GB2312"/>
          <w:sz w:val="32"/>
          <w:szCs w:val="32"/>
          <w:highlight w:val="none"/>
          <w:lang w:val="en-US" w:eastAsia="zh-CN"/>
        </w:rPr>
        <w:t>等6</w:t>
      </w:r>
      <w:r>
        <w:rPr>
          <w:rFonts w:hint="eastAsia" w:ascii="仿宋_GB2312" w:hAnsi="仿宋_GB2312" w:eastAsia="仿宋_GB2312" w:cs="仿宋_GB2312"/>
          <w:color w:val="auto"/>
          <w:sz w:val="32"/>
          <w:szCs w:val="32"/>
          <w:highlight w:val="none"/>
          <w:lang w:val="en-US" w:eastAsia="zh-CN"/>
        </w:rPr>
        <w:t>个项目</w:t>
      </w:r>
      <w:r>
        <w:rPr>
          <w:rFonts w:hint="eastAsia" w:ascii="仿宋_GB2312" w:hAnsi="仿宋_GB2312" w:eastAsia="仿宋_GB2312" w:cs="仿宋_GB2312"/>
          <w:color w:val="auto"/>
          <w:sz w:val="32"/>
          <w:szCs w:val="32"/>
          <w:highlight w:val="none"/>
        </w:rPr>
        <w:t>开展了预算事前绩效评估，对</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个项目编制了绩效目标，预算执行过程中，选取</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个项目开展绩效监控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olor w:val="auto"/>
          <w:kern w:val="2"/>
          <w:sz w:val="32"/>
          <w:szCs w:val="24"/>
          <w:lang w:val="en-US"/>
        </w:rPr>
        <w:t>组织对</w:t>
      </w:r>
      <w:r>
        <w:rPr>
          <w:rFonts w:hint="eastAsia" w:ascii="仿宋_GB2312" w:hAnsi="仿宋_GB2312" w:eastAsia="仿宋_GB2312"/>
          <w:color w:val="auto"/>
          <w:kern w:val="2"/>
          <w:sz w:val="32"/>
          <w:szCs w:val="24"/>
          <w:lang w:val="en-US" w:eastAsia="zh-CN"/>
        </w:rPr>
        <w:t>6</w:t>
      </w:r>
      <w:r>
        <w:rPr>
          <w:rFonts w:hint="eastAsia" w:ascii="仿宋_GB2312" w:hAnsi="仿宋_GB2312" w:eastAsia="仿宋_GB2312"/>
          <w:color w:val="auto"/>
          <w:kern w:val="2"/>
          <w:sz w:val="32"/>
          <w:szCs w:val="24"/>
          <w:lang w:val="en-US"/>
        </w:rPr>
        <w:t>个项目开展绩效自评，绩效自评表详见第四部分附件。</w:t>
      </w:r>
    </w:p>
    <w:p w14:paraId="001817C7">
      <w:pPr>
        <w:pStyle w:val="8"/>
        <w:rPr>
          <w:highlight w:val="yellow"/>
        </w:rPr>
      </w:pPr>
    </w:p>
    <w:p w14:paraId="5E6D0CA6">
      <w:pPr>
        <w:widowControl/>
        <w:jc w:val="left"/>
        <w:rPr>
          <w:rFonts w:ascii="仿宋_GB2312" w:eastAsia="仿宋_GB2312"/>
          <w:b/>
          <w:color w:val="auto"/>
          <w:sz w:val="32"/>
          <w:szCs w:val="32"/>
          <w:highlight w:val="none"/>
        </w:rPr>
      </w:pPr>
      <w:r>
        <w:rPr>
          <w:rFonts w:ascii="仿宋_GB2312" w:eastAsia="仿宋_GB2312"/>
          <w:b/>
          <w:color w:val="auto"/>
          <w:sz w:val="32"/>
          <w:szCs w:val="32"/>
          <w:highlight w:val="none"/>
        </w:rPr>
        <w:br w:type="page"/>
      </w:r>
    </w:p>
    <w:p w14:paraId="4083F3B2">
      <w:pPr>
        <w:numPr>
          <w:ilvl w:val="0"/>
          <w:numId w:val="6"/>
        </w:numPr>
        <w:spacing w:line="600" w:lineRule="exact"/>
        <w:ind w:firstLine="660" w:firstLineChars="150"/>
        <w:jc w:val="center"/>
        <w:outlineLvl w:val="0"/>
        <w:rPr>
          <w:rStyle w:val="40"/>
          <w:rFonts w:ascii="黑体" w:hAnsi="黑体" w:eastAsia="黑体"/>
          <w:b w:val="0"/>
          <w:color w:val="auto"/>
          <w:highlight w:val="none"/>
        </w:rPr>
      </w:pPr>
      <w:bookmarkStart w:id="71" w:name="_Toc3784"/>
      <w:bookmarkStart w:id="72" w:name="_Toc15377225"/>
      <w:bookmarkStart w:id="73" w:name="_Toc15396613"/>
      <w:r>
        <w:rPr>
          <w:rFonts w:hint="eastAsia" w:ascii="黑体" w:hAnsi="黑体" w:eastAsia="黑体"/>
          <w:color w:val="auto"/>
          <w:sz w:val="44"/>
          <w:szCs w:val="44"/>
          <w:highlight w:val="none"/>
        </w:rPr>
        <w:t>名</w:t>
      </w:r>
      <w:r>
        <w:rPr>
          <w:rStyle w:val="40"/>
          <w:rFonts w:hint="eastAsia" w:ascii="黑体" w:hAnsi="黑体" w:eastAsia="黑体"/>
          <w:b w:val="0"/>
          <w:color w:val="auto"/>
          <w:highlight w:val="none"/>
        </w:rPr>
        <w:t>词解释</w:t>
      </w:r>
      <w:bookmarkEnd w:id="71"/>
      <w:bookmarkEnd w:id="72"/>
      <w:bookmarkEnd w:id="73"/>
    </w:p>
    <w:p w14:paraId="7C6EAC3C">
      <w:pPr>
        <w:spacing w:line="600" w:lineRule="exact"/>
        <w:jc w:val="left"/>
        <w:rPr>
          <w:rFonts w:ascii="宋体"/>
          <w:b/>
          <w:color w:val="auto"/>
          <w:sz w:val="44"/>
          <w:szCs w:val="44"/>
          <w:highlight w:val="none"/>
        </w:rPr>
      </w:pPr>
    </w:p>
    <w:p w14:paraId="7F4F3895">
      <w:pPr>
        <w:pStyle w:val="3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6D87FEC5">
      <w:pPr>
        <w:pStyle w:val="3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0EBAEBE3">
      <w:pPr>
        <w:pStyle w:val="38"/>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r>
        <w:rPr>
          <w:rFonts w:ascii="仿宋_GB2312" w:eastAsia="仿宋_GB2312"/>
          <w:color w:val="auto"/>
          <w:sz w:val="32"/>
          <w:szCs w:val="32"/>
        </w:rPr>
        <w:t xml:space="preserve"> </w:t>
      </w:r>
    </w:p>
    <w:p w14:paraId="2624B12D">
      <w:pPr>
        <w:pStyle w:val="3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r>
        <w:rPr>
          <w:rFonts w:ascii="仿宋_GB2312" w:eastAsia="仿宋_GB2312"/>
          <w:color w:val="auto"/>
          <w:sz w:val="32"/>
          <w:szCs w:val="32"/>
        </w:rPr>
        <w:t xml:space="preserve"> </w:t>
      </w:r>
    </w:p>
    <w:p w14:paraId="5A754637">
      <w:pPr>
        <w:pStyle w:val="3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eastAsia="仿宋_GB2312"/>
          <w:color w:val="auto"/>
          <w:sz w:val="32"/>
          <w:szCs w:val="32"/>
        </w:rPr>
        <w:t>使用非财政拨款结余：指事业单位使用以前年度积累的非财政拨款结余弥补当年收支差额的金额。</w:t>
      </w:r>
      <w:r>
        <w:rPr>
          <w:rFonts w:ascii="仿宋_GB2312" w:eastAsia="仿宋_GB2312"/>
          <w:color w:val="auto"/>
          <w:sz w:val="32"/>
          <w:szCs w:val="32"/>
        </w:rPr>
        <w:t xml:space="preserve"> </w:t>
      </w:r>
    </w:p>
    <w:p w14:paraId="15695F7A">
      <w:pPr>
        <w:pStyle w:val="3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1A1799CE">
      <w:pPr>
        <w:pStyle w:val="3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10C431C8">
      <w:pPr>
        <w:pStyle w:val="38"/>
        <w:spacing w:line="560" w:lineRule="exact"/>
        <w:ind w:firstLine="640" w:firstLineChars="200"/>
        <w:rPr>
          <w:rFonts w:ascii="仿宋_GB2312" w:hAnsi="Times New Roman" w:eastAsia="仿宋_GB2312" w:cs="Times New Roman"/>
          <w:color w:val="auto"/>
          <w:kern w:val="2"/>
          <w:sz w:val="32"/>
          <w:szCs w:val="32"/>
          <w:lang w:val="en-US" w:eastAsia="zh-CN" w:bidi="ar-SA"/>
        </w:rPr>
      </w:pPr>
      <w:r>
        <w:rPr>
          <w:rFonts w:ascii="仿宋_GB2312" w:hAnsi="Times New Roman" w:eastAsia="仿宋_GB2312" w:cs="Times New Roman"/>
          <w:color w:val="auto"/>
          <w:kern w:val="2"/>
          <w:sz w:val="32"/>
          <w:szCs w:val="32"/>
          <w:lang w:val="en-US" w:eastAsia="zh-CN" w:bidi="ar-SA"/>
        </w:rPr>
        <w:t>8</w:t>
      </w:r>
      <w:r>
        <w:rPr>
          <w:rFonts w:hint="eastAsia" w:ascii="仿宋_GB2312" w:hAnsi="Times New Roman" w:eastAsia="仿宋_GB2312" w:cs="Times New Roman"/>
          <w:color w:val="auto"/>
          <w:kern w:val="2"/>
          <w:sz w:val="32"/>
          <w:szCs w:val="32"/>
          <w:lang w:val="en-US" w:eastAsia="zh-CN" w:bidi="ar-SA"/>
        </w:rPr>
        <w:t>.年末结转和结余：指单位按有关规定结转到下年或以后年度继续使用的资金。</w:t>
      </w:r>
    </w:p>
    <w:p w14:paraId="2DB904AA">
      <w:pPr>
        <w:pStyle w:val="38"/>
        <w:spacing w:line="560" w:lineRule="exact"/>
        <w:ind w:firstLine="640" w:firstLineChars="200"/>
        <w:rPr>
          <w:rFonts w:hint="eastAsia" w:ascii="仿宋_GB2312" w:eastAsia="仿宋_GB2312"/>
          <w:color w:val="auto"/>
          <w:sz w:val="32"/>
          <w:szCs w:val="32"/>
          <w:lang w:val="en-US" w:eastAsia="zh-CN"/>
        </w:rPr>
      </w:pPr>
      <w:r>
        <w:rPr>
          <w:rFonts w:ascii="仿宋_GB2312" w:eastAsia="仿宋_GB2312"/>
          <w:color w:val="auto"/>
          <w:sz w:val="32"/>
          <w:szCs w:val="32"/>
          <w:lang w:val="en-US" w:eastAsia="zh-CN"/>
        </w:rPr>
        <w:t>9.</w:t>
      </w:r>
      <w:r>
        <w:rPr>
          <w:rFonts w:hint="eastAsia" w:ascii="仿宋_GB2312" w:eastAsia="仿宋_GB2312"/>
          <w:color w:val="auto"/>
          <w:sz w:val="32"/>
          <w:szCs w:val="32"/>
          <w:lang w:val="en-US" w:eastAsia="zh-CN"/>
        </w:rPr>
        <w:t>社会保障和就业支出（类）行政事业单位养老支出（款） 机关事业单位基本养老保险缴费支出（项）：反映机关事业单位实施养老保险制度由单位缴纳的基本养老保险费支出。</w:t>
      </w:r>
    </w:p>
    <w:p w14:paraId="43EEB123">
      <w:pPr>
        <w:pStyle w:val="3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10.社会保障和就业支出（类）行政事业单位养老支出（款）机关事业单位职业年金缴费支出（项）：反映机关事业单位实施养老保险制度由单位实际缴纳的职业年金支出。</w:t>
      </w:r>
    </w:p>
    <w:p w14:paraId="4A9E20CF">
      <w:pPr>
        <w:pStyle w:val="3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11.社会保障和就业支出（类）其他社会保障和就业支出（款）其他社会保障和就业支出（项）：反映除上述项目以外其他用于社会保障和就业方面的支出。</w:t>
      </w:r>
    </w:p>
    <w:p w14:paraId="471771F3">
      <w:pPr>
        <w:pStyle w:val="3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12.卫生健康支出（类）公共卫生（款）疾病预防控制机构（项）：反映卫生健康部门所属疾病预防控制机构的支出。 </w:t>
      </w:r>
    </w:p>
    <w:p w14:paraId="25FA84F0">
      <w:pPr>
        <w:pStyle w:val="3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13.卫生健康支出（类）公共卫生（款）基本公共卫生服务（项）：反映基本公共卫生服务支出。</w:t>
      </w:r>
    </w:p>
    <w:p w14:paraId="33B4B8FD">
      <w:pPr>
        <w:pStyle w:val="38"/>
        <w:spacing w:line="560" w:lineRule="exact"/>
        <w:ind w:firstLine="640" w:firstLineChars="200"/>
        <w:rPr>
          <w:rFonts w:ascii="仿宋_GB2312" w:eastAsia="仿宋_GB2312"/>
          <w:color w:val="auto"/>
          <w:sz w:val="32"/>
          <w:szCs w:val="32"/>
          <w:lang w:val="en-US" w:eastAsia="zh-CN"/>
        </w:rPr>
      </w:pPr>
      <w:r>
        <w:rPr>
          <w:rFonts w:hint="eastAsia" w:ascii="仿宋_GB2312" w:eastAsia="仿宋_GB2312"/>
          <w:color w:val="auto"/>
          <w:sz w:val="32"/>
          <w:szCs w:val="32"/>
          <w:lang w:val="en-US" w:eastAsia="zh-CN"/>
        </w:rPr>
        <w:t>14.卫生健康支出（类）公共卫生（款）重大公共卫生服务（项）：反映重大疾病、重大传染病预防控制等重大公共卫生服务项目支出 。</w:t>
      </w:r>
    </w:p>
    <w:p w14:paraId="3805C80B">
      <w:pPr>
        <w:pStyle w:val="38"/>
        <w:spacing w:line="560" w:lineRule="exact"/>
        <w:ind w:firstLine="640" w:firstLineChars="200"/>
        <w:rPr>
          <w:rFonts w:ascii="仿宋_GB2312" w:eastAsia="仿宋_GB2312"/>
          <w:color w:val="auto"/>
          <w:sz w:val="32"/>
          <w:szCs w:val="32"/>
          <w:lang w:val="en-US" w:eastAsia="zh-CN"/>
        </w:rPr>
      </w:pPr>
      <w:r>
        <w:rPr>
          <w:rFonts w:hint="eastAsia" w:ascii="仿宋_GB2312" w:eastAsia="仿宋_GB2312"/>
          <w:color w:val="auto"/>
          <w:sz w:val="32"/>
          <w:szCs w:val="32"/>
          <w:lang w:val="en-US" w:eastAsia="zh-CN"/>
        </w:rPr>
        <w:t>15.卫生健康支出（类）公共卫生（款）突发公共卫生事件应急处理（项）：反映用于突发公共卫生事件应急处理的支出。</w:t>
      </w:r>
    </w:p>
    <w:p w14:paraId="0D95A1A7">
      <w:pPr>
        <w:pStyle w:val="3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16.卫生健康支出（类）公共卫生（款）其他公共卫生支出（项）：其他公共卫生支出反映除上述项目以外的其他用于公共卫生方面的支出。</w:t>
      </w:r>
    </w:p>
    <w:p w14:paraId="51F0EB80">
      <w:pPr>
        <w:pStyle w:val="3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17.卫生健康支出（类）行政事业单位医疗（款）事业单位医疗（项）：反映财政部门安排的事业单位基本医疗保险缴费经费，未参加医疗保险的事业单位的公费医疗经费，按国家规定享受离休人员待遇的医疗经费。</w:t>
      </w:r>
    </w:p>
    <w:p w14:paraId="0492C1A4">
      <w:pPr>
        <w:pStyle w:val="3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18.卫生健康支出（类）行政事业单位医疗（款）公务员医疗补助（项）：反映财政部门安排的公务员医疗补助经费。</w:t>
      </w:r>
    </w:p>
    <w:p w14:paraId="0FC306AF">
      <w:pPr>
        <w:pStyle w:val="3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19.卫生健康支出（类）其他卫生健康支出（款）其他卫生健康支出（项）：反映除上述项目以外其他用于卫生健康方面的支出。</w:t>
      </w:r>
    </w:p>
    <w:p w14:paraId="6EA1DE69">
      <w:pPr>
        <w:pStyle w:val="3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20.住房保障支出（类）住房改革支出（款）住房公积金（项）：反映行政事业单位按人力资源和社会保障部、财政部规定的 基本工资和津贴补贴以及规定比例为职工缴纳的住房公积金。</w:t>
      </w:r>
    </w:p>
    <w:p w14:paraId="793F315E">
      <w:pPr>
        <w:pStyle w:val="38"/>
        <w:spacing w:line="560" w:lineRule="exact"/>
        <w:ind w:firstLine="640" w:firstLineChars="200"/>
        <w:rPr>
          <w:rFonts w:ascii="仿宋_GB2312" w:eastAsia="仿宋_GB2312"/>
          <w:color w:val="auto"/>
          <w:sz w:val="32"/>
          <w:szCs w:val="32"/>
          <w:lang w:val="en-US" w:eastAsia="zh-CN"/>
        </w:rPr>
      </w:pPr>
      <w:r>
        <w:rPr>
          <w:rFonts w:hint="eastAsia" w:ascii="仿宋_GB2312" w:eastAsia="仿宋_GB2312"/>
          <w:color w:val="auto"/>
          <w:sz w:val="32"/>
          <w:szCs w:val="32"/>
          <w:lang w:val="en-US" w:eastAsia="zh-CN"/>
        </w:rPr>
        <w:t>21.其他支出（类）其他支出（款）其他支出（项）：反映除上述项目以外其他不能划分到具体功能科目中的支出项目。</w:t>
      </w:r>
    </w:p>
    <w:p w14:paraId="6AEA2461">
      <w:pPr>
        <w:pStyle w:val="38"/>
        <w:spacing w:line="560" w:lineRule="exact"/>
        <w:ind w:firstLine="640" w:firstLineChars="200"/>
        <w:rPr>
          <w:rFonts w:ascii="仿宋_GB2312" w:eastAsia="仿宋_GB2312"/>
          <w:color w:val="auto"/>
          <w:sz w:val="32"/>
          <w:szCs w:val="32"/>
          <w:lang w:val="en-US" w:eastAsia="zh-CN"/>
        </w:rPr>
      </w:pPr>
      <w:r>
        <w:rPr>
          <w:rFonts w:hint="eastAsia" w:ascii="仿宋_GB2312" w:eastAsia="仿宋_GB2312"/>
          <w:color w:val="auto"/>
          <w:sz w:val="32"/>
          <w:szCs w:val="32"/>
          <w:lang w:val="en-US" w:eastAsia="zh-CN"/>
        </w:rPr>
        <w:t>22</w:t>
      </w:r>
      <w:r>
        <w:rPr>
          <w:rFonts w:ascii="仿宋_GB2312" w:eastAsia="仿宋_GB2312"/>
          <w:color w:val="auto"/>
          <w:sz w:val="32"/>
          <w:szCs w:val="32"/>
          <w:lang w:val="en-US" w:eastAsia="zh-CN"/>
        </w:rPr>
        <w:t>.</w:t>
      </w:r>
      <w:r>
        <w:rPr>
          <w:rFonts w:hint="eastAsia" w:ascii="仿宋_GB2312" w:eastAsia="仿宋_GB2312"/>
          <w:color w:val="auto"/>
          <w:sz w:val="32"/>
          <w:szCs w:val="32"/>
          <w:lang w:val="en-US" w:eastAsia="zh-CN"/>
        </w:rPr>
        <w:t>基本支出：指为保障机构正常运转、完成日常工作任务而发生的人员支出和公用支出。</w:t>
      </w:r>
    </w:p>
    <w:p w14:paraId="6FE7295D">
      <w:pPr>
        <w:pStyle w:val="38"/>
        <w:spacing w:line="560" w:lineRule="exact"/>
        <w:ind w:firstLine="640" w:firstLineChars="200"/>
        <w:rPr>
          <w:rFonts w:ascii="仿宋_GB2312" w:eastAsia="仿宋_GB2312"/>
          <w:color w:val="auto"/>
          <w:sz w:val="32"/>
          <w:szCs w:val="32"/>
          <w:lang w:val="en-US" w:eastAsia="zh-CN"/>
        </w:rPr>
      </w:pPr>
      <w:r>
        <w:rPr>
          <w:rFonts w:hint="eastAsia" w:ascii="仿宋_GB2312" w:eastAsia="仿宋_GB2312"/>
          <w:color w:val="auto"/>
          <w:sz w:val="32"/>
          <w:szCs w:val="32"/>
          <w:lang w:val="en-US" w:eastAsia="zh-CN"/>
        </w:rPr>
        <w:t>23</w:t>
      </w:r>
      <w:r>
        <w:rPr>
          <w:rFonts w:ascii="仿宋_GB2312" w:eastAsia="仿宋_GB2312"/>
          <w:color w:val="auto"/>
          <w:sz w:val="32"/>
          <w:szCs w:val="32"/>
          <w:lang w:val="en-US" w:eastAsia="zh-CN"/>
        </w:rPr>
        <w:t>.</w:t>
      </w:r>
      <w:r>
        <w:rPr>
          <w:rFonts w:hint="eastAsia" w:ascii="仿宋_GB2312" w:eastAsia="仿宋_GB2312"/>
          <w:color w:val="auto"/>
          <w:sz w:val="32"/>
          <w:szCs w:val="32"/>
          <w:lang w:val="en-US" w:eastAsia="zh-CN"/>
        </w:rPr>
        <w:t>项目支出：指在基本支出之外为完成特定行政任务和事业发展目标所发生的支出。</w:t>
      </w:r>
      <w:r>
        <w:rPr>
          <w:rFonts w:ascii="仿宋_GB2312" w:eastAsia="仿宋_GB2312"/>
          <w:color w:val="auto"/>
          <w:sz w:val="32"/>
          <w:szCs w:val="32"/>
          <w:lang w:val="en-US" w:eastAsia="zh-CN"/>
        </w:rPr>
        <w:t xml:space="preserve"> </w:t>
      </w:r>
    </w:p>
    <w:p w14:paraId="34DF6CDA">
      <w:pPr>
        <w:ind w:firstLine="640" w:firstLineChars="200"/>
        <w:rPr>
          <w:rFonts w:ascii="仿宋_GB2312" w:eastAsia="仿宋_GB2312"/>
          <w:sz w:val="32"/>
          <w:szCs w:val="32"/>
        </w:rPr>
      </w:pPr>
      <w:r>
        <w:rPr>
          <w:rFonts w:hint="eastAsia" w:ascii="仿宋_GB2312" w:eastAsia="仿宋_GB2312"/>
          <w:sz w:val="32"/>
          <w:szCs w:val="32"/>
          <w:lang w:val="en-US" w:eastAsia="zh-CN"/>
        </w:rPr>
        <w:t>24</w:t>
      </w:r>
      <w:r>
        <w:rPr>
          <w:rFonts w:ascii="仿宋_GB2312" w:eastAsia="仿宋_GB2312"/>
          <w:sz w:val="32"/>
          <w:szCs w:val="32"/>
        </w:rPr>
        <w:t>.</w:t>
      </w:r>
      <w:r>
        <w:rPr>
          <w:rFonts w:hint="eastAsia" w:ascii="仿宋_GB2312" w:eastAsia="仿宋_GB2312"/>
          <w:sz w:val="32"/>
          <w:szCs w:val="32"/>
        </w:rPr>
        <w:t>经营支出：指事业单位在专业业务活动及其辅助活动之外开展非独立核算经营活动发生的支出。</w:t>
      </w:r>
    </w:p>
    <w:p w14:paraId="3DD202CA">
      <w:pPr>
        <w:pStyle w:val="38"/>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25</w:t>
      </w:r>
      <w:r>
        <w:rPr>
          <w:rFonts w:ascii="仿宋_GB2312" w:eastAsia="仿宋_GB2312"/>
          <w:color w:val="auto"/>
          <w:sz w:val="32"/>
          <w:szCs w:val="32"/>
        </w:rPr>
        <w:t>.</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E0792AD">
      <w:pPr>
        <w:pStyle w:val="48"/>
        <w:rPr>
          <w:rFonts w:hint="default"/>
          <w:lang w:val="en-US" w:eastAsia="zh-CN"/>
        </w:rPr>
      </w:pPr>
      <w:r>
        <w:rPr>
          <w:rFonts w:hint="eastAsia"/>
          <w:color w:val="auto"/>
          <w:sz w:val="32"/>
          <w:szCs w:val="32"/>
          <w:lang w:val="en-US" w:eastAsia="zh-CN"/>
        </w:rPr>
        <w:t>26</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C1DB543">
      <w:pPr>
        <w:spacing w:line="600" w:lineRule="exact"/>
        <w:jc w:val="center"/>
        <w:outlineLvl w:val="0"/>
        <w:rPr>
          <w:rStyle w:val="40"/>
          <w:rFonts w:ascii="黑体" w:hAnsi="黑体" w:eastAsia="黑体"/>
          <w:b w:val="0"/>
          <w:color w:val="auto"/>
          <w:highlight w:val="none"/>
        </w:rPr>
      </w:pPr>
      <w:bookmarkStart w:id="74" w:name="_Toc15377226"/>
      <w:r>
        <w:rPr>
          <w:rFonts w:ascii="宋体"/>
          <w:b/>
          <w:color w:val="auto"/>
          <w:sz w:val="44"/>
          <w:szCs w:val="44"/>
          <w:highlight w:val="none"/>
        </w:rPr>
        <w:br w:type="page"/>
      </w:r>
      <w:bookmarkStart w:id="75" w:name="_Toc493"/>
      <w:bookmarkStart w:id="76" w:name="_Toc15396614"/>
      <w:r>
        <w:rPr>
          <w:rFonts w:hint="eastAsia" w:ascii="黑体" w:hAnsi="黑体" w:eastAsia="黑体"/>
          <w:color w:val="auto"/>
          <w:sz w:val="44"/>
          <w:szCs w:val="44"/>
          <w:highlight w:val="none"/>
        </w:rPr>
        <w:t>第</w:t>
      </w:r>
      <w:r>
        <w:rPr>
          <w:rStyle w:val="40"/>
          <w:rFonts w:hint="eastAsia" w:ascii="黑体" w:hAnsi="黑体" w:eastAsia="黑体"/>
          <w:b w:val="0"/>
          <w:color w:val="auto"/>
          <w:highlight w:val="none"/>
        </w:rPr>
        <w:t>四部分 附件</w:t>
      </w:r>
      <w:bookmarkEnd w:id="75"/>
      <w:bookmarkEnd w:id="76"/>
    </w:p>
    <w:p w14:paraId="1C36656F">
      <w:pPr>
        <w:pStyle w:val="30"/>
        <w:pageBreakBefore w:val="0"/>
        <w:kinsoku/>
        <w:wordWrap/>
        <w:overflowPunct/>
        <w:autoSpaceDE/>
        <w:autoSpaceDN/>
        <w:bidi w:val="0"/>
        <w:spacing w:line="560" w:lineRule="exact"/>
        <w:ind w:left="0" w:leftChars="0" w:firstLine="0" w:firstLineChars="0"/>
        <w:textAlignment w:val="auto"/>
        <w:rPr>
          <w:rFonts w:hint="eastAsia" w:ascii="仿宋_GB2312" w:hAnsi="仿宋_GB2312" w:eastAsia="仿宋_GB2312" w:cs="仿宋_GB2312"/>
          <w:color w:val="auto"/>
          <w:kern w:val="0"/>
          <w:sz w:val="32"/>
          <w:szCs w:val="32"/>
          <w:lang w:val="en-US" w:eastAsia="zh-CN" w:bidi="ar-SA"/>
        </w:rPr>
      </w:pPr>
      <w:bookmarkStart w:id="77" w:name="_Toc15396618"/>
    </w:p>
    <w:p w14:paraId="0B4B143E">
      <w:pPr>
        <w:pStyle w:val="21"/>
        <w:spacing w:line="560" w:lineRule="exact"/>
        <w:ind w:left="0" w:leftChars="0" w:firstLine="640"/>
        <w:rPr>
          <w:rFonts w:hAnsi="仿宋_GB2312" w:eastAsia="仿宋_GB2312" w:cs="仿宋_GB2312"/>
          <w:sz w:val="32"/>
          <w:szCs w:val="32"/>
          <w:lang w:val="zh-CN"/>
        </w:rPr>
      </w:pPr>
      <w:r>
        <w:rPr>
          <w:rFonts w:hint="eastAsia" w:hAnsi="仿宋_GB2312" w:eastAsia="仿宋_GB2312" w:cs="仿宋_GB2312"/>
          <w:sz w:val="32"/>
          <w:szCs w:val="32"/>
          <w:lang w:val="zh-CN"/>
        </w:rPr>
        <w:t>附表：</w:t>
      </w:r>
      <w:r>
        <w:rPr>
          <w:rFonts w:hint="eastAsia" w:hAnsi="仿宋_GB2312" w:eastAsia="仿宋_GB2312" w:cs="仿宋_GB2312"/>
          <w:sz w:val="32"/>
          <w:szCs w:val="32"/>
        </w:rPr>
        <w:t>部门预算项目支出绩效自评表（</w:t>
      </w:r>
      <w:r>
        <w:rPr>
          <w:rFonts w:hint="eastAsia" w:hAnsi="仿宋_GB2312" w:eastAsia="仿宋_GB2312" w:cs="仿宋_GB2312"/>
          <w:sz w:val="32"/>
          <w:szCs w:val="32"/>
          <w:lang w:eastAsia="zh-CN"/>
        </w:rPr>
        <w:t>2023</w:t>
      </w:r>
      <w:r>
        <w:rPr>
          <w:rFonts w:hint="eastAsia" w:hAnsi="仿宋_GB2312" w:eastAsia="仿宋_GB2312" w:cs="仿宋_GB2312"/>
          <w:sz w:val="32"/>
          <w:szCs w:val="32"/>
        </w:rPr>
        <w:t>年度）</w:t>
      </w:r>
    </w:p>
    <w:tbl>
      <w:tblPr>
        <w:tblStyle w:val="2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63"/>
        <w:gridCol w:w="605"/>
        <w:gridCol w:w="605"/>
        <w:gridCol w:w="2347"/>
        <w:gridCol w:w="1005"/>
        <w:gridCol w:w="997"/>
        <w:gridCol w:w="712"/>
        <w:gridCol w:w="501"/>
        <w:gridCol w:w="587"/>
      </w:tblGrid>
      <w:tr w14:paraId="430C3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000" w:type="pct"/>
            <w:gridSpan w:val="9"/>
            <w:tcBorders>
              <w:top w:val="nil"/>
              <w:left w:val="nil"/>
              <w:bottom w:val="nil"/>
              <w:right w:val="nil"/>
            </w:tcBorders>
            <w:shd w:val="clear" w:color="auto" w:fill="auto"/>
            <w:noWrap/>
            <w:vAlign w:val="center"/>
          </w:tcPr>
          <w:p w14:paraId="22088F45">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县级项目支出绩效自评表</w:t>
            </w:r>
          </w:p>
        </w:tc>
      </w:tr>
      <w:tr w14:paraId="0AEEE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722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96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9AB0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艾滋病防治地方配套经费</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300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EEB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2023年</w:t>
            </w:r>
          </w:p>
        </w:tc>
      </w:tr>
      <w:tr w14:paraId="16630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394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196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1B0C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马边彝族自治县卫生健康局</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741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BF2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马边彝族自治县疾病预防控制中心</w:t>
            </w:r>
          </w:p>
        </w:tc>
      </w:tr>
      <w:tr w14:paraId="75CD6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7C7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0A9E9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nil"/>
            </w:tcBorders>
            <w:shd w:val="clear" w:color="auto" w:fill="auto"/>
            <w:noWrap/>
            <w:vAlign w:val="center"/>
          </w:tcPr>
          <w:p w14:paraId="4C62E694">
            <w:pPr>
              <w:jc w:val="center"/>
              <w:rPr>
                <w:rFonts w:hint="eastAsia" w:ascii="宋体" w:hAnsi="宋体" w:eastAsia="宋体" w:cs="宋体"/>
                <w:i w:val="0"/>
                <w:iCs w:val="0"/>
                <w:color w:val="000000"/>
                <w:sz w:val="20"/>
                <w:szCs w:val="20"/>
                <w:u w:val="none"/>
              </w:rPr>
            </w:pP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DAF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B03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3A2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45E65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D38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E6F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01C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11.818</w:t>
            </w: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3C7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0.5909</w:t>
            </w:r>
          </w:p>
        </w:tc>
      </w:tr>
      <w:tr w14:paraId="0F145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DCA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536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BE3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11.818</w:t>
            </w: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D0E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0.5909</w:t>
            </w:r>
          </w:p>
        </w:tc>
      </w:tr>
      <w:tr w14:paraId="7F429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CF1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128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BB8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F2D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#DIV/0!</w:t>
            </w:r>
          </w:p>
        </w:tc>
      </w:tr>
      <w:tr w14:paraId="79A7E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D75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61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484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2A9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06F52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79A2C">
            <w:pPr>
              <w:jc w:val="left"/>
              <w:rPr>
                <w:rFonts w:hint="eastAsia" w:ascii="宋体" w:hAnsi="宋体" w:eastAsia="宋体" w:cs="宋体"/>
                <w:i w:val="0"/>
                <w:iCs w:val="0"/>
                <w:color w:val="000000"/>
                <w:sz w:val="20"/>
                <w:szCs w:val="20"/>
                <w:u w:val="none"/>
              </w:rPr>
            </w:pPr>
          </w:p>
        </w:tc>
        <w:tc>
          <w:tcPr>
            <w:tcW w:w="2617" w:type="pct"/>
            <w:gridSpan w:val="4"/>
            <w:tcBorders>
              <w:top w:val="single" w:color="000000" w:sz="4" w:space="0"/>
              <w:left w:val="single" w:color="000000" w:sz="4" w:space="0"/>
              <w:bottom w:val="nil"/>
              <w:right w:val="single" w:color="000000" w:sz="4" w:space="0"/>
            </w:tcBorders>
            <w:shd w:val="clear" w:color="auto" w:fill="auto"/>
            <w:vAlign w:val="center"/>
          </w:tcPr>
          <w:p w14:paraId="08B067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艾滋病的疫情得到了有效控制：1 艾滋病疫情报告质量考核：40分（满分40分）；2 艾滋病病毒感染者/病人随访检测率：90.67%；3 配偶/固定性伴的HIV抗体检测率：96.43%；4 抗病毒治疗率：90.91%；5 暗娼/吸毒人群月干预覆盖率及暗娼HIV检测率：月干预覆盖率分别为95.20%、93.90%，暗娼HIV检测率88.20%;6 完成病毒载量检测的病人占正在治疗人数的比例：检测比例88.37%。</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10CE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艾滋病检测:继续依托各级医疗卫生单位开展知情不反对的艾滋病检测81198人次，扩大筛查覆盖率为43.13%，扩大筛查中主动检测占39.12%，县内确证阳性20例，确证阳性检出率为2.46/万。高危人群干预:开展城区公共娱乐场所干预3次30人次，依托美沙酮门诊干预吸毒人员60人次。全县开展打击卖淫嫖娼48次，挡获暗娼21人，挡获嫖客18人。病人追踪和管理：现有存活感染者和病人457人，积极开展病人追踪，完成转诊三见面工作的感染者和病人36人次。</w:t>
            </w:r>
          </w:p>
        </w:tc>
      </w:tr>
      <w:tr w14:paraId="3E0FE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C2A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5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9C3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EE7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CB6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EFB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9EC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分值/权重</w:t>
            </w:r>
          </w:p>
          <w:p w14:paraId="0EFE5D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（百分制）</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44E699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C55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35B20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1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A07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97E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56A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3BCC8">
            <w:pPr>
              <w:jc w:val="center"/>
              <w:rPr>
                <w:rFonts w:hint="eastAsia" w:ascii="宋体" w:hAnsi="宋体" w:eastAsia="宋体" w:cs="宋体"/>
                <w:i w:val="0"/>
                <w:iCs w:val="0"/>
                <w:color w:val="000000"/>
                <w:sz w:val="18"/>
                <w:szCs w:val="18"/>
                <w:u w:val="none"/>
              </w:rPr>
            </w:pPr>
          </w:p>
        </w:tc>
      </w:tr>
      <w:tr w14:paraId="02B06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667"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B320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6ACC8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DF228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5.909</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64E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3A8C29E5">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BC9C1">
            <w:pPr>
              <w:rPr>
                <w:rFonts w:hint="eastAsia" w:ascii="宋体" w:hAnsi="宋体" w:eastAsia="宋体" w:cs="宋体"/>
                <w:i w:val="0"/>
                <w:iCs w:val="0"/>
                <w:color w:val="000000"/>
                <w:sz w:val="18"/>
                <w:szCs w:val="18"/>
                <w:u w:val="none"/>
              </w:rPr>
            </w:pPr>
          </w:p>
        </w:tc>
      </w:tr>
      <w:tr w14:paraId="33B62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9DAD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6EAC002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72CB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艾滋病感染者和病人CD4检测率</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9C4C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≥96%</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A3C5A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96.75%</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15D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4388D1CA">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9D60E">
            <w:pPr>
              <w:rPr>
                <w:rFonts w:hint="eastAsia" w:ascii="宋体" w:hAnsi="宋体" w:eastAsia="宋体" w:cs="宋体"/>
                <w:i w:val="0"/>
                <w:iCs w:val="0"/>
                <w:color w:val="000000"/>
                <w:sz w:val="18"/>
                <w:szCs w:val="18"/>
                <w:u w:val="none"/>
              </w:rPr>
            </w:pPr>
          </w:p>
        </w:tc>
      </w:tr>
      <w:tr w14:paraId="485D8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D22BF4">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7C700A2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12B4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阳性者配偶检测率（%）</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DD71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≥96%</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899C7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99.21%</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F82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48E6BD10">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1AF91">
            <w:pPr>
              <w:rPr>
                <w:rFonts w:hint="eastAsia" w:ascii="宋体" w:hAnsi="宋体" w:eastAsia="宋体" w:cs="宋体"/>
                <w:i w:val="0"/>
                <w:iCs w:val="0"/>
                <w:color w:val="000000"/>
                <w:sz w:val="18"/>
                <w:szCs w:val="18"/>
                <w:u w:val="none"/>
              </w:rPr>
            </w:pPr>
          </w:p>
        </w:tc>
      </w:tr>
      <w:tr w14:paraId="2324A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06CED3">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05AC52E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423C7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治疗覆盖率（%）</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C39A3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≥96%</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392D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96.32%</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A84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0E175DFC">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566D0">
            <w:pPr>
              <w:rPr>
                <w:rFonts w:hint="eastAsia" w:ascii="宋体" w:hAnsi="宋体" w:eastAsia="宋体" w:cs="宋体"/>
                <w:i w:val="0"/>
                <w:iCs w:val="0"/>
                <w:color w:val="000000"/>
                <w:sz w:val="18"/>
                <w:szCs w:val="18"/>
                <w:u w:val="none"/>
              </w:rPr>
            </w:pPr>
          </w:p>
        </w:tc>
      </w:tr>
      <w:tr w14:paraId="536A0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45967">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2D655F1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FAE26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治疗成功率（%）</w:t>
            </w:r>
          </w:p>
        </w:tc>
        <w:tc>
          <w:tcPr>
            <w:tcW w:w="650" w:type="pct"/>
            <w:tcBorders>
              <w:top w:val="nil"/>
              <w:left w:val="nil"/>
              <w:bottom w:val="nil"/>
              <w:right w:val="nil"/>
            </w:tcBorders>
            <w:shd w:val="clear" w:color="auto" w:fill="auto"/>
            <w:noWrap/>
            <w:vAlign w:val="center"/>
          </w:tcPr>
          <w:p w14:paraId="631B426C">
            <w:pPr>
              <w:keepNext w:val="0"/>
              <w:keepLines w:val="0"/>
              <w:widowControl/>
              <w:suppressLineNumbers w:val="0"/>
              <w:jc w:val="center"/>
              <w:textAlignment w:val="center"/>
              <w:rPr>
                <w:rFonts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≥96%</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AEB4D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97.77%</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ABC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195A5E9E">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135B9">
            <w:pPr>
              <w:rPr>
                <w:rFonts w:hint="eastAsia" w:ascii="宋体" w:hAnsi="宋体" w:eastAsia="宋体" w:cs="宋体"/>
                <w:i w:val="0"/>
                <w:iCs w:val="0"/>
                <w:color w:val="000000"/>
                <w:sz w:val="18"/>
                <w:szCs w:val="18"/>
                <w:u w:val="none"/>
              </w:rPr>
            </w:pPr>
          </w:p>
        </w:tc>
      </w:tr>
      <w:tr w14:paraId="64925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2DDC0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641E913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A712B5">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985548">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418C34">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959C0">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0A422E15">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2C775">
            <w:pPr>
              <w:rPr>
                <w:rFonts w:hint="eastAsia" w:ascii="宋体" w:hAnsi="宋体" w:eastAsia="宋体" w:cs="宋体"/>
                <w:i w:val="0"/>
                <w:iCs w:val="0"/>
                <w:color w:val="000000"/>
                <w:sz w:val="18"/>
                <w:szCs w:val="18"/>
                <w:u w:val="none"/>
              </w:rPr>
            </w:pPr>
          </w:p>
        </w:tc>
      </w:tr>
      <w:tr w14:paraId="3B780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ED9AF8">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6323609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71698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我县艾滋病疫情得到了有效控制</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5DA4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优良中低差</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C185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良</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614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5C821167">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0ABB4">
            <w:pPr>
              <w:rPr>
                <w:rFonts w:hint="eastAsia" w:ascii="宋体" w:hAnsi="宋体" w:eastAsia="宋体" w:cs="宋体"/>
                <w:i w:val="0"/>
                <w:iCs w:val="0"/>
                <w:color w:val="000000"/>
                <w:sz w:val="18"/>
                <w:szCs w:val="18"/>
                <w:u w:val="none"/>
              </w:rPr>
            </w:pPr>
          </w:p>
        </w:tc>
      </w:tr>
      <w:tr w14:paraId="7059A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0A39B">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7C10DA0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AA8B33">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247157">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3EB010">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E8760">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05A3A81C">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DC7A9">
            <w:pPr>
              <w:rPr>
                <w:rFonts w:hint="eastAsia" w:ascii="宋体" w:hAnsi="宋体" w:eastAsia="宋体" w:cs="宋体"/>
                <w:i w:val="0"/>
                <w:iCs w:val="0"/>
                <w:color w:val="000000"/>
                <w:sz w:val="18"/>
                <w:szCs w:val="18"/>
                <w:u w:val="none"/>
              </w:rPr>
            </w:pPr>
          </w:p>
        </w:tc>
      </w:tr>
      <w:tr w14:paraId="7FE11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0F1ADB">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42D6A04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D23D0">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3ABF25">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9CF62">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9442B">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5B4844AB">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1F87C">
            <w:pPr>
              <w:rPr>
                <w:rFonts w:hint="eastAsia" w:ascii="宋体" w:hAnsi="宋体" w:eastAsia="宋体" w:cs="宋体"/>
                <w:i w:val="0"/>
                <w:iCs w:val="0"/>
                <w:color w:val="000000"/>
                <w:sz w:val="18"/>
                <w:szCs w:val="18"/>
                <w:u w:val="none"/>
              </w:rPr>
            </w:pPr>
          </w:p>
        </w:tc>
      </w:tr>
      <w:tr w14:paraId="19A20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5652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17F7CAB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B83F2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人民满意度提升</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DD59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好坏</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50103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好</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F1F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3B512F3F">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F5199">
            <w:pPr>
              <w:rPr>
                <w:rFonts w:hint="eastAsia" w:ascii="宋体" w:hAnsi="宋体" w:eastAsia="宋体" w:cs="宋体"/>
                <w:i w:val="0"/>
                <w:iCs w:val="0"/>
                <w:color w:val="000000"/>
                <w:sz w:val="18"/>
                <w:szCs w:val="18"/>
                <w:u w:val="none"/>
              </w:rPr>
            </w:pPr>
          </w:p>
        </w:tc>
      </w:tr>
      <w:tr w14:paraId="4853F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02CFFAF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p>
          <w:p w14:paraId="57424D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30F75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000" w:type="pct"/>
            <w:gridSpan w:val="9"/>
            <w:tcBorders>
              <w:top w:val="nil"/>
              <w:left w:val="nil"/>
              <w:bottom w:val="nil"/>
              <w:right w:val="nil"/>
            </w:tcBorders>
            <w:shd w:val="clear" w:color="auto" w:fill="auto"/>
            <w:noWrap/>
            <w:vAlign w:val="center"/>
          </w:tcPr>
          <w:p w14:paraId="51DB11E3">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县级项目支出绩效自评表</w:t>
            </w:r>
          </w:p>
        </w:tc>
      </w:tr>
      <w:tr w14:paraId="2C733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AD8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96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8E52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艾滋病感染者和艾滋病人生活困难补助</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092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ED6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2023年</w:t>
            </w:r>
          </w:p>
        </w:tc>
      </w:tr>
      <w:tr w14:paraId="11979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4CC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196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FD68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马边彝族自治县卫生健康局</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DBC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4E6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马边彝族自治县疾病预防控制中心</w:t>
            </w:r>
          </w:p>
        </w:tc>
      </w:tr>
      <w:tr w14:paraId="02C1E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3BC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0F770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nil"/>
            </w:tcBorders>
            <w:shd w:val="clear" w:color="auto" w:fill="auto"/>
            <w:noWrap/>
            <w:vAlign w:val="center"/>
          </w:tcPr>
          <w:p w14:paraId="4290428E">
            <w:pPr>
              <w:jc w:val="center"/>
              <w:rPr>
                <w:rFonts w:hint="eastAsia" w:ascii="宋体" w:hAnsi="宋体" w:eastAsia="宋体" w:cs="宋体"/>
                <w:i w:val="0"/>
                <w:iCs w:val="0"/>
                <w:color w:val="000000"/>
                <w:sz w:val="20"/>
                <w:szCs w:val="20"/>
                <w:u w:val="none"/>
              </w:rPr>
            </w:pP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655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ECF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83C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4EB84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8FA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406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889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14.76</w:t>
            </w: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26C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0.546666667</w:t>
            </w:r>
          </w:p>
        </w:tc>
      </w:tr>
      <w:tr w14:paraId="133BF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518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9CB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458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14.76</w:t>
            </w: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73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0.546666667</w:t>
            </w:r>
          </w:p>
        </w:tc>
      </w:tr>
      <w:tr w14:paraId="26A09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A63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F24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2B1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3A8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#DIV/0!</w:t>
            </w:r>
          </w:p>
        </w:tc>
      </w:tr>
      <w:tr w14:paraId="2DFA2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0F8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61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2A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042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45E16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183AC">
            <w:pPr>
              <w:jc w:val="left"/>
              <w:rPr>
                <w:rFonts w:hint="eastAsia" w:ascii="宋体" w:hAnsi="宋体" w:eastAsia="宋体" w:cs="宋体"/>
                <w:i w:val="0"/>
                <w:iCs w:val="0"/>
                <w:color w:val="000000"/>
                <w:sz w:val="20"/>
                <w:szCs w:val="20"/>
                <w:u w:val="none"/>
              </w:rPr>
            </w:pPr>
          </w:p>
        </w:tc>
        <w:tc>
          <w:tcPr>
            <w:tcW w:w="2617" w:type="pct"/>
            <w:gridSpan w:val="4"/>
            <w:tcBorders>
              <w:top w:val="single" w:color="000000" w:sz="4" w:space="0"/>
              <w:left w:val="single" w:color="000000" w:sz="4" w:space="0"/>
              <w:bottom w:val="nil"/>
              <w:right w:val="single" w:color="000000" w:sz="4" w:space="0"/>
            </w:tcBorders>
            <w:shd w:val="clear" w:color="auto" w:fill="auto"/>
            <w:vAlign w:val="center"/>
          </w:tcPr>
          <w:p w14:paraId="2C87E5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府办函【2011】324号，经自治县人民政府研究，同意由县财政解决给艾滋病工作委员会（经费划入疾控中心），专项为我县艾滋病病毒感染者和艾滋病病人困难补助费，补助发放标准每人每月50元，从2011年8月开始执行，该资金从2012年开始纳入年初预算。达到了对艾滋病病毒感染者和艾滋病病人的有效管控，维护了社会的稳定。</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0626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我县艾滋病防治工作主要依托中央、省、市补助项目及地方配套工作专项经费，根据市、县签订的艾滋病防治目标责任书，结合马边实际，以全面推进和开展艾滋病工作。我县艾滋病病毒感染者和艾滋病病人困难补助费，补助发放标准每人每月50元，从2011年8月开始执行，该资金从2012年开始纳入年初预算。达到了对艾滋病病毒感染者和艾滋病病人的有效管控，维护了社会的稳定，使我县艾滋病疫情得到了有效控制。</w:t>
            </w:r>
          </w:p>
        </w:tc>
      </w:tr>
      <w:tr w14:paraId="41B25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9FF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5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A58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D9D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61B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5B1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2BF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分值/权重</w:t>
            </w:r>
          </w:p>
          <w:p w14:paraId="50F76D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（百分制）</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01B653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F90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43B64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1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7E0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EBC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394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D0D17">
            <w:pPr>
              <w:jc w:val="center"/>
              <w:rPr>
                <w:rFonts w:hint="eastAsia" w:ascii="宋体" w:hAnsi="宋体" w:eastAsia="宋体" w:cs="宋体"/>
                <w:i w:val="0"/>
                <w:iCs w:val="0"/>
                <w:color w:val="000000"/>
                <w:sz w:val="18"/>
                <w:szCs w:val="18"/>
                <w:u w:val="none"/>
              </w:rPr>
            </w:pPr>
          </w:p>
        </w:tc>
      </w:tr>
      <w:tr w14:paraId="38D46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667"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99E17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A5D0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48746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5.466666667</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89E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7E57270C">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9EB3B">
            <w:pPr>
              <w:rPr>
                <w:rFonts w:hint="eastAsia" w:ascii="宋体" w:hAnsi="宋体" w:eastAsia="宋体" w:cs="宋体"/>
                <w:i w:val="0"/>
                <w:iCs w:val="0"/>
                <w:color w:val="000000"/>
                <w:sz w:val="18"/>
                <w:szCs w:val="18"/>
                <w:u w:val="none"/>
              </w:rPr>
            </w:pPr>
          </w:p>
        </w:tc>
      </w:tr>
      <w:tr w14:paraId="155ED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1D137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20973E3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A4CF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66336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3CE2C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55</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9E3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78965550">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32191">
            <w:pPr>
              <w:rPr>
                <w:rFonts w:hint="eastAsia" w:ascii="宋体" w:hAnsi="宋体" w:eastAsia="宋体" w:cs="宋体"/>
                <w:i w:val="0"/>
                <w:iCs w:val="0"/>
                <w:color w:val="000000"/>
                <w:sz w:val="18"/>
                <w:szCs w:val="18"/>
                <w:u w:val="none"/>
              </w:rPr>
            </w:pPr>
          </w:p>
        </w:tc>
      </w:tr>
      <w:tr w14:paraId="1DF67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5A9B4C">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5596D0B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1E16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资金使用规范性</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07925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规范</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A8094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5CF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51E2E6A4">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6E433">
            <w:pPr>
              <w:rPr>
                <w:rFonts w:hint="eastAsia" w:ascii="宋体" w:hAnsi="宋体" w:eastAsia="宋体" w:cs="宋体"/>
                <w:i w:val="0"/>
                <w:iCs w:val="0"/>
                <w:color w:val="000000"/>
                <w:sz w:val="18"/>
                <w:szCs w:val="18"/>
                <w:u w:val="none"/>
              </w:rPr>
            </w:pPr>
          </w:p>
        </w:tc>
      </w:tr>
      <w:tr w14:paraId="06C29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6D900">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7186FC5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E41FA">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C32471">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7E386A">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688A7">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6315226C">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56195">
            <w:pPr>
              <w:rPr>
                <w:rFonts w:hint="eastAsia" w:ascii="宋体" w:hAnsi="宋体" w:eastAsia="宋体" w:cs="宋体"/>
                <w:i w:val="0"/>
                <w:iCs w:val="0"/>
                <w:color w:val="000000"/>
                <w:sz w:val="18"/>
                <w:szCs w:val="18"/>
                <w:u w:val="none"/>
              </w:rPr>
            </w:pPr>
          </w:p>
        </w:tc>
      </w:tr>
      <w:tr w14:paraId="03C43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9C594F">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015B1F9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4F2ACF">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5224B6">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18211">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B5B4D">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45FF4751">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D49F5">
            <w:pPr>
              <w:rPr>
                <w:rFonts w:hint="eastAsia" w:ascii="宋体" w:hAnsi="宋体" w:eastAsia="宋体" w:cs="宋体"/>
                <w:i w:val="0"/>
                <w:iCs w:val="0"/>
                <w:color w:val="000000"/>
                <w:sz w:val="18"/>
                <w:szCs w:val="18"/>
                <w:u w:val="none"/>
              </w:rPr>
            </w:pPr>
          </w:p>
        </w:tc>
      </w:tr>
      <w:tr w14:paraId="3A2DB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1AA52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39105E9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3F418">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D6B8F">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FFE77">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D2100">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6F15BBB6">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A2A95">
            <w:pPr>
              <w:rPr>
                <w:rFonts w:hint="eastAsia" w:ascii="宋体" w:hAnsi="宋体" w:eastAsia="宋体" w:cs="宋体"/>
                <w:i w:val="0"/>
                <w:iCs w:val="0"/>
                <w:color w:val="000000"/>
                <w:sz w:val="18"/>
                <w:szCs w:val="18"/>
                <w:u w:val="none"/>
              </w:rPr>
            </w:pPr>
          </w:p>
        </w:tc>
      </w:tr>
      <w:tr w14:paraId="6B404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C9CBA">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79E2472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40FCF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我县艾滋病疫情得到了有效控制</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5CCA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优良中低差</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6B95E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良好</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05C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1CFD27A2">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80B73">
            <w:pPr>
              <w:rPr>
                <w:rFonts w:hint="eastAsia" w:ascii="宋体" w:hAnsi="宋体" w:eastAsia="宋体" w:cs="宋体"/>
                <w:i w:val="0"/>
                <w:iCs w:val="0"/>
                <w:color w:val="000000"/>
                <w:sz w:val="18"/>
                <w:szCs w:val="18"/>
                <w:u w:val="none"/>
              </w:rPr>
            </w:pPr>
          </w:p>
        </w:tc>
      </w:tr>
      <w:tr w14:paraId="4702A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F9BC9">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6066479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20933">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3D1034">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E14F8">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6DC27">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1984DBCD">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DB6C6">
            <w:pPr>
              <w:rPr>
                <w:rFonts w:hint="eastAsia" w:ascii="宋体" w:hAnsi="宋体" w:eastAsia="宋体" w:cs="宋体"/>
                <w:i w:val="0"/>
                <w:iCs w:val="0"/>
                <w:color w:val="000000"/>
                <w:sz w:val="18"/>
                <w:szCs w:val="18"/>
                <w:u w:val="none"/>
              </w:rPr>
            </w:pPr>
          </w:p>
        </w:tc>
      </w:tr>
      <w:tr w14:paraId="52A66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4F16D">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72B602A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DD3C55">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6B74A">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7DA4A">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8A90E">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3E87FAC5">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01B8F">
            <w:pPr>
              <w:rPr>
                <w:rFonts w:hint="eastAsia" w:ascii="宋体" w:hAnsi="宋体" w:eastAsia="宋体" w:cs="宋体"/>
                <w:i w:val="0"/>
                <w:iCs w:val="0"/>
                <w:color w:val="000000"/>
                <w:sz w:val="18"/>
                <w:szCs w:val="18"/>
                <w:u w:val="none"/>
              </w:rPr>
            </w:pPr>
          </w:p>
        </w:tc>
      </w:tr>
      <w:tr w14:paraId="4F446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0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78242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40FFF48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E55AF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艾滋病感染者及病人非常满意，每年积极配合抽血检测和配合治疗</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0D9D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好坏</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578D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好</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F7E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456384CB">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AE0FD">
            <w:pPr>
              <w:rPr>
                <w:rFonts w:hint="eastAsia" w:ascii="宋体" w:hAnsi="宋体" w:eastAsia="宋体" w:cs="宋体"/>
                <w:i w:val="0"/>
                <w:iCs w:val="0"/>
                <w:color w:val="000000"/>
                <w:sz w:val="18"/>
                <w:szCs w:val="18"/>
                <w:u w:val="none"/>
              </w:rPr>
            </w:pPr>
          </w:p>
        </w:tc>
      </w:tr>
      <w:tr w14:paraId="0D3B7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3855F6A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p>
          <w:p w14:paraId="48E302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56E1B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000" w:type="pct"/>
            <w:gridSpan w:val="9"/>
            <w:tcBorders>
              <w:top w:val="nil"/>
              <w:left w:val="nil"/>
              <w:bottom w:val="nil"/>
              <w:right w:val="nil"/>
            </w:tcBorders>
            <w:shd w:val="clear" w:color="auto" w:fill="auto"/>
            <w:noWrap/>
            <w:vAlign w:val="center"/>
          </w:tcPr>
          <w:p w14:paraId="26959058">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县级项目支出绩效自评表</w:t>
            </w:r>
          </w:p>
        </w:tc>
      </w:tr>
      <w:tr w14:paraId="3EEAB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251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96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5A64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传染病报告管理项目</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12A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9E2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2023年</w:t>
            </w:r>
          </w:p>
        </w:tc>
      </w:tr>
      <w:tr w14:paraId="69F6F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C5A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196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3C58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马边彝族自治县卫生健康局</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1EC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DAB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马边彝族自治县疾病预防控制中心</w:t>
            </w:r>
          </w:p>
        </w:tc>
      </w:tr>
      <w:tr w14:paraId="6B19F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47B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5B947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nil"/>
            </w:tcBorders>
            <w:shd w:val="clear" w:color="auto" w:fill="auto"/>
            <w:noWrap/>
            <w:vAlign w:val="center"/>
          </w:tcPr>
          <w:p w14:paraId="5FD7DC7B">
            <w:pPr>
              <w:jc w:val="center"/>
              <w:rPr>
                <w:rFonts w:hint="eastAsia" w:ascii="宋体" w:hAnsi="宋体" w:eastAsia="宋体" w:cs="宋体"/>
                <w:i w:val="0"/>
                <w:iCs w:val="0"/>
                <w:color w:val="000000"/>
                <w:sz w:val="20"/>
                <w:szCs w:val="20"/>
                <w:u w:val="none"/>
              </w:rPr>
            </w:pP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D96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A02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EC7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49F7C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D9F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B1B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C12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6.1579</w:t>
            </w: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A32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0.473684615</w:t>
            </w:r>
          </w:p>
        </w:tc>
      </w:tr>
      <w:tr w14:paraId="70AC2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107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9F8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E5E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6.1579</w:t>
            </w: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AA1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0.473684615</w:t>
            </w:r>
          </w:p>
        </w:tc>
      </w:tr>
      <w:tr w14:paraId="7E26F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3EF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942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35E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E1E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#DIV/0!</w:t>
            </w:r>
          </w:p>
        </w:tc>
      </w:tr>
      <w:tr w14:paraId="1F400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9A9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61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8FE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A11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603EF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CB161">
            <w:pPr>
              <w:jc w:val="left"/>
              <w:rPr>
                <w:rFonts w:hint="eastAsia" w:ascii="宋体" w:hAnsi="宋体" w:eastAsia="宋体" w:cs="宋体"/>
                <w:i w:val="0"/>
                <w:iCs w:val="0"/>
                <w:color w:val="000000"/>
                <w:sz w:val="20"/>
                <w:szCs w:val="20"/>
                <w:u w:val="none"/>
              </w:rPr>
            </w:pPr>
          </w:p>
        </w:tc>
        <w:tc>
          <w:tcPr>
            <w:tcW w:w="2617" w:type="pct"/>
            <w:gridSpan w:val="4"/>
            <w:tcBorders>
              <w:top w:val="single" w:color="000000" w:sz="4" w:space="0"/>
              <w:left w:val="single" w:color="000000" w:sz="4" w:space="0"/>
              <w:bottom w:val="nil"/>
              <w:right w:val="single" w:color="000000" w:sz="4" w:space="0"/>
            </w:tcBorders>
            <w:shd w:val="clear" w:color="auto" w:fill="auto"/>
            <w:vAlign w:val="center"/>
          </w:tcPr>
          <w:p w14:paraId="6DF0AE0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一、学校结核病人密切接触者筛查：2023年上半年全县共筛查学校结核病人密切接触者900人次，163元/1支（1支注射7人），计20000元； 全年预计50000元（含注射器）。依据：关于切实落实学校结核病防控措施进一步提升工作质量的通知(川卫重传函〔2022〕22号)、《学校结核病防控工作规范（2017版）、《中国学校结核病防控工作指南（2020版）》。</w:t>
            </w:r>
          </w:p>
          <w:p w14:paraId="6611B5A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二、疫点处置：全年学校散发/聚集性结核疫情调查处置产生差旅、油费等经费5000元。依据：关于切实落实学校结核病防控措施进一步提升工作质量的通知(川卫重传函〔2022〕22号)。</w:t>
            </w:r>
          </w:p>
          <w:p w14:paraId="68063F0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三、宣传：每年3月24日“世界防治结核病日”宣传活动，发展百千万志愿者，印刷宣传材料等需要20000元。依据：乐山市卫生健康委员会关于组织开展2023年世界防治结核病日宣传活动的通知。</w:t>
            </w:r>
          </w:p>
          <w:p w14:paraId="61BEC40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四、信息化建设及急性传染病疫情处置：信息化建设及急性传染病散发、聚集性或暴发疫情调查处置；疫情零缺报督导、传染病报告管理督导、传染病漏报调查、培训等产生的差旅、油费、专用材料费等，计30000元。依据：川卫办疾控便函〔2023〕46号，关于印发《四川省2023年传染病信息报告管理与疾控信息工作评估及全国传染病报告质量和管理现状调查省级复核方案》的通知。</w:t>
            </w:r>
          </w:p>
          <w:p w14:paraId="2ECCC7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传染病报告管理及信息安全维护费：传染病报告管理奖惩、年度传染病分析印刷费、信息安全使用的北京CA续期费50元/人，计10000元。依据：川疾发〔2017〕69号《四川省疾病预防控制中心关于印发中国疾病预防控制信息系统基于电子认证服务机构数字证书身份认证技术指导方案的通知》。</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9DFC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全县患结核病的群众免费开展规范化防治工作，对县属各医院进行业务技术培训与指导，开展结核病防治知识的宣传。通过此项工作的开展，结核病在我县得到了较有效的控制，减少了肺结核病患者的经济、心理负担，逐步提高了人民群众的健康水平。</w:t>
            </w:r>
          </w:p>
        </w:tc>
      </w:tr>
      <w:tr w14:paraId="69F9C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AC3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5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B8D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EC2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F7B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CC4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329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分值/权重</w:t>
            </w:r>
          </w:p>
          <w:p w14:paraId="12A52C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（百分制）</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65A053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8F3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324CB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1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FB4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521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6B2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A4C61">
            <w:pPr>
              <w:jc w:val="center"/>
              <w:rPr>
                <w:rFonts w:hint="eastAsia" w:ascii="宋体" w:hAnsi="宋体" w:eastAsia="宋体" w:cs="宋体"/>
                <w:i w:val="0"/>
                <w:iCs w:val="0"/>
                <w:color w:val="000000"/>
                <w:sz w:val="18"/>
                <w:szCs w:val="18"/>
                <w:u w:val="none"/>
              </w:rPr>
            </w:pPr>
          </w:p>
        </w:tc>
      </w:tr>
      <w:tr w14:paraId="28D97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667"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BFFB7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927D0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8CC8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4.736846154</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533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7FD8C778">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3B3BC">
            <w:pPr>
              <w:rPr>
                <w:rFonts w:hint="eastAsia" w:ascii="宋体" w:hAnsi="宋体" w:eastAsia="宋体" w:cs="宋体"/>
                <w:i w:val="0"/>
                <w:iCs w:val="0"/>
                <w:color w:val="000000"/>
                <w:sz w:val="18"/>
                <w:szCs w:val="18"/>
                <w:u w:val="none"/>
              </w:rPr>
            </w:pPr>
          </w:p>
        </w:tc>
      </w:tr>
      <w:tr w14:paraId="7ED2E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54C0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53A26A0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14FF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散发/聚集性疫情调查处置率</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281A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3DE7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075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16A2296F">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87E0E">
            <w:pPr>
              <w:rPr>
                <w:rFonts w:hint="eastAsia" w:ascii="宋体" w:hAnsi="宋体" w:eastAsia="宋体" w:cs="宋体"/>
                <w:i w:val="0"/>
                <w:iCs w:val="0"/>
                <w:color w:val="000000"/>
                <w:sz w:val="18"/>
                <w:szCs w:val="18"/>
                <w:u w:val="none"/>
              </w:rPr>
            </w:pPr>
          </w:p>
        </w:tc>
      </w:tr>
      <w:tr w14:paraId="0D067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2CA59">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7CD3A27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FBD2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医疗机构传染病报告率</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63F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470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F49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7101E50E">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FB2DD">
            <w:pPr>
              <w:rPr>
                <w:rFonts w:hint="eastAsia" w:ascii="宋体" w:hAnsi="宋体" w:eastAsia="宋体" w:cs="宋体"/>
                <w:i w:val="0"/>
                <w:iCs w:val="0"/>
                <w:color w:val="000000"/>
                <w:sz w:val="18"/>
                <w:szCs w:val="18"/>
                <w:u w:val="none"/>
              </w:rPr>
            </w:pPr>
          </w:p>
        </w:tc>
      </w:tr>
      <w:tr w14:paraId="546BE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E645F">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1F1DE73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099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医疗机构传染病报告及时率</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088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0C4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5B7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15CA2980">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C9543">
            <w:pPr>
              <w:rPr>
                <w:rFonts w:hint="eastAsia" w:ascii="宋体" w:hAnsi="宋体" w:eastAsia="宋体" w:cs="宋体"/>
                <w:i w:val="0"/>
                <w:iCs w:val="0"/>
                <w:color w:val="000000"/>
                <w:sz w:val="18"/>
                <w:szCs w:val="18"/>
                <w:u w:val="none"/>
              </w:rPr>
            </w:pPr>
          </w:p>
        </w:tc>
      </w:tr>
      <w:tr w14:paraId="02DA5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A99BC2">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3FDA650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380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病原学阳性患者密切接触者筛查率</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E627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62CE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0F0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13E2069D">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A4441">
            <w:pPr>
              <w:rPr>
                <w:rFonts w:hint="eastAsia" w:ascii="宋体" w:hAnsi="宋体" w:eastAsia="宋体" w:cs="宋体"/>
                <w:i w:val="0"/>
                <w:iCs w:val="0"/>
                <w:color w:val="000000"/>
                <w:sz w:val="18"/>
                <w:szCs w:val="18"/>
                <w:u w:val="none"/>
              </w:rPr>
            </w:pPr>
          </w:p>
        </w:tc>
      </w:tr>
      <w:tr w14:paraId="7FDD6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7D3DD2">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5644D5A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6AF1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肺结核患者规范管理率</w:t>
            </w:r>
          </w:p>
        </w:tc>
        <w:tc>
          <w:tcPr>
            <w:tcW w:w="6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482E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8B7F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7B8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1EC12C31">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6718B">
            <w:pPr>
              <w:rPr>
                <w:rFonts w:hint="eastAsia" w:ascii="宋体" w:hAnsi="宋体" w:eastAsia="宋体" w:cs="宋体"/>
                <w:i w:val="0"/>
                <w:iCs w:val="0"/>
                <w:color w:val="000000"/>
                <w:sz w:val="18"/>
                <w:szCs w:val="18"/>
                <w:u w:val="none"/>
              </w:rPr>
            </w:pPr>
          </w:p>
        </w:tc>
      </w:tr>
      <w:tr w14:paraId="141D3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11503">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46779C1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5D04EC">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22A77">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9EEA7">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CD498">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4A8CD2BC">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28649">
            <w:pPr>
              <w:rPr>
                <w:rFonts w:hint="eastAsia" w:ascii="宋体" w:hAnsi="宋体" w:eastAsia="宋体" w:cs="宋体"/>
                <w:i w:val="0"/>
                <w:iCs w:val="0"/>
                <w:color w:val="000000"/>
                <w:sz w:val="18"/>
                <w:szCs w:val="18"/>
                <w:u w:val="none"/>
              </w:rPr>
            </w:pPr>
          </w:p>
        </w:tc>
      </w:tr>
      <w:tr w14:paraId="5776F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E37FAC">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38DEF80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B1C48E">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A843E">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F9F54">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48AA4">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47CE82C4">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972D2">
            <w:pPr>
              <w:rPr>
                <w:rFonts w:hint="eastAsia" w:ascii="宋体" w:hAnsi="宋体" w:eastAsia="宋体" w:cs="宋体"/>
                <w:i w:val="0"/>
                <w:iCs w:val="0"/>
                <w:color w:val="000000"/>
                <w:sz w:val="18"/>
                <w:szCs w:val="18"/>
                <w:u w:val="none"/>
              </w:rPr>
            </w:pPr>
          </w:p>
        </w:tc>
      </w:tr>
      <w:tr w14:paraId="628ED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0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581B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70034F3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B30BB">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1E261D">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CA7D2">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5CC30">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05E228C9">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B2453">
            <w:pPr>
              <w:rPr>
                <w:rFonts w:hint="eastAsia" w:ascii="宋体" w:hAnsi="宋体" w:eastAsia="宋体" w:cs="宋体"/>
                <w:i w:val="0"/>
                <w:iCs w:val="0"/>
                <w:color w:val="000000"/>
                <w:sz w:val="18"/>
                <w:szCs w:val="18"/>
                <w:u w:val="none"/>
              </w:rPr>
            </w:pPr>
          </w:p>
        </w:tc>
      </w:tr>
      <w:tr w14:paraId="73047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EBDB38">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37705AF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3A1D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不断提高结核病防治知识知晓率</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BE4E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优良中低差</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77F7E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良</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88D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2F60A201">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E3D8F">
            <w:pPr>
              <w:rPr>
                <w:rFonts w:hint="eastAsia" w:ascii="宋体" w:hAnsi="宋体" w:eastAsia="宋体" w:cs="宋体"/>
                <w:i w:val="0"/>
                <w:iCs w:val="0"/>
                <w:color w:val="000000"/>
                <w:sz w:val="18"/>
                <w:szCs w:val="18"/>
                <w:u w:val="none"/>
              </w:rPr>
            </w:pPr>
          </w:p>
        </w:tc>
      </w:tr>
      <w:tr w14:paraId="65CE0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B389D">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181BC2F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22A9E2">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C5A2F">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CFCA97">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3CA67">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15AF67B0">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5CB41">
            <w:pPr>
              <w:rPr>
                <w:rFonts w:hint="eastAsia" w:ascii="宋体" w:hAnsi="宋体" w:eastAsia="宋体" w:cs="宋体"/>
                <w:i w:val="0"/>
                <w:iCs w:val="0"/>
                <w:color w:val="000000"/>
                <w:sz w:val="18"/>
                <w:szCs w:val="18"/>
                <w:u w:val="none"/>
              </w:rPr>
            </w:pPr>
          </w:p>
        </w:tc>
      </w:tr>
      <w:tr w14:paraId="3F93D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BD2316">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74A0033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60ABB3">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598AC">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A57F8">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2C04A">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519EF090">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EB606">
            <w:pPr>
              <w:rPr>
                <w:rFonts w:hint="eastAsia" w:ascii="宋体" w:hAnsi="宋体" w:eastAsia="宋体" w:cs="宋体"/>
                <w:i w:val="0"/>
                <w:iCs w:val="0"/>
                <w:color w:val="000000"/>
                <w:sz w:val="18"/>
                <w:szCs w:val="18"/>
                <w:u w:val="none"/>
              </w:rPr>
            </w:pPr>
          </w:p>
        </w:tc>
      </w:tr>
      <w:tr w14:paraId="739AF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0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84139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2BA24DE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08FB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人民满意度提升</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5ECA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好坏</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055570">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0CA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782919E3">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AB364">
            <w:pPr>
              <w:rPr>
                <w:rFonts w:hint="eastAsia" w:ascii="宋体" w:hAnsi="宋体" w:eastAsia="宋体" w:cs="宋体"/>
                <w:i w:val="0"/>
                <w:iCs w:val="0"/>
                <w:color w:val="000000"/>
                <w:sz w:val="18"/>
                <w:szCs w:val="18"/>
                <w:u w:val="none"/>
              </w:rPr>
            </w:pPr>
          </w:p>
        </w:tc>
      </w:tr>
      <w:tr w14:paraId="2EA58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7EF6571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p>
          <w:p w14:paraId="649975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45CAD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000" w:type="pct"/>
            <w:gridSpan w:val="9"/>
            <w:tcBorders>
              <w:top w:val="nil"/>
              <w:left w:val="nil"/>
              <w:bottom w:val="nil"/>
              <w:right w:val="nil"/>
            </w:tcBorders>
            <w:shd w:val="clear" w:color="auto" w:fill="auto"/>
            <w:noWrap/>
            <w:vAlign w:val="center"/>
          </w:tcPr>
          <w:p w14:paraId="1DC6B365">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县级项目支出绩效自评表</w:t>
            </w:r>
          </w:p>
        </w:tc>
      </w:tr>
      <w:tr w14:paraId="6CB34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9FD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96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DCAC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关于解决生物安全实验室改造项目缺口经费</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2B7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D6F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2023年</w:t>
            </w:r>
          </w:p>
        </w:tc>
      </w:tr>
      <w:tr w14:paraId="0E4CE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FDF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196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0D0C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马边彝族自治县卫生健康局</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F03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DF8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马边彝族自治县疾病预防控制中心</w:t>
            </w:r>
          </w:p>
        </w:tc>
      </w:tr>
      <w:tr w14:paraId="088B4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116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1BF29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nil"/>
            </w:tcBorders>
            <w:shd w:val="clear" w:color="auto" w:fill="auto"/>
            <w:noWrap/>
            <w:vAlign w:val="center"/>
          </w:tcPr>
          <w:p w14:paraId="7712A9DB">
            <w:pPr>
              <w:jc w:val="center"/>
              <w:rPr>
                <w:rFonts w:hint="eastAsia" w:ascii="宋体" w:hAnsi="宋体" w:eastAsia="宋体" w:cs="宋体"/>
                <w:i w:val="0"/>
                <w:iCs w:val="0"/>
                <w:color w:val="000000"/>
                <w:sz w:val="20"/>
                <w:szCs w:val="20"/>
                <w:u w:val="none"/>
              </w:rPr>
            </w:pP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0BE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2AF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60D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73A41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23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2B1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31.52</w:t>
            </w: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4E2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31.52</w:t>
            </w: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4AA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D8BC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194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33F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31.52</w:t>
            </w: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2F0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31.52</w:t>
            </w: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2C0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6538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CCF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0BB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482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172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#DIV/0!</w:t>
            </w:r>
          </w:p>
        </w:tc>
      </w:tr>
      <w:tr w14:paraId="0B111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84B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61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977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A60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0D49F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1D96F">
            <w:pPr>
              <w:jc w:val="left"/>
              <w:rPr>
                <w:rFonts w:hint="eastAsia" w:ascii="宋体" w:hAnsi="宋体" w:eastAsia="宋体" w:cs="宋体"/>
                <w:i w:val="0"/>
                <w:iCs w:val="0"/>
                <w:color w:val="000000"/>
                <w:sz w:val="20"/>
                <w:szCs w:val="20"/>
                <w:u w:val="none"/>
              </w:rPr>
            </w:pPr>
          </w:p>
        </w:tc>
        <w:tc>
          <w:tcPr>
            <w:tcW w:w="2617" w:type="pct"/>
            <w:gridSpan w:val="4"/>
            <w:tcBorders>
              <w:top w:val="single" w:color="000000" w:sz="4" w:space="0"/>
              <w:left w:val="single" w:color="000000" w:sz="4" w:space="0"/>
              <w:bottom w:val="nil"/>
              <w:right w:val="single" w:color="000000" w:sz="4" w:space="0"/>
            </w:tcBorders>
            <w:shd w:val="clear" w:color="auto" w:fill="auto"/>
            <w:vAlign w:val="center"/>
          </w:tcPr>
          <w:p w14:paraId="3B5757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2019-2020年，马边彝族自治县疾病预防控制中心进行生物安全实验室改造，合同金额是186.9996万元，附属机房配置材料4.88万元，装修改造工程造价咨询服务费、设计费、监理费15.155万元，总计207.0346万元 。2022年前，由于工程未出项目结算审核报告书，实验室改造款暂支付149.59968万元，故尾款未结算。2023年1月10日，马边彝族自治县财政局（马边财政评[2023]16号）文件批复马边彝族自治县疾病预防控制中心生物安全实验室改造项目竣工结算审核数为181.123833万元，实验室改造款已经支付149.59968万元，尚欠改造工程款31.524153万元。</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E048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马府常定（2023）96号，关于解决生物安全实验室改造项目缺口经费批复，支付31.52万元给成都杰诚实业有限公司。</w:t>
            </w:r>
          </w:p>
        </w:tc>
      </w:tr>
      <w:tr w14:paraId="38EB6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74A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5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B41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458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155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ED2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BBF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分值/权重</w:t>
            </w:r>
          </w:p>
          <w:p w14:paraId="10FEC5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（百分制）</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6F4F68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453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2D538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1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08C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FE0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4EE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D4EAF">
            <w:pPr>
              <w:jc w:val="center"/>
              <w:rPr>
                <w:rFonts w:hint="eastAsia" w:ascii="宋体" w:hAnsi="宋体" w:eastAsia="宋体" w:cs="宋体"/>
                <w:i w:val="0"/>
                <w:iCs w:val="0"/>
                <w:color w:val="000000"/>
                <w:sz w:val="18"/>
                <w:szCs w:val="18"/>
                <w:u w:val="none"/>
              </w:rPr>
            </w:pPr>
          </w:p>
        </w:tc>
      </w:tr>
      <w:tr w14:paraId="651EA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667"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05540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B0D31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07C0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161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48588CB1">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1007A">
            <w:pPr>
              <w:rPr>
                <w:rFonts w:hint="eastAsia" w:ascii="宋体" w:hAnsi="宋体" w:eastAsia="宋体" w:cs="宋体"/>
                <w:i w:val="0"/>
                <w:iCs w:val="0"/>
                <w:color w:val="000000"/>
                <w:sz w:val="18"/>
                <w:szCs w:val="18"/>
                <w:u w:val="none"/>
              </w:rPr>
            </w:pPr>
          </w:p>
        </w:tc>
      </w:tr>
      <w:tr w14:paraId="6D71C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FBEB2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154A00A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3E8E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如期归还欠款</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A4213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A0B7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AA2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72A02B83">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B1F0C">
            <w:pPr>
              <w:rPr>
                <w:rFonts w:hint="eastAsia" w:ascii="宋体" w:hAnsi="宋体" w:eastAsia="宋体" w:cs="宋体"/>
                <w:i w:val="0"/>
                <w:iCs w:val="0"/>
                <w:color w:val="000000"/>
                <w:sz w:val="18"/>
                <w:szCs w:val="18"/>
                <w:u w:val="none"/>
              </w:rPr>
            </w:pPr>
          </w:p>
        </w:tc>
      </w:tr>
      <w:tr w14:paraId="4CD73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A5CB24">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5E6A1BB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C353D">
            <w:pPr>
              <w:jc w:val="left"/>
              <w:rPr>
                <w:rFonts w:hint="eastAsia" w:ascii="宋体" w:hAnsi="宋体" w:eastAsia="宋体" w:cs="宋体"/>
                <w:i w:val="0"/>
                <w:iCs w:val="0"/>
                <w:color w:val="000000"/>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799989">
            <w:pPr>
              <w:rPr>
                <w:rFonts w:hint="eastAsia" w:ascii="宋体" w:hAnsi="宋体" w:eastAsia="宋体" w:cs="宋体"/>
                <w:i w:val="0"/>
                <w:iCs w:val="0"/>
                <w:color w:val="000000"/>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1581A">
            <w:pPr>
              <w:jc w:val="center"/>
              <w:rPr>
                <w:rFonts w:hint="eastAsia" w:ascii="宋体" w:hAnsi="宋体" w:eastAsia="宋体" w:cs="宋体"/>
                <w:i w:val="0"/>
                <w:iCs w:val="0"/>
                <w:color w:val="000000"/>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9085C">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714EC6DD">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45AB8">
            <w:pPr>
              <w:rPr>
                <w:rFonts w:hint="eastAsia" w:ascii="宋体" w:hAnsi="宋体" w:eastAsia="宋体" w:cs="宋体"/>
                <w:i w:val="0"/>
                <w:iCs w:val="0"/>
                <w:color w:val="000000"/>
                <w:sz w:val="18"/>
                <w:szCs w:val="18"/>
                <w:u w:val="none"/>
              </w:rPr>
            </w:pPr>
          </w:p>
        </w:tc>
      </w:tr>
      <w:tr w14:paraId="7B9B3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31B59">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2213366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943EB">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实验室顺利使用</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4612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好坏</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D982F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好</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E4A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65300F84">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97A7C">
            <w:pPr>
              <w:rPr>
                <w:rFonts w:hint="eastAsia" w:ascii="宋体" w:hAnsi="宋体" w:eastAsia="宋体" w:cs="宋体"/>
                <w:i w:val="0"/>
                <w:iCs w:val="0"/>
                <w:color w:val="000000"/>
                <w:sz w:val="18"/>
                <w:szCs w:val="18"/>
                <w:u w:val="none"/>
              </w:rPr>
            </w:pPr>
          </w:p>
        </w:tc>
      </w:tr>
      <w:tr w14:paraId="5EBE9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37B9D4">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11B0D7A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1B9257">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E38D09">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C9E6F">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4BB58">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0CC5F7C3">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E4CB4">
            <w:pPr>
              <w:rPr>
                <w:rFonts w:hint="eastAsia" w:ascii="宋体" w:hAnsi="宋体" w:eastAsia="宋体" w:cs="宋体"/>
                <w:i w:val="0"/>
                <w:iCs w:val="0"/>
                <w:color w:val="000000"/>
                <w:sz w:val="18"/>
                <w:szCs w:val="18"/>
                <w:u w:val="none"/>
              </w:rPr>
            </w:pPr>
          </w:p>
        </w:tc>
      </w:tr>
      <w:tr w14:paraId="451DA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4B5D1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48B1DF5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F04093">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4E673A">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DEBE6C">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43522">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71ABFDEA">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99616">
            <w:pPr>
              <w:rPr>
                <w:rFonts w:hint="eastAsia" w:ascii="宋体" w:hAnsi="宋体" w:eastAsia="宋体" w:cs="宋体"/>
                <w:i w:val="0"/>
                <w:iCs w:val="0"/>
                <w:color w:val="000000"/>
                <w:sz w:val="18"/>
                <w:szCs w:val="18"/>
                <w:u w:val="none"/>
              </w:rPr>
            </w:pPr>
          </w:p>
        </w:tc>
      </w:tr>
      <w:tr w14:paraId="718AF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458A4C">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0EB1240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228813">
            <w:pPr>
              <w:jc w:val="left"/>
              <w:rPr>
                <w:rFonts w:hint="eastAsia" w:ascii="宋体" w:hAnsi="宋体" w:eastAsia="宋体" w:cs="宋体"/>
                <w:i w:val="0"/>
                <w:iCs w:val="0"/>
                <w:color w:val="000000"/>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4072F">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C3CA57">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ECD3A">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0108C67F">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33712">
            <w:pPr>
              <w:rPr>
                <w:rFonts w:hint="eastAsia" w:ascii="宋体" w:hAnsi="宋体" w:eastAsia="宋体" w:cs="宋体"/>
                <w:i w:val="0"/>
                <w:iCs w:val="0"/>
                <w:color w:val="000000"/>
                <w:sz w:val="18"/>
                <w:szCs w:val="18"/>
                <w:u w:val="none"/>
              </w:rPr>
            </w:pPr>
          </w:p>
        </w:tc>
      </w:tr>
      <w:tr w14:paraId="0030C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30CC58">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2392B07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AC7D1D">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40CD2">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F66DA7">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BD0A0">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4A932C45">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48A71">
            <w:pPr>
              <w:rPr>
                <w:rFonts w:hint="eastAsia" w:ascii="宋体" w:hAnsi="宋体" w:eastAsia="宋体" w:cs="宋体"/>
                <w:i w:val="0"/>
                <w:iCs w:val="0"/>
                <w:color w:val="000000"/>
                <w:sz w:val="18"/>
                <w:szCs w:val="18"/>
                <w:u w:val="none"/>
              </w:rPr>
            </w:pPr>
          </w:p>
        </w:tc>
      </w:tr>
      <w:tr w14:paraId="693E8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1C1F95">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789E320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7258E8">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9B5FD">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409A9">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AB27C">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72A365F5">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0ACBD">
            <w:pPr>
              <w:rPr>
                <w:rFonts w:hint="eastAsia" w:ascii="宋体" w:hAnsi="宋体" w:eastAsia="宋体" w:cs="宋体"/>
                <w:i w:val="0"/>
                <w:iCs w:val="0"/>
                <w:color w:val="000000"/>
                <w:sz w:val="18"/>
                <w:szCs w:val="18"/>
                <w:u w:val="none"/>
              </w:rPr>
            </w:pPr>
          </w:p>
        </w:tc>
      </w:tr>
      <w:tr w14:paraId="576D7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0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CFF5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112C58D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74831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新冠实验室在这次疫情期间起到了应有的作用</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5B3D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好坏</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27D34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好</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58D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77901991">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2822D">
            <w:pPr>
              <w:rPr>
                <w:rFonts w:hint="eastAsia" w:ascii="宋体" w:hAnsi="宋体" w:eastAsia="宋体" w:cs="宋体"/>
                <w:i w:val="0"/>
                <w:iCs w:val="0"/>
                <w:color w:val="000000"/>
                <w:sz w:val="18"/>
                <w:szCs w:val="18"/>
                <w:u w:val="none"/>
              </w:rPr>
            </w:pPr>
          </w:p>
        </w:tc>
      </w:tr>
      <w:tr w14:paraId="75EB6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65AEFF8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p>
          <w:p w14:paraId="748933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283BE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000" w:type="pct"/>
            <w:gridSpan w:val="9"/>
            <w:tcBorders>
              <w:top w:val="nil"/>
              <w:left w:val="nil"/>
              <w:bottom w:val="nil"/>
              <w:right w:val="nil"/>
            </w:tcBorders>
            <w:shd w:val="clear" w:color="auto" w:fill="auto"/>
            <w:noWrap/>
            <w:vAlign w:val="center"/>
          </w:tcPr>
          <w:p w14:paraId="65204B73">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县级项目支出绩效自评表</w:t>
            </w:r>
          </w:p>
        </w:tc>
      </w:tr>
      <w:tr w14:paraId="1932D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834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96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D753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预防接种疫苗成本</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2BE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3E2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2023年</w:t>
            </w:r>
          </w:p>
        </w:tc>
      </w:tr>
      <w:tr w14:paraId="0FB6B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1EC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196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108D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马边彝族自治县卫生健康局</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602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544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马边彝族自治县疾病预防控制中心</w:t>
            </w:r>
          </w:p>
        </w:tc>
      </w:tr>
      <w:tr w14:paraId="03BC4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D19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2562E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nil"/>
            </w:tcBorders>
            <w:shd w:val="clear" w:color="auto" w:fill="auto"/>
            <w:noWrap/>
            <w:vAlign w:val="center"/>
          </w:tcPr>
          <w:p w14:paraId="21923FD8">
            <w:pPr>
              <w:jc w:val="center"/>
              <w:rPr>
                <w:rFonts w:hint="eastAsia" w:ascii="宋体" w:hAnsi="宋体" w:eastAsia="宋体" w:cs="宋体"/>
                <w:i w:val="0"/>
                <w:iCs w:val="0"/>
                <w:color w:val="000000"/>
                <w:sz w:val="20"/>
                <w:szCs w:val="20"/>
                <w:u w:val="none"/>
              </w:rPr>
            </w:pP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F0F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8F8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FC9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2FDED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64F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449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340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491.88</w:t>
            </w: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DC9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0.98376</w:t>
            </w:r>
          </w:p>
        </w:tc>
      </w:tr>
      <w:tr w14:paraId="03FFF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B70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73EEC">
            <w:pPr>
              <w:jc w:val="center"/>
              <w:rPr>
                <w:rFonts w:hint="eastAsia" w:ascii="宋体" w:hAnsi="宋体" w:eastAsia="宋体" w:cs="宋体"/>
                <w:i w:val="0"/>
                <w:iCs w:val="0"/>
                <w:color w:val="000000"/>
                <w:sz w:val="20"/>
                <w:szCs w:val="20"/>
                <w:u w:val="none"/>
              </w:rPr>
            </w:pP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F8FF4">
            <w:pPr>
              <w:jc w:val="center"/>
              <w:rPr>
                <w:rFonts w:hint="eastAsia" w:ascii="宋体" w:hAnsi="宋体" w:eastAsia="宋体" w:cs="宋体"/>
                <w:i w:val="0"/>
                <w:iCs w:val="0"/>
                <w:color w:val="000000"/>
                <w:sz w:val="20"/>
                <w:szCs w:val="20"/>
                <w:u w:val="none"/>
              </w:rPr>
            </w:pP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AC6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#DIV/0!</w:t>
            </w:r>
          </w:p>
        </w:tc>
      </w:tr>
      <w:tr w14:paraId="7394F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F49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1088A">
            <w:pPr>
              <w:jc w:val="center"/>
              <w:rPr>
                <w:rFonts w:hint="eastAsia" w:ascii="宋体" w:hAnsi="宋体" w:eastAsia="宋体" w:cs="宋体"/>
                <w:i w:val="0"/>
                <w:iCs w:val="0"/>
                <w:color w:val="000000"/>
                <w:sz w:val="20"/>
                <w:szCs w:val="20"/>
                <w:u w:val="none"/>
              </w:rPr>
            </w:pP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D7B83">
            <w:pPr>
              <w:jc w:val="center"/>
              <w:rPr>
                <w:rFonts w:hint="eastAsia" w:ascii="宋体" w:hAnsi="宋体" w:eastAsia="宋体" w:cs="宋体"/>
                <w:i w:val="0"/>
                <w:iCs w:val="0"/>
                <w:color w:val="000000"/>
                <w:sz w:val="20"/>
                <w:szCs w:val="20"/>
                <w:u w:val="none"/>
              </w:rPr>
            </w:pP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271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#DIV/0!</w:t>
            </w:r>
          </w:p>
        </w:tc>
      </w:tr>
      <w:tr w14:paraId="3A119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F91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61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DC5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8FF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618B4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EDF12">
            <w:pPr>
              <w:jc w:val="left"/>
              <w:rPr>
                <w:rFonts w:hint="eastAsia" w:ascii="宋体" w:hAnsi="宋体" w:eastAsia="宋体" w:cs="宋体"/>
                <w:i w:val="0"/>
                <w:iCs w:val="0"/>
                <w:color w:val="000000"/>
                <w:sz w:val="20"/>
                <w:szCs w:val="20"/>
                <w:u w:val="none"/>
              </w:rPr>
            </w:pPr>
          </w:p>
        </w:tc>
        <w:tc>
          <w:tcPr>
            <w:tcW w:w="2617" w:type="pct"/>
            <w:gridSpan w:val="4"/>
            <w:tcBorders>
              <w:top w:val="single" w:color="000000" w:sz="4" w:space="0"/>
              <w:left w:val="single" w:color="000000" w:sz="4" w:space="0"/>
              <w:bottom w:val="nil"/>
              <w:right w:val="single" w:color="000000" w:sz="4" w:space="0"/>
            </w:tcBorders>
            <w:shd w:val="clear" w:color="auto" w:fill="auto"/>
            <w:vAlign w:val="center"/>
          </w:tcPr>
          <w:p w14:paraId="2F152C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疾病预防控制中心（简称疾控中心）免疫规划疫苗从2018年起统一在四川省阳光采购平台进行采购，冷藏及冷链运输均按国家相关要求进行。疫苗是由厂家预供给疾控中心，疾控中心提供给各符合资质条件的接种单位，待接种单位把疫苗给受接种人接种完收款后，通过转账缴来疫苗款后，疾控中心再转账缴到财政专户账户，待疾控中心与国库科对账完成后，财政划拨疫苗成本款给疾控中心，疾控中心再转账付给厂家疫苗成本款。2023年疾控中心完成500万元的疫苗款缴存。</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00B4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疾病预防控制中心（简称疾控中心）免疫规划疫苗从2018年起统一在四川省阳光采购平台进行采购，冷藏及冷链运输均按国家相关要求进行。疫苗是由厂家预供给疾控中心，疾控中心提供给各符合资质条件的接种单位，待接种单位把疫苗给受接种人接种完收款后，通过转账缴来疫苗款后，疾控中心再转账缴到财政专户账户，待疾控中心与国库科对账完成后，财政划拨疫苗成本款给疾控中心，疾控中心再转账付给厂家疫苗成本款。2023年疾控中心完成491.88万元的疫苗款缴存。</w:t>
            </w:r>
          </w:p>
        </w:tc>
      </w:tr>
      <w:tr w14:paraId="2449C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245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5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E92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E47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376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602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533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分值/权重</w:t>
            </w:r>
          </w:p>
          <w:p w14:paraId="203A23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（百分制）</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7B248B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32A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68BC5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91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79C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912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BAE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7B78E">
            <w:pPr>
              <w:jc w:val="center"/>
              <w:rPr>
                <w:rFonts w:hint="eastAsia" w:ascii="宋体" w:hAnsi="宋体" w:eastAsia="宋体" w:cs="宋体"/>
                <w:i w:val="0"/>
                <w:iCs w:val="0"/>
                <w:color w:val="000000"/>
                <w:sz w:val="18"/>
                <w:szCs w:val="18"/>
                <w:u w:val="none"/>
              </w:rPr>
            </w:pPr>
          </w:p>
        </w:tc>
      </w:tr>
      <w:tr w14:paraId="7BAF5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667"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8D29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F63D3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FAC65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#DIV/0!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3EA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331D4B5B">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AB9F2">
            <w:pPr>
              <w:rPr>
                <w:rFonts w:hint="eastAsia" w:ascii="宋体" w:hAnsi="宋体" w:eastAsia="宋体" w:cs="宋体"/>
                <w:i w:val="0"/>
                <w:iCs w:val="0"/>
                <w:color w:val="000000"/>
                <w:sz w:val="18"/>
                <w:szCs w:val="18"/>
                <w:u w:val="none"/>
              </w:rPr>
            </w:pPr>
          </w:p>
        </w:tc>
      </w:tr>
      <w:tr w14:paraId="7A59A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AA7D9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726E799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59C6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能够及时足额规划归还成本</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935F13">
            <w:pPr>
              <w:keepNext w:val="0"/>
              <w:keepLines w:val="0"/>
              <w:widowControl/>
              <w:suppressLineNumbers w:val="0"/>
              <w:jc w:val="right"/>
              <w:textAlignment w:val="center"/>
              <w:rPr>
                <w:rFonts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100%</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F5CE7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AF4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1BFDF5D0">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CC550">
            <w:pPr>
              <w:rPr>
                <w:rFonts w:hint="eastAsia" w:ascii="宋体" w:hAnsi="宋体" w:eastAsia="宋体" w:cs="宋体"/>
                <w:i w:val="0"/>
                <w:iCs w:val="0"/>
                <w:color w:val="000000"/>
                <w:sz w:val="18"/>
                <w:szCs w:val="18"/>
                <w:u w:val="none"/>
              </w:rPr>
            </w:pPr>
          </w:p>
        </w:tc>
      </w:tr>
      <w:tr w14:paraId="62B8E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9F2059">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216621A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69C1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提高疫苗的节奏覆盖率</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7AB2E">
            <w:pPr>
              <w:keepNext w:val="0"/>
              <w:keepLines w:val="0"/>
              <w:widowControl/>
              <w:suppressLineNumbers w:val="0"/>
              <w:jc w:val="right"/>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90%</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1ED0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07D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3DBD0B7E">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1662B">
            <w:pPr>
              <w:rPr>
                <w:rFonts w:hint="eastAsia" w:ascii="宋体" w:hAnsi="宋体" w:eastAsia="宋体" w:cs="宋体"/>
                <w:i w:val="0"/>
                <w:iCs w:val="0"/>
                <w:color w:val="000000"/>
                <w:sz w:val="18"/>
                <w:szCs w:val="18"/>
                <w:u w:val="none"/>
              </w:rPr>
            </w:pPr>
          </w:p>
        </w:tc>
      </w:tr>
      <w:tr w14:paraId="1CDF4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244AE6">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6BE11D7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1C3717">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C25FF8">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B3747B">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A540F">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4C157959">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4CD51">
            <w:pPr>
              <w:rPr>
                <w:rFonts w:hint="eastAsia" w:ascii="宋体" w:hAnsi="宋体" w:eastAsia="宋体" w:cs="宋体"/>
                <w:i w:val="0"/>
                <w:iCs w:val="0"/>
                <w:color w:val="000000"/>
                <w:sz w:val="18"/>
                <w:szCs w:val="18"/>
                <w:u w:val="none"/>
              </w:rPr>
            </w:pPr>
          </w:p>
        </w:tc>
      </w:tr>
      <w:tr w14:paraId="66222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59D983">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591CDED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B2DAA6">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016CD7">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1250A0">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A3D40">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252588D7">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8F5E3">
            <w:pPr>
              <w:rPr>
                <w:rFonts w:hint="eastAsia" w:ascii="宋体" w:hAnsi="宋体" w:eastAsia="宋体" w:cs="宋体"/>
                <w:i w:val="0"/>
                <w:iCs w:val="0"/>
                <w:color w:val="000000"/>
                <w:sz w:val="18"/>
                <w:szCs w:val="18"/>
                <w:u w:val="none"/>
              </w:rPr>
            </w:pPr>
          </w:p>
        </w:tc>
      </w:tr>
      <w:tr w14:paraId="19F40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96729E">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5EDE105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ACF11">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B83A6">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C4023A">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D7B0C">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2B776693">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3D902">
            <w:pPr>
              <w:rPr>
                <w:rFonts w:hint="eastAsia" w:ascii="宋体" w:hAnsi="宋体" w:eastAsia="宋体" w:cs="宋体"/>
                <w:i w:val="0"/>
                <w:iCs w:val="0"/>
                <w:color w:val="000000"/>
                <w:sz w:val="18"/>
                <w:szCs w:val="18"/>
                <w:u w:val="none"/>
              </w:rPr>
            </w:pPr>
          </w:p>
        </w:tc>
      </w:tr>
      <w:tr w14:paraId="155FD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CE938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4D8DDD3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727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保证资金安全性</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A3253">
            <w:pPr>
              <w:keepNext w:val="0"/>
              <w:keepLines w:val="0"/>
              <w:widowControl/>
              <w:suppressLineNumbers w:val="0"/>
              <w:jc w:val="right"/>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100%</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45161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EAA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684B458C">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0D6E0">
            <w:pPr>
              <w:rPr>
                <w:rFonts w:hint="eastAsia" w:ascii="宋体" w:hAnsi="宋体" w:eastAsia="宋体" w:cs="宋体"/>
                <w:i w:val="0"/>
                <w:iCs w:val="0"/>
                <w:color w:val="000000"/>
                <w:sz w:val="18"/>
                <w:szCs w:val="18"/>
                <w:u w:val="none"/>
              </w:rPr>
            </w:pPr>
          </w:p>
        </w:tc>
      </w:tr>
      <w:tr w14:paraId="47E9F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D4005F">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6174AD2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454E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降低疫苗针对性传染病的发病率</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D1926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8D6F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BE0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0F4422EB">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0756F">
            <w:pPr>
              <w:rPr>
                <w:rFonts w:hint="eastAsia" w:ascii="宋体" w:hAnsi="宋体" w:eastAsia="宋体" w:cs="宋体"/>
                <w:i w:val="0"/>
                <w:iCs w:val="0"/>
                <w:color w:val="000000"/>
                <w:sz w:val="18"/>
                <w:szCs w:val="18"/>
                <w:u w:val="none"/>
              </w:rPr>
            </w:pPr>
          </w:p>
        </w:tc>
      </w:tr>
      <w:tr w14:paraId="17546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84B868">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7867EA3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C51E7">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10CA2">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29181">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937D9">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2ABE329B">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DF084">
            <w:pPr>
              <w:rPr>
                <w:rFonts w:hint="eastAsia" w:ascii="宋体" w:hAnsi="宋体" w:eastAsia="宋体" w:cs="宋体"/>
                <w:i w:val="0"/>
                <w:iCs w:val="0"/>
                <w:color w:val="000000"/>
                <w:sz w:val="18"/>
                <w:szCs w:val="18"/>
                <w:u w:val="none"/>
              </w:rPr>
            </w:pPr>
          </w:p>
        </w:tc>
      </w:tr>
      <w:tr w14:paraId="652CE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BA126B">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51CB675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E75B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保证疫苗质量安全有效，老百姓放心</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34F03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好坏</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3414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好</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481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5E36FC90">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54E3C">
            <w:pPr>
              <w:rPr>
                <w:rFonts w:hint="eastAsia" w:ascii="宋体" w:hAnsi="宋体" w:eastAsia="宋体" w:cs="宋体"/>
                <w:i w:val="0"/>
                <w:iCs w:val="0"/>
                <w:color w:val="000000"/>
                <w:sz w:val="18"/>
                <w:szCs w:val="18"/>
                <w:u w:val="none"/>
              </w:rPr>
            </w:pPr>
          </w:p>
        </w:tc>
      </w:tr>
      <w:tr w14:paraId="296E0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0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C460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43CB821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1E6D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保证疫苗信息真实、准确、完整可追溯</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75D4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好坏</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0D893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好</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7E0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17B844EA">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D475E">
            <w:pPr>
              <w:rPr>
                <w:rFonts w:hint="eastAsia" w:ascii="宋体" w:hAnsi="宋体" w:eastAsia="宋体" w:cs="宋体"/>
                <w:i w:val="0"/>
                <w:iCs w:val="0"/>
                <w:color w:val="000000"/>
                <w:sz w:val="18"/>
                <w:szCs w:val="18"/>
                <w:u w:val="none"/>
              </w:rPr>
            </w:pPr>
          </w:p>
        </w:tc>
      </w:tr>
      <w:tr w14:paraId="11D41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6B9021A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p>
          <w:p w14:paraId="757D00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7EC7A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000" w:type="pct"/>
            <w:gridSpan w:val="9"/>
            <w:tcBorders>
              <w:top w:val="nil"/>
              <w:left w:val="nil"/>
              <w:bottom w:val="nil"/>
              <w:right w:val="nil"/>
            </w:tcBorders>
            <w:shd w:val="clear" w:color="auto" w:fill="auto"/>
            <w:noWrap/>
            <w:vAlign w:val="center"/>
          </w:tcPr>
          <w:p w14:paraId="1D417B17">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县级项目支出绩效自评表</w:t>
            </w:r>
          </w:p>
        </w:tc>
      </w:tr>
      <w:tr w14:paraId="2BD33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978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96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0238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预防接种疫苗劳务费</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CC8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195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2023年</w:t>
            </w:r>
          </w:p>
        </w:tc>
      </w:tr>
      <w:tr w14:paraId="5FD8D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721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196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565D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马边彝族自治县卫生健康局</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239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286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马边彝族自治县疾病预防控制中心</w:t>
            </w:r>
          </w:p>
        </w:tc>
      </w:tr>
      <w:tr w14:paraId="5CE0A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532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4EFC3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nil"/>
            </w:tcBorders>
            <w:shd w:val="clear" w:color="auto" w:fill="auto"/>
            <w:noWrap/>
            <w:vAlign w:val="center"/>
          </w:tcPr>
          <w:p w14:paraId="1C6AE47A">
            <w:pPr>
              <w:jc w:val="center"/>
              <w:rPr>
                <w:rFonts w:hint="eastAsia" w:ascii="宋体" w:hAnsi="宋体" w:eastAsia="宋体" w:cs="宋体"/>
                <w:i w:val="0"/>
                <w:iCs w:val="0"/>
                <w:color w:val="000000"/>
                <w:sz w:val="20"/>
                <w:szCs w:val="20"/>
                <w:u w:val="none"/>
              </w:rPr>
            </w:pP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546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D75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2EC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538DF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ACE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CE8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9C7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37.29</w:t>
            </w: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984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0.7458</w:t>
            </w:r>
          </w:p>
        </w:tc>
      </w:tr>
      <w:tr w14:paraId="38995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181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B02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BCC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E26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#DIV/0!</w:t>
            </w:r>
          </w:p>
        </w:tc>
      </w:tr>
      <w:tr w14:paraId="6E985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5B0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17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8262F">
            <w:pPr>
              <w:jc w:val="center"/>
              <w:rPr>
                <w:rFonts w:hint="eastAsia" w:ascii="宋体" w:hAnsi="宋体" w:eastAsia="宋体" w:cs="宋体"/>
                <w:i w:val="0"/>
                <w:iCs w:val="0"/>
                <w:color w:val="000000"/>
                <w:sz w:val="20"/>
                <w:szCs w:val="20"/>
                <w:u w:val="none"/>
              </w:rPr>
            </w:pPr>
          </w:p>
        </w:tc>
        <w:tc>
          <w:tcPr>
            <w:tcW w:w="12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ED371">
            <w:pPr>
              <w:jc w:val="center"/>
              <w:rPr>
                <w:rFonts w:hint="eastAsia" w:ascii="宋体" w:hAnsi="宋体" w:eastAsia="宋体" w:cs="宋体"/>
                <w:i w:val="0"/>
                <w:iCs w:val="0"/>
                <w:color w:val="000000"/>
                <w:sz w:val="20"/>
                <w:szCs w:val="20"/>
                <w:u w:val="none"/>
              </w:rPr>
            </w:pPr>
          </w:p>
        </w:tc>
        <w:tc>
          <w:tcPr>
            <w:tcW w:w="10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724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#DIV/0!</w:t>
            </w:r>
          </w:p>
        </w:tc>
      </w:tr>
      <w:tr w14:paraId="153B1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C53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61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BE3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6FD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54F1E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89AA7">
            <w:pPr>
              <w:jc w:val="left"/>
              <w:rPr>
                <w:rFonts w:hint="eastAsia" w:ascii="宋体" w:hAnsi="宋体" w:eastAsia="宋体" w:cs="宋体"/>
                <w:i w:val="0"/>
                <w:iCs w:val="0"/>
                <w:color w:val="000000"/>
                <w:sz w:val="20"/>
                <w:szCs w:val="20"/>
                <w:u w:val="none"/>
              </w:rPr>
            </w:pPr>
          </w:p>
        </w:tc>
        <w:tc>
          <w:tcPr>
            <w:tcW w:w="2617" w:type="pct"/>
            <w:gridSpan w:val="4"/>
            <w:tcBorders>
              <w:top w:val="single" w:color="000000" w:sz="4" w:space="0"/>
              <w:left w:val="single" w:color="000000" w:sz="4" w:space="0"/>
              <w:bottom w:val="nil"/>
              <w:right w:val="single" w:color="000000" w:sz="4" w:space="0"/>
            </w:tcBorders>
            <w:shd w:val="clear" w:color="auto" w:fill="auto"/>
            <w:vAlign w:val="center"/>
          </w:tcPr>
          <w:p w14:paraId="616665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疾病预防控制中心（简称疾控中心）免疫规划疫苗从2018年起统一在四川省阳光采购平台进行采购，冷藏及冷链运输均按国家相关要求进行。疫苗是由厂家预供给疾控中心，疾控中心提供给符合资质条件的接种单位，待接种单位把疫苗给受接种人接种完收款后，通过转账缴来疫苗款后，再转账缴到财政专户账户。2020年11月30日，《四川省发展和改革委员会、四川省财政厅关于非免疫规划疫苗接种服务收费标准及有关问题的通知》（川发改价格【2020】640号）文件规定，预防接种服务费收取按20元/剂次（不含储存运输费），该标准包含预检、接种、耗材（含注射器、酒精费用、无菌干棉球或棉签等）、留观和接种信息服务等费用。</w:t>
            </w:r>
          </w:p>
        </w:tc>
        <w:tc>
          <w:tcPr>
            <w:tcW w:w="168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E2A3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疾病预防控制中心（简称疾控中心）免疫规划疫苗从2018年起统一在四川省阳光采购平台进行采购，冷藏及冷链运输均按国家相关要求进行。疫苗是由厂家预供给疾控中心，疾控中心提供给符合资质条件的接种单位，待接种单位把疫苗给受接种人接种完收款后，通过转账缴来疫苗款后，再转账缴到财政专户账户。2020年11月30日，《四川省发展和改革委员会、四川省财政厅关于非免疫规划疫苗接种服务收费标准及有关问题的通知》（川发改价格【2020】640号）文件规定，预防接种服务费收取按20元/剂次（不含储存运输费），该标准包含预检、接种、耗材（含注射器、酒精费用、无菌干棉球或棉签等）、留观和接种信息服务等费用。2023年收到预防接种劳务费47.11万元，2023年支付服务费37.29万元。</w:t>
            </w:r>
          </w:p>
        </w:tc>
      </w:tr>
      <w:tr w14:paraId="64A4F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B01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5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61A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9E0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ED9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357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80BA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分值/权重</w:t>
            </w:r>
          </w:p>
          <w:p w14:paraId="3CEF35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（百分制）</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0731E0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54A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0C391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91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643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DF9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1BA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40762">
            <w:pPr>
              <w:jc w:val="center"/>
              <w:rPr>
                <w:rFonts w:hint="eastAsia" w:ascii="宋体" w:hAnsi="宋体" w:eastAsia="宋体" w:cs="宋体"/>
                <w:i w:val="0"/>
                <w:iCs w:val="0"/>
                <w:color w:val="000000"/>
                <w:sz w:val="18"/>
                <w:szCs w:val="18"/>
                <w:u w:val="none"/>
              </w:rPr>
            </w:pPr>
          </w:p>
        </w:tc>
      </w:tr>
      <w:tr w14:paraId="0DA44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667"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C273A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A431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9747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#DIV/0!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C9A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5B839C1D">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EFD58">
            <w:pPr>
              <w:rPr>
                <w:rFonts w:hint="eastAsia" w:ascii="宋体" w:hAnsi="宋体" w:eastAsia="宋体" w:cs="宋体"/>
                <w:i w:val="0"/>
                <w:iCs w:val="0"/>
                <w:color w:val="000000"/>
                <w:sz w:val="18"/>
                <w:szCs w:val="18"/>
                <w:u w:val="none"/>
              </w:rPr>
            </w:pPr>
          </w:p>
        </w:tc>
      </w:tr>
      <w:tr w14:paraId="3247E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C2D2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5670C93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4AF5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保证疫苗质量安全有效</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EAE30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2B77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46D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75FE8DF1">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FC6E5">
            <w:pPr>
              <w:rPr>
                <w:rFonts w:hint="eastAsia" w:ascii="宋体" w:hAnsi="宋体" w:eastAsia="宋体" w:cs="宋体"/>
                <w:i w:val="0"/>
                <w:iCs w:val="0"/>
                <w:color w:val="000000"/>
                <w:sz w:val="18"/>
                <w:szCs w:val="18"/>
                <w:u w:val="none"/>
              </w:rPr>
            </w:pPr>
          </w:p>
        </w:tc>
      </w:tr>
      <w:tr w14:paraId="57975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9F785B">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7D3834E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9BF4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提高疫苗接种率</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5357A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5159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409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4493D7B9">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CE631">
            <w:pPr>
              <w:rPr>
                <w:rFonts w:hint="eastAsia" w:ascii="宋体" w:hAnsi="宋体" w:eastAsia="宋体" w:cs="宋体"/>
                <w:i w:val="0"/>
                <w:iCs w:val="0"/>
                <w:color w:val="000000"/>
                <w:sz w:val="18"/>
                <w:szCs w:val="18"/>
                <w:u w:val="none"/>
              </w:rPr>
            </w:pPr>
          </w:p>
        </w:tc>
      </w:tr>
      <w:tr w14:paraId="79D64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20381D">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5058F48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EE679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提高疫苗接种覆盖率</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E18FB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70B61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5DE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63F77CAD">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A4870">
            <w:pPr>
              <w:rPr>
                <w:rFonts w:hint="eastAsia" w:ascii="宋体" w:hAnsi="宋体" w:eastAsia="宋体" w:cs="宋体"/>
                <w:i w:val="0"/>
                <w:iCs w:val="0"/>
                <w:color w:val="000000"/>
                <w:sz w:val="18"/>
                <w:szCs w:val="18"/>
                <w:u w:val="none"/>
              </w:rPr>
            </w:pPr>
          </w:p>
        </w:tc>
      </w:tr>
      <w:tr w14:paraId="033D3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FB1C35">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5E3434A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5CEC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保证疫苗信息真实、准确、完整可追溯</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428C2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EB0BF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FFA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1A3BF8A9">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9ECAD">
            <w:pPr>
              <w:rPr>
                <w:rFonts w:hint="eastAsia" w:ascii="宋体" w:hAnsi="宋体" w:eastAsia="宋体" w:cs="宋体"/>
                <w:i w:val="0"/>
                <w:iCs w:val="0"/>
                <w:color w:val="000000"/>
                <w:sz w:val="18"/>
                <w:szCs w:val="18"/>
                <w:u w:val="none"/>
              </w:rPr>
            </w:pPr>
          </w:p>
        </w:tc>
      </w:tr>
      <w:tr w14:paraId="4CEB9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CA497">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0972037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F7AC4">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E19326">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08110">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F6BBB">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224D19A0">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7F7FF">
            <w:pPr>
              <w:rPr>
                <w:rFonts w:hint="eastAsia" w:ascii="宋体" w:hAnsi="宋体" w:eastAsia="宋体" w:cs="宋体"/>
                <w:i w:val="0"/>
                <w:iCs w:val="0"/>
                <w:color w:val="000000"/>
                <w:sz w:val="18"/>
                <w:szCs w:val="18"/>
                <w:u w:val="none"/>
              </w:rPr>
            </w:pPr>
          </w:p>
        </w:tc>
      </w:tr>
      <w:tr w14:paraId="4A419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2ADA61">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382D957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DA304">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A39427">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B763FD">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AFA1B">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3CFF1577">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9EAB0">
            <w:pPr>
              <w:rPr>
                <w:rFonts w:hint="eastAsia" w:ascii="宋体" w:hAnsi="宋体" w:eastAsia="宋体" w:cs="宋体"/>
                <w:i w:val="0"/>
                <w:iCs w:val="0"/>
                <w:color w:val="000000"/>
                <w:sz w:val="18"/>
                <w:szCs w:val="18"/>
                <w:u w:val="none"/>
              </w:rPr>
            </w:pPr>
          </w:p>
        </w:tc>
      </w:tr>
      <w:tr w14:paraId="72ABD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0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114E5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4F2C4E4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CCC7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保证资金安全性</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E546F">
            <w:pPr>
              <w:keepNext w:val="0"/>
              <w:keepLines w:val="0"/>
              <w:widowControl/>
              <w:suppressLineNumbers w:val="0"/>
              <w:jc w:val="right"/>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100%</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F252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A6F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2DF11B37">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41AA1">
            <w:pPr>
              <w:rPr>
                <w:rFonts w:hint="eastAsia" w:ascii="宋体" w:hAnsi="宋体" w:eastAsia="宋体" w:cs="宋体"/>
                <w:i w:val="0"/>
                <w:iCs w:val="0"/>
                <w:color w:val="000000"/>
                <w:sz w:val="18"/>
                <w:szCs w:val="18"/>
                <w:u w:val="none"/>
              </w:rPr>
            </w:pPr>
          </w:p>
        </w:tc>
      </w:tr>
      <w:tr w14:paraId="0198D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ED01A">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35E9202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7C07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降低疫苗针对性传染病的发生率</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F89F0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87210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837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0EC7DF5D">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5D8C2">
            <w:pPr>
              <w:rPr>
                <w:rFonts w:hint="eastAsia" w:ascii="宋体" w:hAnsi="宋体" w:eastAsia="宋体" w:cs="宋体"/>
                <w:i w:val="0"/>
                <w:iCs w:val="0"/>
                <w:color w:val="000000"/>
                <w:sz w:val="18"/>
                <w:szCs w:val="18"/>
                <w:u w:val="none"/>
              </w:rPr>
            </w:pPr>
          </w:p>
        </w:tc>
      </w:tr>
      <w:tr w14:paraId="01A47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698B56">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39DE901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22AD3">
            <w:pPr>
              <w:jc w:val="center"/>
              <w:rPr>
                <w:rFonts w:hint="eastAsia" w:ascii="宋体" w:hAnsi="宋体" w:eastAsia="宋体" w:cs="宋体"/>
                <w:i w:val="0"/>
                <w:iCs w:val="0"/>
                <w:color w:val="333333"/>
                <w:sz w:val="18"/>
                <w:szCs w:val="18"/>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F5F1CB">
            <w:pPr>
              <w:jc w:val="center"/>
              <w:rPr>
                <w:rFonts w:hint="eastAsia" w:ascii="宋体" w:hAnsi="宋体" w:eastAsia="宋体" w:cs="宋体"/>
                <w:i w:val="0"/>
                <w:iCs w:val="0"/>
                <w:color w:val="333333"/>
                <w:sz w:val="18"/>
                <w:szCs w:val="18"/>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1FD96">
            <w:pPr>
              <w:jc w:val="center"/>
              <w:rPr>
                <w:rFonts w:hint="eastAsia" w:ascii="宋体" w:hAnsi="宋体" w:eastAsia="宋体" w:cs="宋体"/>
                <w:i w:val="0"/>
                <w:iCs w:val="0"/>
                <w:color w:val="333333"/>
                <w:sz w:val="18"/>
                <w:szCs w:val="1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EEC51">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0A8665DF">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CFF1B">
            <w:pPr>
              <w:rPr>
                <w:rFonts w:hint="eastAsia" w:ascii="宋体" w:hAnsi="宋体" w:eastAsia="宋体" w:cs="宋体"/>
                <w:i w:val="0"/>
                <w:iCs w:val="0"/>
                <w:color w:val="000000"/>
                <w:sz w:val="18"/>
                <w:szCs w:val="18"/>
                <w:u w:val="none"/>
              </w:rPr>
            </w:pPr>
          </w:p>
        </w:tc>
      </w:tr>
      <w:tr w14:paraId="3FACE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0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9D6137">
            <w:pPr>
              <w:jc w:val="center"/>
              <w:rPr>
                <w:rFonts w:hint="eastAsia" w:ascii="宋体" w:hAnsi="宋体" w:eastAsia="宋体" w:cs="宋体"/>
                <w:i w:val="0"/>
                <w:iCs w:val="0"/>
                <w:color w:val="333333"/>
                <w:sz w:val="18"/>
                <w:szCs w:val="18"/>
                <w:u w:val="none"/>
              </w:rPr>
            </w:pP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472F8ED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5CB84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保证疫苗质量安全有效，老百姓放心</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73C3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好坏</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E64B8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好</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4D3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67363F8A">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2CEF9">
            <w:pPr>
              <w:rPr>
                <w:rFonts w:hint="eastAsia" w:ascii="宋体" w:hAnsi="宋体" w:eastAsia="宋体" w:cs="宋体"/>
                <w:i w:val="0"/>
                <w:iCs w:val="0"/>
                <w:color w:val="000000"/>
                <w:sz w:val="18"/>
                <w:szCs w:val="18"/>
                <w:u w:val="none"/>
              </w:rPr>
            </w:pPr>
          </w:p>
        </w:tc>
      </w:tr>
      <w:tr w14:paraId="13137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0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E7DDB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512" w:type="pct"/>
            <w:gridSpan w:val="2"/>
            <w:tcBorders>
              <w:top w:val="single" w:color="000000" w:sz="4" w:space="0"/>
              <w:left w:val="single" w:color="000000" w:sz="4" w:space="0"/>
              <w:bottom w:val="single" w:color="000000" w:sz="4" w:space="0"/>
              <w:right w:val="nil"/>
            </w:tcBorders>
            <w:shd w:val="clear" w:color="auto" w:fill="FFFFFF"/>
            <w:noWrap/>
            <w:vAlign w:val="center"/>
          </w:tcPr>
          <w:p w14:paraId="7C08B50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4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0120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通过此项服务费不给接种单位增加费用负担</w:t>
            </w:r>
          </w:p>
        </w:tc>
        <w:tc>
          <w:tcPr>
            <w:tcW w:w="6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A750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98%</w:t>
            </w:r>
          </w:p>
        </w:tc>
        <w:tc>
          <w:tcPr>
            <w:tcW w:w="5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357C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2FD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nil"/>
              <w:bottom w:val="single" w:color="000000" w:sz="4" w:space="0"/>
              <w:right w:val="single" w:color="000000" w:sz="4" w:space="0"/>
            </w:tcBorders>
            <w:shd w:val="clear" w:color="auto" w:fill="auto"/>
            <w:noWrap/>
            <w:vAlign w:val="center"/>
          </w:tcPr>
          <w:p w14:paraId="4102C872">
            <w:pPr>
              <w:jc w:val="center"/>
              <w:rPr>
                <w:rFonts w:hint="eastAsia" w:ascii="宋体" w:hAnsi="宋体" w:eastAsia="宋体" w:cs="宋体"/>
                <w:i w:val="0"/>
                <w:iCs w:val="0"/>
                <w:color w:val="000000"/>
                <w:sz w:val="18"/>
                <w:szCs w:val="18"/>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1A0E1">
            <w:pPr>
              <w:rPr>
                <w:rFonts w:hint="eastAsia" w:ascii="宋体" w:hAnsi="宋体" w:eastAsia="宋体" w:cs="宋体"/>
                <w:i w:val="0"/>
                <w:iCs w:val="0"/>
                <w:color w:val="000000"/>
                <w:sz w:val="18"/>
                <w:szCs w:val="18"/>
                <w:u w:val="none"/>
              </w:rPr>
            </w:pPr>
          </w:p>
        </w:tc>
      </w:tr>
      <w:tr w14:paraId="29EB8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09FC69E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p>
          <w:p w14:paraId="7BB526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bl>
    <w:p w14:paraId="49A050B4">
      <w:pPr>
        <w:pStyle w:val="8"/>
        <w:spacing w:before="93"/>
        <w:rPr>
          <w:rFonts w:hint="eastAsia" w:hAnsi="宋体" w:cs="宋体"/>
          <w:sz w:val="32"/>
          <w:szCs w:val="32"/>
          <w:shd w:val="clear" w:color="auto" w:fill="FFFFFF"/>
          <w:lang w:val="zh-CN"/>
        </w:rPr>
      </w:pPr>
    </w:p>
    <w:p w14:paraId="1889B999">
      <w:pPr>
        <w:rPr>
          <w:rFonts w:hint="eastAsia"/>
          <w:lang w:val="zh-CN"/>
        </w:rPr>
      </w:pPr>
    </w:p>
    <w:p w14:paraId="1DFF18D7">
      <w:pPr>
        <w:rPr>
          <w:rFonts w:hint="eastAsia"/>
          <w:lang w:val="en-US" w:eastAsia="zh-CN"/>
        </w:rPr>
      </w:pPr>
    </w:p>
    <w:p w14:paraId="722620AE">
      <w:pPr>
        <w:pStyle w:val="28"/>
        <w:ind w:left="0" w:leftChars="0" w:firstLine="0" w:firstLineChars="0"/>
        <w:rPr>
          <w:rFonts w:hint="eastAsia"/>
          <w:lang w:val="en-US" w:eastAsia="zh-CN"/>
        </w:rPr>
      </w:pPr>
    </w:p>
    <w:bookmarkEnd w:id="74"/>
    <w:bookmarkEnd w:id="77"/>
    <w:p w14:paraId="71488583">
      <w:pPr>
        <w:spacing w:line="600" w:lineRule="exact"/>
        <w:jc w:val="center"/>
        <w:outlineLvl w:val="0"/>
        <w:rPr>
          <w:rFonts w:ascii="仿宋" w:hAnsi="仿宋" w:eastAsia="仿宋"/>
        </w:rPr>
      </w:pPr>
      <w:bookmarkStart w:id="78" w:name="_Toc24504"/>
      <w:r>
        <w:rPr>
          <w:rFonts w:hint="eastAsia" w:ascii="黑体" w:hAnsi="黑体" w:eastAsia="黑体"/>
          <w:sz w:val="44"/>
          <w:szCs w:val="44"/>
        </w:rPr>
        <w:t>第</w:t>
      </w:r>
      <w:r>
        <w:rPr>
          <w:rStyle w:val="40"/>
          <w:rFonts w:hint="eastAsia" w:ascii="黑体" w:hAnsi="黑体" w:eastAsia="黑体"/>
          <w:b w:val="0"/>
        </w:rPr>
        <w:t>五部分 附表</w:t>
      </w:r>
      <w:bookmarkEnd w:id="78"/>
      <w:bookmarkStart w:id="79" w:name="_Toc15396619"/>
    </w:p>
    <w:p w14:paraId="357FD437">
      <w:pPr>
        <w:keepNext/>
        <w:keepLines/>
        <w:pageBreakBefore w:val="0"/>
        <w:widowControl w:val="0"/>
        <w:kinsoku/>
        <w:wordWrap/>
        <w:overflowPunct/>
        <w:topLinePunct w:val="0"/>
        <w:autoSpaceDE/>
        <w:autoSpaceDN/>
        <w:bidi w:val="0"/>
        <w:adjustRightInd/>
        <w:snapToGrid/>
        <w:spacing w:before="0" w:after="0" w:line="416" w:lineRule="auto"/>
        <w:textAlignment w:val="auto"/>
        <w:outlineLvl w:val="9"/>
        <w:rPr>
          <w:rFonts w:hint="eastAsia" w:ascii="仿宋" w:hAnsi="仿宋" w:eastAsia="仿宋"/>
          <w:b w:val="0"/>
        </w:rPr>
      </w:pPr>
    </w:p>
    <w:p w14:paraId="4B766528">
      <w:pPr>
        <w:pStyle w:val="2"/>
        <w:rPr>
          <w:rFonts w:ascii="仿宋" w:hAnsi="仿宋" w:eastAsia="仿宋"/>
        </w:rPr>
      </w:pPr>
      <w:bookmarkStart w:id="80" w:name="_Toc13620"/>
      <w:r>
        <w:rPr>
          <w:rFonts w:hint="eastAsia" w:ascii="仿宋" w:hAnsi="仿宋" w:eastAsia="仿宋"/>
          <w:b w:val="0"/>
        </w:rPr>
        <w:t>一、收</w:t>
      </w:r>
      <w:r>
        <w:rPr>
          <w:rStyle w:val="41"/>
          <w:rFonts w:hint="eastAsia" w:ascii="仿宋" w:hAnsi="仿宋" w:eastAsia="仿宋"/>
          <w:b w:val="0"/>
          <w:bCs w:val="0"/>
        </w:rPr>
        <w:t>入支出决算总表</w:t>
      </w:r>
      <w:bookmarkEnd w:id="79"/>
      <w:bookmarkEnd w:id="80"/>
    </w:p>
    <w:p w14:paraId="48817BD6">
      <w:pPr>
        <w:pStyle w:val="2"/>
        <w:rPr>
          <w:rFonts w:ascii="仿宋" w:hAnsi="仿宋" w:eastAsia="仿宋"/>
        </w:rPr>
      </w:pPr>
      <w:bookmarkStart w:id="81" w:name="_Toc20485"/>
      <w:bookmarkStart w:id="82" w:name="_Toc15396620"/>
      <w:r>
        <w:rPr>
          <w:rFonts w:hint="eastAsia" w:ascii="仿宋" w:hAnsi="仿宋" w:eastAsia="仿宋"/>
          <w:b w:val="0"/>
        </w:rPr>
        <w:t>二、收</w:t>
      </w:r>
      <w:r>
        <w:rPr>
          <w:rStyle w:val="41"/>
          <w:rFonts w:hint="eastAsia" w:ascii="仿宋" w:hAnsi="仿宋" w:eastAsia="仿宋"/>
          <w:b w:val="0"/>
          <w:bCs w:val="0"/>
        </w:rPr>
        <w:t>入决算表</w:t>
      </w:r>
      <w:bookmarkEnd w:id="81"/>
      <w:bookmarkEnd w:id="82"/>
    </w:p>
    <w:p w14:paraId="59BF8EFF">
      <w:pPr>
        <w:pStyle w:val="2"/>
        <w:rPr>
          <w:rFonts w:ascii="仿宋" w:hAnsi="仿宋" w:eastAsia="仿宋"/>
        </w:rPr>
      </w:pPr>
      <w:bookmarkStart w:id="83" w:name="_Toc8497"/>
      <w:bookmarkStart w:id="84" w:name="_Toc15396621"/>
      <w:r>
        <w:rPr>
          <w:rStyle w:val="41"/>
          <w:rFonts w:hint="eastAsia" w:ascii="仿宋" w:hAnsi="仿宋" w:eastAsia="仿宋"/>
          <w:b w:val="0"/>
          <w:bCs w:val="0"/>
        </w:rPr>
        <w:t>三、</w:t>
      </w:r>
      <w:r>
        <w:rPr>
          <w:rFonts w:hint="eastAsia" w:ascii="仿宋" w:hAnsi="仿宋" w:eastAsia="仿宋"/>
          <w:b w:val="0"/>
        </w:rPr>
        <w:t>支</w:t>
      </w:r>
      <w:r>
        <w:rPr>
          <w:rStyle w:val="41"/>
          <w:rFonts w:hint="eastAsia" w:ascii="仿宋" w:hAnsi="仿宋" w:eastAsia="仿宋"/>
          <w:b w:val="0"/>
          <w:bCs w:val="0"/>
        </w:rPr>
        <w:t>出决算表</w:t>
      </w:r>
      <w:bookmarkEnd w:id="83"/>
      <w:bookmarkEnd w:id="84"/>
    </w:p>
    <w:p w14:paraId="739C9D27">
      <w:pPr>
        <w:pStyle w:val="2"/>
        <w:rPr>
          <w:rFonts w:ascii="仿宋" w:hAnsi="仿宋" w:eastAsia="仿宋"/>
          <w:b w:val="0"/>
        </w:rPr>
      </w:pPr>
      <w:bookmarkStart w:id="85" w:name="_Toc15396622"/>
      <w:bookmarkStart w:id="86" w:name="_Toc11908"/>
      <w:r>
        <w:rPr>
          <w:rStyle w:val="41"/>
          <w:rFonts w:hint="eastAsia" w:ascii="仿宋" w:hAnsi="仿宋" w:eastAsia="仿宋"/>
          <w:b w:val="0"/>
          <w:bCs w:val="0"/>
        </w:rPr>
        <w:t>四、</w:t>
      </w:r>
      <w:r>
        <w:rPr>
          <w:rFonts w:hint="eastAsia" w:ascii="仿宋" w:hAnsi="仿宋" w:eastAsia="仿宋"/>
          <w:b w:val="0"/>
        </w:rPr>
        <w:t>财</w:t>
      </w:r>
      <w:r>
        <w:rPr>
          <w:rStyle w:val="41"/>
          <w:rFonts w:hint="eastAsia" w:ascii="仿宋" w:hAnsi="仿宋" w:eastAsia="仿宋"/>
          <w:b w:val="0"/>
          <w:bCs w:val="0"/>
        </w:rPr>
        <w:t>政拨款收入支出决算总表</w:t>
      </w:r>
      <w:bookmarkEnd w:id="85"/>
      <w:bookmarkEnd w:id="86"/>
    </w:p>
    <w:p w14:paraId="58EBD16C">
      <w:pPr>
        <w:pStyle w:val="2"/>
        <w:rPr>
          <w:rStyle w:val="41"/>
          <w:rFonts w:ascii="仿宋" w:hAnsi="仿宋" w:eastAsia="仿宋"/>
          <w:b w:val="0"/>
          <w:bCs w:val="0"/>
        </w:rPr>
      </w:pPr>
      <w:bookmarkStart w:id="87" w:name="_Toc4854"/>
      <w:bookmarkStart w:id="88" w:name="_Toc15396623"/>
      <w:r>
        <w:rPr>
          <w:rStyle w:val="41"/>
          <w:rFonts w:hint="eastAsia" w:ascii="仿宋" w:hAnsi="仿宋" w:eastAsia="仿宋"/>
          <w:b w:val="0"/>
          <w:bCs w:val="0"/>
        </w:rPr>
        <w:t>五、</w:t>
      </w:r>
      <w:r>
        <w:rPr>
          <w:rFonts w:hint="eastAsia" w:ascii="仿宋" w:hAnsi="仿宋" w:eastAsia="仿宋"/>
          <w:b w:val="0"/>
        </w:rPr>
        <w:t>财</w:t>
      </w:r>
      <w:r>
        <w:rPr>
          <w:rStyle w:val="41"/>
          <w:rFonts w:hint="eastAsia" w:ascii="仿宋" w:hAnsi="仿宋" w:eastAsia="仿宋"/>
          <w:b w:val="0"/>
          <w:bCs w:val="0"/>
        </w:rPr>
        <w:t>政拨款支出决算明细表</w:t>
      </w:r>
      <w:bookmarkEnd w:id="87"/>
      <w:bookmarkEnd w:id="88"/>
      <w:bookmarkStart w:id="89" w:name="_Toc15396624"/>
    </w:p>
    <w:p w14:paraId="6420BF13">
      <w:pPr>
        <w:pStyle w:val="2"/>
        <w:rPr>
          <w:rFonts w:ascii="仿宋" w:hAnsi="仿宋" w:eastAsia="仿宋"/>
        </w:rPr>
      </w:pPr>
      <w:bookmarkStart w:id="90" w:name="_Toc21392"/>
      <w:r>
        <w:rPr>
          <w:rStyle w:val="41"/>
          <w:rFonts w:hint="eastAsia" w:ascii="仿宋" w:hAnsi="仿宋" w:eastAsia="仿宋"/>
          <w:b w:val="0"/>
          <w:bCs w:val="0"/>
        </w:rPr>
        <w:t>六、</w:t>
      </w:r>
      <w:r>
        <w:rPr>
          <w:rFonts w:hint="eastAsia" w:ascii="仿宋" w:hAnsi="仿宋" w:eastAsia="仿宋"/>
          <w:b w:val="0"/>
        </w:rPr>
        <w:t>一</w:t>
      </w:r>
      <w:r>
        <w:rPr>
          <w:rStyle w:val="41"/>
          <w:rFonts w:hint="eastAsia" w:ascii="仿宋" w:hAnsi="仿宋" w:eastAsia="仿宋"/>
          <w:b w:val="0"/>
          <w:bCs w:val="0"/>
        </w:rPr>
        <w:t>般公共预算财政拨款支出决算表</w:t>
      </w:r>
      <w:bookmarkEnd w:id="89"/>
      <w:bookmarkEnd w:id="90"/>
    </w:p>
    <w:p w14:paraId="443E6A2D">
      <w:pPr>
        <w:pStyle w:val="2"/>
        <w:rPr>
          <w:rFonts w:ascii="仿宋" w:hAnsi="仿宋" w:eastAsia="仿宋"/>
        </w:rPr>
      </w:pPr>
      <w:bookmarkStart w:id="91" w:name="_Toc20069"/>
      <w:bookmarkStart w:id="92" w:name="_Toc15396625"/>
      <w:r>
        <w:rPr>
          <w:rStyle w:val="41"/>
          <w:rFonts w:hint="eastAsia" w:ascii="仿宋" w:hAnsi="仿宋" w:eastAsia="仿宋"/>
          <w:b w:val="0"/>
          <w:bCs w:val="0"/>
        </w:rPr>
        <w:t>七、</w:t>
      </w:r>
      <w:r>
        <w:rPr>
          <w:rFonts w:hint="eastAsia" w:ascii="仿宋" w:hAnsi="仿宋" w:eastAsia="仿宋"/>
          <w:b w:val="0"/>
        </w:rPr>
        <w:t>一</w:t>
      </w:r>
      <w:r>
        <w:rPr>
          <w:rStyle w:val="41"/>
          <w:rFonts w:hint="eastAsia" w:ascii="仿宋" w:hAnsi="仿宋" w:eastAsia="仿宋"/>
          <w:b w:val="0"/>
          <w:bCs w:val="0"/>
        </w:rPr>
        <w:t>般公共预算财政拨款支出决算明细表</w:t>
      </w:r>
      <w:bookmarkEnd w:id="91"/>
      <w:bookmarkEnd w:id="92"/>
    </w:p>
    <w:p w14:paraId="2D35C470">
      <w:pPr>
        <w:pStyle w:val="2"/>
        <w:rPr>
          <w:rFonts w:ascii="仿宋" w:hAnsi="仿宋" w:eastAsia="仿宋"/>
        </w:rPr>
      </w:pPr>
      <w:bookmarkStart w:id="93" w:name="_Toc15396626"/>
      <w:bookmarkStart w:id="94" w:name="_Toc21675"/>
      <w:r>
        <w:rPr>
          <w:rStyle w:val="41"/>
          <w:rFonts w:hint="eastAsia" w:ascii="仿宋" w:hAnsi="仿宋" w:eastAsia="仿宋"/>
          <w:b w:val="0"/>
          <w:bCs w:val="0"/>
        </w:rPr>
        <w:t>八、</w:t>
      </w:r>
      <w:r>
        <w:rPr>
          <w:rFonts w:hint="eastAsia" w:ascii="仿宋" w:hAnsi="仿宋" w:eastAsia="仿宋"/>
          <w:b w:val="0"/>
        </w:rPr>
        <w:t>一</w:t>
      </w:r>
      <w:r>
        <w:rPr>
          <w:rStyle w:val="41"/>
          <w:rFonts w:hint="eastAsia" w:ascii="仿宋" w:hAnsi="仿宋" w:eastAsia="仿宋"/>
          <w:b w:val="0"/>
          <w:bCs w:val="0"/>
        </w:rPr>
        <w:t>般公共预算财政拨款基本支出决算表</w:t>
      </w:r>
      <w:bookmarkEnd w:id="93"/>
      <w:bookmarkEnd w:id="94"/>
    </w:p>
    <w:p w14:paraId="727A02FA">
      <w:pPr>
        <w:pStyle w:val="2"/>
        <w:rPr>
          <w:rFonts w:ascii="仿宋" w:hAnsi="仿宋" w:eastAsia="仿宋"/>
        </w:rPr>
      </w:pPr>
      <w:bookmarkStart w:id="95" w:name="_Toc15396627"/>
      <w:bookmarkStart w:id="96" w:name="_Toc6007"/>
      <w:r>
        <w:rPr>
          <w:rStyle w:val="41"/>
          <w:rFonts w:hint="eastAsia" w:ascii="仿宋" w:hAnsi="仿宋" w:eastAsia="仿宋"/>
          <w:b w:val="0"/>
          <w:bCs w:val="0"/>
        </w:rPr>
        <w:t>九、</w:t>
      </w:r>
      <w:r>
        <w:rPr>
          <w:rFonts w:hint="eastAsia" w:ascii="仿宋" w:hAnsi="仿宋" w:eastAsia="仿宋"/>
          <w:b w:val="0"/>
        </w:rPr>
        <w:t>一</w:t>
      </w:r>
      <w:r>
        <w:rPr>
          <w:rStyle w:val="41"/>
          <w:rFonts w:hint="eastAsia" w:ascii="仿宋" w:hAnsi="仿宋" w:eastAsia="仿宋"/>
          <w:b w:val="0"/>
          <w:bCs w:val="0"/>
        </w:rPr>
        <w:t>般公共预算财政拨款项目支出决算表</w:t>
      </w:r>
      <w:bookmarkEnd w:id="95"/>
      <w:bookmarkEnd w:id="96"/>
    </w:p>
    <w:p w14:paraId="178E4D71">
      <w:pPr>
        <w:pStyle w:val="2"/>
        <w:rPr>
          <w:rFonts w:ascii="仿宋" w:hAnsi="仿宋" w:eastAsia="仿宋"/>
        </w:rPr>
      </w:pPr>
      <w:bookmarkStart w:id="97" w:name="_Toc15396628"/>
      <w:bookmarkStart w:id="98" w:name="_Toc24680"/>
      <w:r>
        <w:rPr>
          <w:rStyle w:val="41"/>
          <w:rFonts w:hint="eastAsia" w:ascii="仿宋" w:hAnsi="仿宋" w:eastAsia="仿宋"/>
          <w:b w:val="0"/>
          <w:bCs w:val="0"/>
        </w:rPr>
        <w:t>十、</w:t>
      </w:r>
      <w:bookmarkEnd w:id="97"/>
      <w:r>
        <w:rPr>
          <w:rFonts w:hint="eastAsia" w:ascii="仿宋" w:hAnsi="仿宋" w:eastAsia="仿宋"/>
          <w:b w:val="0"/>
        </w:rPr>
        <w:t>政</w:t>
      </w:r>
      <w:r>
        <w:rPr>
          <w:rStyle w:val="41"/>
          <w:rFonts w:hint="eastAsia" w:ascii="仿宋" w:hAnsi="仿宋" w:eastAsia="仿宋"/>
          <w:b w:val="0"/>
          <w:bCs w:val="0"/>
        </w:rPr>
        <w:t>府性基金预算财政拨款收入支出决算表</w:t>
      </w:r>
      <w:bookmarkEnd w:id="98"/>
    </w:p>
    <w:p w14:paraId="6FDE7033">
      <w:pPr>
        <w:pStyle w:val="2"/>
        <w:rPr>
          <w:rFonts w:ascii="仿宋" w:hAnsi="仿宋" w:eastAsia="仿宋"/>
        </w:rPr>
      </w:pPr>
      <w:bookmarkStart w:id="99" w:name="_Toc15396629"/>
      <w:bookmarkStart w:id="100" w:name="_Toc23307"/>
      <w:r>
        <w:rPr>
          <w:rStyle w:val="41"/>
          <w:rFonts w:hint="eastAsia" w:ascii="仿宋" w:hAnsi="仿宋" w:eastAsia="仿宋"/>
          <w:b w:val="0"/>
          <w:bCs w:val="0"/>
        </w:rPr>
        <w:t>十一、</w:t>
      </w:r>
      <w:bookmarkEnd w:id="99"/>
      <w:r>
        <w:rPr>
          <w:rFonts w:hint="eastAsia" w:ascii="仿宋" w:hAnsi="仿宋" w:eastAsia="仿宋"/>
          <w:b w:val="0"/>
        </w:rPr>
        <w:t>国</w:t>
      </w:r>
      <w:r>
        <w:rPr>
          <w:rStyle w:val="41"/>
          <w:rFonts w:hint="eastAsia" w:ascii="仿宋" w:hAnsi="仿宋" w:eastAsia="仿宋"/>
          <w:b w:val="0"/>
          <w:bCs w:val="0"/>
        </w:rPr>
        <w:t>有资本经营预算财政拨款收入支出决算表</w:t>
      </w:r>
      <w:bookmarkEnd w:id="100"/>
    </w:p>
    <w:p w14:paraId="5E27CFF1">
      <w:pPr>
        <w:pStyle w:val="2"/>
        <w:rPr>
          <w:rFonts w:ascii="仿宋" w:hAnsi="仿宋" w:eastAsia="仿宋"/>
        </w:rPr>
      </w:pPr>
      <w:bookmarkStart w:id="101" w:name="_Toc15396630"/>
      <w:bookmarkStart w:id="102" w:name="_Toc3698"/>
      <w:r>
        <w:rPr>
          <w:rStyle w:val="41"/>
          <w:rFonts w:hint="eastAsia" w:ascii="仿宋" w:hAnsi="仿宋" w:eastAsia="仿宋"/>
          <w:b w:val="0"/>
          <w:bCs w:val="0"/>
        </w:rPr>
        <w:t>十二、</w:t>
      </w:r>
      <w:bookmarkEnd w:id="101"/>
      <w:r>
        <w:rPr>
          <w:rStyle w:val="41"/>
          <w:rFonts w:hint="eastAsia" w:ascii="仿宋" w:hAnsi="仿宋" w:eastAsia="仿宋"/>
          <w:b w:val="0"/>
          <w:bCs w:val="0"/>
        </w:rPr>
        <w:t>国有资本经营预算财政拨款支出决算表</w:t>
      </w:r>
      <w:bookmarkEnd w:id="102"/>
    </w:p>
    <w:p w14:paraId="0894AF36">
      <w:pPr>
        <w:rPr>
          <w:rFonts w:hint="eastAsia" w:eastAsia="仿宋"/>
          <w:color w:val="auto"/>
          <w:highlight w:val="none"/>
          <w:lang w:eastAsia="zh-CN"/>
        </w:rPr>
      </w:pPr>
      <w:bookmarkStart w:id="103" w:name="_Toc15396631"/>
      <w:bookmarkStart w:id="104" w:name="_Toc24380"/>
      <w:r>
        <w:rPr>
          <w:rStyle w:val="41"/>
          <w:rFonts w:hint="eastAsia" w:ascii="仿宋" w:hAnsi="仿宋" w:eastAsia="仿宋"/>
          <w:b w:val="0"/>
          <w:bCs w:val="0"/>
        </w:rPr>
        <w:t>十三、</w:t>
      </w:r>
      <w:bookmarkEnd w:id="103"/>
      <w:r>
        <w:rPr>
          <w:rStyle w:val="41"/>
          <w:rFonts w:hint="eastAsia" w:ascii="仿宋" w:hAnsi="仿宋" w:eastAsia="仿宋"/>
          <w:b w:val="0"/>
          <w:bCs w:val="0"/>
        </w:rPr>
        <w:t>财政拨款“三公”经费支出决算表</w:t>
      </w:r>
      <w:bookmarkEnd w:id="104"/>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DAA7C4B-90E8-445D-9FE2-1F6A15A625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3238F6A-9264-4764-BB47-B15D7B366388}"/>
  </w:font>
  <w:font w:name="Cambria">
    <w:panose1 w:val="02040503050406030204"/>
    <w:charset w:val="00"/>
    <w:family w:val="roman"/>
    <w:pitch w:val="default"/>
    <w:sig w:usb0="E00006FF" w:usb1="420024FF" w:usb2="02000000" w:usb3="00000000" w:csb0="2000019F" w:csb1="00000000"/>
    <w:embedRegular r:id="rId3" w:fontKey="{F714CB42-3D08-46A8-8E2D-880CEEBBB324}"/>
  </w:font>
  <w:font w:name="仿宋_GB2312">
    <w:panose1 w:val="02010609030101010101"/>
    <w:charset w:val="86"/>
    <w:family w:val="modern"/>
    <w:pitch w:val="default"/>
    <w:sig w:usb0="00000001" w:usb1="080E0000" w:usb2="00000000" w:usb3="00000000" w:csb0="00040000" w:csb1="00000000"/>
    <w:embedRegular r:id="rId4" w:fontKey="{7A24DCB2-EC02-4B60-BBFF-1AFD3C75436E}"/>
  </w:font>
  <w:font w:name="仿宋">
    <w:panose1 w:val="02010609060101010101"/>
    <w:charset w:val="86"/>
    <w:family w:val="auto"/>
    <w:pitch w:val="default"/>
    <w:sig w:usb0="800002BF" w:usb1="38CF7CFA" w:usb2="00000016" w:usb3="00000000" w:csb0="00040001" w:csb1="00000000"/>
    <w:embedRegular r:id="rId5" w:fontKey="{64EA8DDE-4A1F-4170-ABD8-FC32A2B45623}"/>
  </w:font>
  <w:font w:name="楷体_GB2312">
    <w:altName w:val="楷体"/>
    <w:panose1 w:val="02010609030101010101"/>
    <w:charset w:val="86"/>
    <w:family w:val="modern"/>
    <w:pitch w:val="default"/>
    <w:sig w:usb0="00000000" w:usb1="00000000" w:usb2="00000000" w:usb3="00000000" w:csb0="00040000"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00000001" w:usb1="08000000" w:usb2="00000000" w:usb3="00000000" w:csb0="00040000" w:csb1="00000000"/>
    <w:embedRegular r:id="rId6" w:fontKey="{8176F586-BA67-41EA-9A2D-E0C402BAC57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2CE5D">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94781956"/>
                          </w:sdtPr>
                          <w:sdtContent>
                            <w:p w14:paraId="3BAC4DEF">
                              <w:pPr>
                                <w:pStyle w:val="13"/>
                                <w:jc w:val="center"/>
                              </w:pPr>
                              <w:r>
                                <w:fldChar w:fldCharType="begin"/>
                              </w:r>
                              <w:r>
                                <w:instrText xml:space="preserve">PAGE   \* MERGEFORMAT</w:instrText>
                              </w:r>
                              <w:r>
                                <w:fldChar w:fldCharType="separate"/>
                              </w:r>
                              <w:r>
                                <w:rPr>
                                  <w:lang w:val="zh-CN"/>
                                </w:rPr>
                                <w:t>8</w:t>
                              </w:r>
                              <w:r>
                                <w:fldChar w:fldCharType="end"/>
                              </w:r>
                            </w:p>
                          </w:sdtContent>
                        </w:sdt>
                        <w:p w14:paraId="48175471">
                          <w:pPr>
                            <w:pStyle w:val="7"/>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sdt>
                    <w:sdtPr>
                      <w:id w:val="-1994781956"/>
                    </w:sdtPr>
                    <w:sdtContent>
                      <w:p w14:paraId="3BAC4DEF">
                        <w:pPr>
                          <w:pStyle w:val="13"/>
                          <w:jc w:val="center"/>
                        </w:pPr>
                        <w:r>
                          <w:fldChar w:fldCharType="begin"/>
                        </w:r>
                        <w:r>
                          <w:instrText xml:space="preserve">PAGE   \* MERGEFORMAT</w:instrText>
                        </w:r>
                        <w:r>
                          <w:fldChar w:fldCharType="separate"/>
                        </w:r>
                        <w:r>
                          <w:rPr>
                            <w:lang w:val="zh-CN"/>
                          </w:rPr>
                          <w:t>8</w:t>
                        </w:r>
                        <w:r>
                          <w:fldChar w:fldCharType="end"/>
                        </w:r>
                      </w:p>
                    </w:sdtContent>
                  </w:sdt>
                  <w:p w14:paraId="48175471">
                    <w:pPr>
                      <w:pStyle w:val="7"/>
                    </w:pPr>
                  </w:p>
                </w:txbxContent>
              </v:textbox>
            </v:shape>
          </w:pict>
        </mc:Fallback>
      </mc:AlternateContent>
    </w:r>
  </w:p>
  <w:p w14:paraId="6CFD089C">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C23D4">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68B94B">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468B94B">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8DA31">
    <w:pPr>
      <w:pStyle w:val="1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94D5AE">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D94D5AE">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44BD7">
    <w:pPr>
      <w:pStyle w:val="1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3441D8">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643441D8">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93E6D">
    <w:pPr>
      <w:pStyle w:val="13"/>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6176"/>
                          </w:sdtPr>
                          <w:sdtContent>
                            <w:p w14:paraId="4682A637">
                              <w:pPr>
                                <w:pStyle w:val="13"/>
                                <w:jc w:val="center"/>
                              </w:pPr>
                              <w:r>
                                <w:fldChar w:fldCharType="begin"/>
                              </w:r>
                              <w:r>
                                <w:instrText xml:space="preserve">PAGE   \* MERGEFORMAT</w:instrText>
                              </w:r>
                              <w:r>
                                <w:fldChar w:fldCharType="separate"/>
                              </w:r>
                              <w:r>
                                <w:rPr>
                                  <w:lang w:val="zh-CN"/>
                                </w:rPr>
                                <w:t>8</w:t>
                              </w:r>
                              <w:r>
                                <w:fldChar w:fldCharType="end"/>
                              </w:r>
                            </w:p>
                          </w:sdtContent>
                        </w:sdt>
                        <w:p w14:paraId="1ADFB743">
                          <w:pPr>
                            <w:pStyle w:val="7"/>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sdt>
                    <w:sdtPr>
                      <w:id w:val="147466176"/>
                    </w:sdtPr>
                    <w:sdtContent>
                      <w:p w14:paraId="4682A637">
                        <w:pPr>
                          <w:pStyle w:val="13"/>
                          <w:jc w:val="center"/>
                        </w:pPr>
                        <w:r>
                          <w:fldChar w:fldCharType="begin"/>
                        </w:r>
                        <w:r>
                          <w:instrText xml:space="preserve">PAGE   \* MERGEFORMAT</w:instrText>
                        </w:r>
                        <w:r>
                          <w:fldChar w:fldCharType="separate"/>
                        </w:r>
                        <w:r>
                          <w:rPr>
                            <w:lang w:val="zh-CN"/>
                          </w:rPr>
                          <w:t>8</w:t>
                        </w:r>
                        <w:r>
                          <w:fldChar w:fldCharType="end"/>
                        </w:r>
                      </w:p>
                    </w:sdtContent>
                  </w:sdt>
                  <w:p w14:paraId="1ADFB743">
                    <w:pPr>
                      <w:pStyle w:val="7"/>
                    </w:pPr>
                  </w:p>
                </w:txbxContent>
              </v:textbox>
            </v:shape>
          </w:pict>
        </mc:Fallback>
      </mc:AlternateContent>
    </w:r>
  </w:p>
  <w:p w14:paraId="64C175D1">
    <w:pPr>
      <w:pStyle w:val="1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D5A64">
    <w:pPr>
      <w:pStyle w:val="13"/>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F28785">
                          <w:pPr>
                            <w:pStyle w:val="13"/>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2F28785">
                    <w:pPr>
                      <w:pStyle w:val="13"/>
                    </w:pPr>
                    <w:r>
                      <w:fldChar w:fldCharType="begin"/>
                    </w:r>
                    <w:r>
                      <w:instrText xml:space="preserve"> PAGE  \* MERGEFORMAT </w:instrText>
                    </w:r>
                    <w:r>
                      <w:fldChar w:fldCharType="separate"/>
                    </w:r>
                    <w:r>
                      <w:t>24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9F7CF">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5B63281F"/>
    <w:multiLevelType w:val="multilevel"/>
    <w:tmpl w:val="5B63281F"/>
    <w:lvl w:ilvl="0" w:tentative="0">
      <w:start w:val="1"/>
      <w:numFmt w:val="decimal"/>
      <w:pStyle w:val="49"/>
      <w:suff w:val="nothing"/>
      <w:lvlText w:val="%1."/>
      <w:lvlJc w:val="left"/>
      <w:pPr>
        <w:ind w:left="0" w:firstLine="635"/>
      </w:pPr>
      <w:rPr>
        <w:rFonts w:hint="eastAsia"/>
      </w:rPr>
    </w:lvl>
    <w:lvl w:ilvl="1" w:tentative="0">
      <w:start w:val="1"/>
      <w:numFmt w:val="lowerLetter"/>
      <w:lvlText w:val="%2)"/>
      <w:lvlJc w:val="left"/>
      <w:pPr>
        <w:ind w:left="1475" w:hanging="420"/>
      </w:pPr>
    </w:lvl>
    <w:lvl w:ilvl="2" w:tentative="0">
      <w:start w:val="1"/>
      <w:numFmt w:val="lowerRoman"/>
      <w:lvlText w:val="%3."/>
      <w:lvlJc w:val="right"/>
      <w:pPr>
        <w:ind w:left="1895" w:hanging="420"/>
      </w:pPr>
    </w:lvl>
    <w:lvl w:ilvl="3" w:tentative="0">
      <w:start w:val="1"/>
      <w:numFmt w:val="decimal"/>
      <w:lvlText w:val="%4."/>
      <w:lvlJc w:val="left"/>
      <w:pPr>
        <w:ind w:left="2315" w:hanging="420"/>
      </w:pPr>
    </w:lvl>
    <w:lvl w:ilvl="4" w:tentative="0">
      <w:start w:val="1"/>
      <w:numFmt w:val="lowerLetter"/>
      <w:lvlText w:val="%5)"/>
      <w:lvlJc w:val="left"/>
      <w:pPr>
        <w:ind w:left="2735" w:hanging="420"/>
      </w:pPr>
    </w:lvl>
    <w:lvl w:ilvl="5" w:tentative="0">
      <w:start w:val="1"/>
      <w:numFmt w:val="lowerRoman"/>
      <w:lvlText w:val="%6."/>
      <w:lvlJc w:val="right"/>
      <w:pPr>
        <w:ind w:left="3155" w:hanging="420"/>
      </w:pPr>
    </w:lvl>
    <w:lvl w:ilvl="6" w:tentative="0">
      <w:start w:val="1"/>
      <w:numFmt w:val="decimal"/>
      <w:lvlText w:val="%7."/>
      <w:lvlJc w:val="left"/>
      <w:pPr>
        <w:ind w:left="3575" w:hanging="420"/>
      </w:pPr>
    </w:lvl>
    <w:lvl w:ilvl="7" w:tentative="0">
      <w:start w:val="1"/>
      <w:numFmt w:val="lowerLetter"/>
      <w:lvlText w:val="%8)"/>
      <w:lvlJc w:val="left"/>
      <w:pPr>
        <w:ind w:left="3995" w:hanging="420"/>
      </w:pPr>
    </w:lvl>
    <w:lvl w:ilvl="8" w:tentative="0">
      <w:start w:val="1"/>
      <w:numFmt w:val="lowerRoman"/>
      <w:lvlText w:val="%9."/>
      <w:lvlJc w:val="right"/>
      <w:pPr>
        <w:ind w:left="4415" w:hanging="420"/>
      </w:pPr>
    </w:lvl>
  </w:abstractNum>
  <w:abstractNum w:abstractNumId="4">
    <w:nsid w:val="6F035666"/>
    <w:multiLevelType w:val="singleLevel"/>
    <w:tmpl w:val="6F035666"/>
    <w:lvl w:ilvl="0" w:tentative="0">
      <w:start w:val="1"/>
      <w:numFmt w:val="decimal"/>
      <w:lvlText w:val="%1."/>
      <w:lvlJc w:val="left"/>
      <w:pPr>
        <w:tabs>
          <w:tab w:val="left" w:pos="312"/>
        </w:tabs>
        <w:ind w:left="-13"/>
      </w:pPr>
      <w:rPr>
        <w:rFonts w:hint="default"/>
        <w:sz w:val="28"/>
        <w:szCs w:val="28"/>
      </w:rPr>
    </w:lvl>
  </w:abstractNum>
  <w:abstractNum w:abstractNumId="5">
    <w:nsid w:val="7EE55BF3"/>
    <w:multiLevelType w:val="multilevel"/>
    <w:tmpl w:val="7EE55BF3"/>
    <w:lvl w:ilvl="0" w:tentative="0">
      <w:start w:val="1"/>
      <w:numFmt w:val="chineseCountingThousand"/>
      <w:pStyle w:val="58"/>
      <w:suff w:val="nothing"/>
      <w:lvlText w:val="（%1）"/>
      <w:lvlJc w:val="left"/>
      <w:pPr>
        <w:ind w:left="-635" w:firstLine="635"/>
      </w:pPr>
      <w:rPr>
        <w:rFonts w:hint="eastAsia"/>
      </w:rPr>
    </w:lvl>
    <w:lvl w:ilvl="1" w:tentative="0">
      <w:start w:val="1"/>
      <w:numFmt w:val="decimal"/>
      <w:lvlText w:val="%2."/>
      <w:lvlJc w:val="left"/>
      <w:pPr>
        <w:ind w:left="980" w:hanging="360"/>
      </w:pPr>
      <w:rPr>
        <w:rFonts w:hint="default"/>
      </w:r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NkMjQ0NTVkMWE5ODJhMjQ3NmEyNmUzZjRjZDM0Nzc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315D9"/>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3366"/>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32078"/>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29E"/>
    <w:rsid w:val="00A237D8"/>
    <w:rsid w:val="00A268C4"/>
    <w:rsid w:val="00A307CD"/>
    <w:rsid w:val="00A331C8"/>
    <w:rsid w:val="00A40A00"/>
    <w:rsid w:val="00A4142F"/>
    <w:rsid w:val="00A422EB"/>
    <w:rsid w:val="00A45BB7"/>
    <w:rsid w:val="00A56D7D"/>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113D27"/>
    <w:rsid w:val="01141F92"/>
    <w:rsid w:val="0116312F"/>
    <w:rsid w:val="01963029"/>
    <w:rsid w:val="02C10E79"/>
    <w:rsid w:val="02C132B2"/>
    <w:rsid w:val="033B1FDD"/>
    <w:rsid w:val="0379691B"/>
    <w:rsid w:val="0388769C"/>
    <w:rsid w:val="03DD612A"/>
    <w:rsid w:val="03F37758"/>
    <w:rsid w:val="049E3777"/>
    <w:rsid w:val="04AA7785"/>
    <w:rsid w:val="04B0221A"/>
    <w:rsid w:val="04E24654"/>
    <w:rsid w:val="04F73202"/>
    <w:rsid w:val="057A40CC"/>
    <w:rsid w:val="05CA131B"/>
    <w:rsid w:val="063A5C93"/>
    <w:rsid w:val="064A5629"/>
    <w:rsid w:val="06EF5D92"/>
    <w:rsid w:val="078F69A0"/>
    <w:rsid w:val="09405AF0"/>
    <w:rsid w:val="09475E50"/>
    <w:rsid w:val="09BC4137"/>
    <w:rsid w:val="09F00E3B"/>
    <w:rsid w:val="09F2092F"/>
    <w:rsid w:val="0A1C3478"/>
    <w:rsid w:val="0A2032A3"/>
    <w:rsid w:val="0A8303C0"/>
    <w:rsid w:val="0AC748EC"/>
    <w:rsid w:val="0B64718D"/>
    <w:rsid w:val="0B8A37D8"/>
    <w:rsid w:val="0BB3106B"/>
    <w:rsid w:val="0BE133C4"/>
    <w:rsid w:val="0C050C47"/>
    <w:rsid w:val="0CC36E72"/>
    <w:rsid w:val="0D0A2536"/>
    <w:rsid w:val="0D0F753F"/>
    <w:rsid w:val="0D5825D8"/>
    <w:rsid w:val="0DFA6539"/>
    <w:rsid w:val="0E0A401C"/>
    <w:rsid w:val="0E2177B8"/>
    <w:rsid w:val="0E2741A7"/>
    <w:rsid w:val="0E4312DC"/>
    <w:rsid w:val="0EC87D19"/>
    <w:rsid w:val="0F115C3A"/>
    <w:rsid w:val="0F2F1911"/>
    <w:rsid w:val="0F386966"/>
    <w:rsid w:val="101A6FC1"/>
    <w:rsid w:val="107D1E45"/>
    <w:rsid w:val="10BF33E1"/>
    <w:rsid w:val="10C055FF"/>
    <w:rsid w:val="10CD3161"/>
    <w:rsid w:val="111B4A43"/>
    <w:rsid w:val="11327891"/>
    <w:rsid w:val="118107EC"/>
    <w:rsid w:val="11835A46"/>
    <w:rsid w:val="11DD6519"/>
    <w:rsid w:val="11E3021C"/>
    <w:rsid w:val="11ED3D46"/>
    <w:rsid w:val="133B475F"/>
    <w:rsid w:val="13573257"/>
    <w:rsid w:val="1461411A"/>
    <w:rsid w:val="14CD1E59"/>
    <w:rsid w:val="151D2886"/>
    <w:rsid w:val="15973CBB"/>
    <w:rsid w:val="15D57614"/>
    <w:rsid w:val="15F92A9C"/>
    <w:rsid w:val="163A4802"/>
    <w:rsid w:val="16BB723D"/>
    <w:rsid w:val="171B2DF6"/>
    <w:rsid w:val="171B4F84"/>
    <w:rsid w:val="172E6071"/>
    <w:rsid w:val="176E2253"/>
    <w:rsid w:val="1785593F"/>
    <w:rsid w:val="17AE0428"/>
    <w:rsid w:val="18015F3F"/>
    <w:rsid w:val="18503A79"/>
    <w:rsid w:val="186407F9"/>
    <w:rsid w:val="18EA2E6C"/>
    <w:rsid w:val="190527C4"/>
    <w:rsid w:val="19131F69"/>
    <w:rsid w:val="19C07D61"/>
    <w:rsid w:val="1A070F90"/>
    <w:rsid w:val="1A1C2996"/>
    <w:rsid w:val="1AD83CA9"/>
    <w:rsid w:val="1AF220BF"/>
    <w:rsid w:val="1B07682A"/>
    <w:rsid w:val="1B216501"/>
    <w:rsid w:val="1B230658"/>
    <w:rsid w:val="1B271851"/>
    <w:rsid w:val="1BE8440E"/>
    <w:rsid w:val="1BF978A3"/>
    <w:rsid w:val="1CEC75AC"/>
    <w:rsid w:val="1CFA3641"/>
    <w:rsid w:val="1D083E1C"/>
    <w:rsid w:val="1D155CEE"/>
    <w:rsid w:val="1D7E2782"/>
    <w:rsid w:val="1DE13B46"/>
    <w:rsid w:val="1DE303E5"/>
    <w:rsid w:val="1DE55F0B"/>
    <w:rsid w:val="1DEF5CBE"/>
    <w:rsid w:val="1E1F1F35"/>
    <w:rsid w:val="1EA23279"/>
    <w:rsid w:val="1F0C7DD5"/>
    <w:rsid w:val="1F5C3A06"/>
    <w:rsid w:val="1F6C7CD0"/>
    <w:rsid w:val="20507353"/>
    <w:rsid w:val="20BE4CBC"/>
    <w:rsid w:val="20C75D9C"/>
    <w:rsid w:val="20F57F95"/>
    <w:rsid w:val="21001F34"/>
    <w:rsid w:val="216E39D3"/>
    <w:rsid w:val="21812F54"/>
    <w:rsid w:val="21A752AF"/>
    <w:rsid w:val="22B14EDE"/>
    <w:rsid w:val="230E1876"/>
    <w:rsid w:val="23136BA8"/>
    <w:rsid w:val="23201DC1"/>
    <w:rsid w:val="23FF584D"/>
    <w:rsid w:val="240371BF"/>
    <w:rsid w:val="240A1236"/>
    <w:rsid w:val="2432552E"/>
    <w:rsid w:val="25911713"/>
    <w:rsid w:val="25AE3087"/>
    <w:rsid w:val="25C741E6"/>
    <w:rsid w:val="26273868"/>
    <w:rsid w:val="267E6EFD"/>
    <w:rsid w:val="27842671"/>
    <w:rsid w:val="27971291"/>
    <w:rsid w:val="27CB2786"/>
    <w:rsid w:val="27F21ACC"/>
    <w:rsid w:val="27FB1565"/>
    <w:rsid w:val="286A4887"/>
    <w:rsid w:val="28B529D3"/>
    <w:rsid w:val="28CD495B"/>
    <w:rsid w:val="293661E3"/>
    <w:rsid w:val="29B14490"/>
    <w:rsid w:val="29FD04D3"/>
    <w:rsid w:val="2A1619F8"/>
    <w:rsid w:val="2A1C3F0A"/>
    <w:rsid w:val="2A793611"/>
    <w:rsid w:val="2ABE7A3E"/>
    <w:rsid w:val="2AD413FE"/>
    <w:rsid w:val="2AE1376C"/>
    <w:rsid w:val="2AE8703B"/>
    <w:rsid w:val="2AF31337"/>
    <w:rsid w:val="2B326508"/>
    <w:rsid w:val="2B8C3E5A"/>
    <w:rsid w:val="2BC91C74"/>
    <w:rsid w:val="2BEE4F32"/>
    <w:rsid w:val="2C19358E"/>
    <w:rsid w:val="2C624BCB"/>
    <w:rsid w:val="2D083BC1"/>
    <w:rsid w:val="2DCA6ECC"/>
    <w:rsid w:val="2DDE0A7D"/>
    <w:rsid w:val="2E33681F"/>
    <w:rsid w:val="2EC85B96"/>
    <w:rsid w:val="2EFA178C"/>
    <w:rsid w:val="2FB46C73"/>
    <w:rsid w:val="2FE36023"/>
    <w:rsid w:val="2FEE7CF0"/>
    <w:rsid w:val="2FF95846"/>
    <w:rsid w:val="30142680"/>
    <w:rsid w:val="30B46D73"/>
    <w:rsid w:val="30E8696A"/>
    <w:rsid w:val="31121BFA"/>
    <w:rsid w:val="316A7D7E"/>
    <w:rsid w:val="317E6DE0"/>
    <w:rsid w:val="319F7F4E"/>
    <w:rsid w:val="31CF4AB1"/>
    <w:rsid w:val="327E0568"/>
    <w:rsid w:val="32FE3BF1"/>
    <w:rsid w:val="3306762A"/>
    <w:rsid w:val="3327408D"/>
    <w:rsid w:val="333E2383"/>
    <w:rsid w:val="338D39DC"/>
    <w:rsid w:val="33DE5B77"/>
    <w:rsid w:val="3454129D"/>
    <w:rsid w:val="34926608"/>
    <w:rsid w:val="34BF7626"/>
    <w:rsid w:val="352E2138"/>
    <w:rsid w:val="357061C7"/>
    <w:rsid w:val="35D07686"/>
    <w:rsid w:val="36414C4A"/>
    <w:rsid w:val="36892A2D"/>
    <w:rsid w:val="36A952BD"/>
    <w:rsid w:val="36B3674F"/>
    <w:rsid w:val="36C546D4"/>
    <w:rsid w:val="36C8200D"/>
    <w:rsid w:val="370D1D9C"/>
    <w:rsid w:val="374E0226"/>
    <w:rsid w:val="37523789"/>
    <w:rsid w:val="375E2879"/>
    <w:rsid w:val="37645C9B"/>
    <w:rsid w:val="379548CF"/>
    <w:rsid w:val="37A4253C"/>
    <w:rsid w:val="38363FA3"/>
    <w:rsid w:val="3892494B"/>
    <w:rsid w:val="38AE1E66"/>
    <w:rsid w:val="399E647D"/>
    <w:rsid w:val="39AE70AB"/>
    <w:rsid w:val="39F65AB0"/>
    <w:rsid w:val="3A1133C3"/>
    <w:rsid w:val="3A39340F"/>
    <w:rsid w:val="3AB331C1"/>
    <w:rsid w:val="3AB40D71"/>
    <w:rsid w:val="3AD9074E"/>
    <w:rsid w:val="3ADB31F3"/>
    <w:rsid w:val="3AE16E59"/>
    <w:rsid w:val="3AE945FA"/>
    <w:rsid w:val="3B181276"/>
    <w:rsid w:val="3B4F3267"/>
    <w:rsid w:val="3BF05D4F"/>
    <w:rsid w:val="3C074E47"/>
    <w:rsid w:val="3C0C0783"/>
    <w:rsid w:val="3C1F5AF9"/>
    <w:rsid w:val="3C5436C0"/>
    <w:rsid w:val="3CC64D02"/>
    <w:rsid w:val="3DCB0822"/>
    <w:rsid w:val="3E1F3EA3"/>
    <w:rsid w:val="3F344CBD"/>
    <w:rsid w:val="3F6836EF"/>
    <w:rsid w:val="3F9D5B27"/>
    <w:rsid w:val="3F9F3A96"/>
    <w:rsid w:val="406030D8"/>
    <w:rsid w:val="407F3B46"/>
    <w:rsid w:val="41B77860"/>
    <w:rsid w:val="42920EC7"/>
    <w:rsid w:val="43455594"/>
    <w:rsid w:val="445578F7"/>
    <w:rsid w:val="44E55E94"/>
    <w:rsid w:val="45F90F00"/>
    <w:rsid w:val="46130FB8"/>
    <w:rsid w:val="465E5CDF"/>
    <w:rsid w:val="46DC43A9"/>
    <w:rsid w:val="479F1711"/>
    <w:rsid w:val="481331A1"/>
    <w:rsid w:val="481B403D"/>
    <w:rsid w:val="482A083B"/>
    <w:rsid w:val="49131136"/>
    <w:rsid w:val="493C27E9"/>
    <w:rsid w:val="496F39ED"/>
    <w:rsid w:val="49751537"/>
    <w:rsid w:val="49FF41D3"/>
    <w:rsid w:val="4B3D0885"/>
    <w:rsid w:val="4B5300A9"/>
    <w:rsid w:val="4B85527F"/>
    <w:rsid w:val="4B95246F"/>
    <w:rsid w:val="4BE068DB"/>
    <w:rsid w:val="4BF6002B"/>
    <w:rsid w:val="4C2537F3"/>
    <w:rsid w:val="4CAB3C98"/>
    <w:rsid w:val="4D147911"/>
    <w:rsid w:val="4D354AD5"/>
    <w:rsid w:val="4D383E18"/>
    <w:rsid w:val="4D754306"/>
    <w:rsid w:val="4D791415"/>
    <w:rsid w:val="4D8B3B2A"/>
    <w:rsid w:val="4D914D6E"/>
    <w:rsid w:val="4DCB7FE7"/>
    <w:rsid w:val="4E1E04FA"/>
    <w:rsid w:val="4E5765AE"/>
    <w:rsid w:val="4E8A0DBC"/>
    <w:rsid w:val="4ECE2238"/>
    <w:rsid w:val="4F2935FA"/>
    <w:rsid w:val="4F3D316D"/>
    <w:rsid w:val="4FC20988"/>
    <w:rsid w:val="4FCC3F86"/>
    <w:rsid w:val="4FDF5532"/>
    <w:rsid w:val="51410B71"/>
    <w:rsid w:val="519A3325"/>
    <w:rsid w:val="519A3FDB"/>
    <w:rsid w:val="51DB4B86"/>
    <w:rsid w:val="52A631B4"/>
    <w:rsid w:val="52CF44B9"/>
    <w:rsid w:val="5310038D"/>
    <w:rsid w:val="53207D15"/>
    <w:rsid w:val="53834017"/>
    <w:rsid w:val="548F29DD"/>
    <w:rsid w:val="55333C3E"/>
    <w:rsid w:val="555C599A"/>
    <w:rsid w:val="555E33DF"/>
    <w:rsid w:val="556810DC"/>
    <w:rsid w:val="561E0EFD"/>
    <w:rsid w:val="56812E3F"/>
    <w:rsid w:val="56852D09"/>
    <w:rsid w:val="572F00F3"/>
    <w:rsid w:val="57904B6D"/>
    <w:rsid w:val="583312E4"/>
    <w:rsid w:val="5862192B"/>
    <w:rsid w:val="58DE3DB1"/>
    <w:rsid w:val="5A044A98"/>
    <w:rsid w:val="5A2F1813"/>
    <w:rsid w:val="5ACA18CC"/>
    <w:rsid w:val="5B5D52DE"/>
    <w:rsid w:val="5B94004E"/>
    <w:rsid w:val="5BA42E2A"/>
    <w:rsid w:val="5C507542"/>
    <w:rsid w:val="5CC62FD7"/>
    <w:rsid w:val="5D1F603D"/>
    <w:rsid w:val="5D344AC1"/>
    <w:rsid w:val="5D4B5084"/>
    <w:rsid w:val="5ED67A28"/>
    <w:rsid w:val="5F1A6ABC"/>
    <w:rsid w:val="5F5E12A0"/>
    <w:rsid w:val="5FC555D0"/>
    <w:rsid w:val="5FDB799B"/>
    <w:rsid w:val="603C7160"/>
    <w:rsid w:val="608A5EC3"/>
    <w:rsid w:val="6235479C"/>
    <w:rsid w:val="62441C88"/>
    <w:rsid w:val="62906686"/>
    <w:rsid w:val="62DC2E62"/>
    <w:rsid w:val="630B1871"/>
    <w:rsid w:val="6320036E"/>
    <w:rsid w:val="63234CF0"/>
    <w:rsid w:val="63974B7F"/>
    <w:rsid w:val="63BE4BDA"/>
    <w:rsid w:val="63CC79FC"/>
    <w:rsid w:val="6483599D"/>
    <w:rsid w:val="649A3F22"/>
    <w:rsid w:val="64C30B76"/>
    <w:rsid w:val="64CA39A1"/>
    <w:rsid w:val="64F4657C"/>
    <w:rsid w:val="64FF67E8"/>
    <w:rsid w:val="652B6C79"/>
    <w:rsid w:val="65E816C2"/>
    <w:rsid w:val="666351EC"/>
    <w:rsid w:val="66AB0CFD"/>
    <w:rsid w:val="67504A61"/>
    <w:rsid w:val="67E629A4"/>
    <w:rsid w:val="68E656F6"/>
    <w:rsid w:val="690205FA"/>
    <w:rsid w:val="691D1DD5"/>
    <w:rsid w:val="69201F35"/>
    <w:rsid w:val="69251E17"/>
    <w:rsid w:val="697F233D"/>
    <w:rsid w:val="6A850781"/>
    <w:rsid w:val="6A924C64"/>
    <w:rsid w:val="6B2830C1"/>
    <w:rsid w:val="6B2A452A"/>
    <w:rsid w:val="6BA93FD3"/>
    <w:rsid w:val="6BB9765C"/>
    <w:rsid w:val="6C4A05C8"/>
    <w:rsid w:val="6CA40852"/>
    <w:rsid w:val="6CB664B5"/>
    <w:rsid w:val="6CF73551"/>
    <w:rsid w:val="6D0820D5"/>
    <w:rsid w:val="6D3330C7"/>
    <w:rsid w:val="6D88378A"/>
    <w:rsid w:val="6DA661AA"/>
    <w:rsid w:val="6E405E13"/>
    <w:rsid w:val="6E7D0E15"/>
    <w:rsid w:val="6EDF6561"/>
    <w:rsid w:val="6F80024F"/>
    <w:rsid w:val="6F833714"/>
    <w:rsid w:val="6F8C67DC"/>
    <w:rsid w:val="6FCA1BDC"/>
    <w:rsid w:val="70687B40"/>
    <w:rsid w:val="7071519B"/>
    <w:rsid w:val="70844B58"/>
    <w:rsid w:val="714C44A7"/>
    <w:rsid w:val="71997D14"/>
    <w:rsid w:val="72326261"/>
    <w:rsid w:val="72734D90"/>
    <w:rsid w:val="72D92DF3"/>
    <w:rsid w:val="73572DF1"/>
    <w:rsid w:val="73793D13"/>
    <w:rsid w:val="73C848E1"/>
    <w:rsid w:val="74275AAB"/>
    <w:rsid w:val="7447614D"/>
    <w:rsid w:val="74D07EF1"/>
    <w:rsid w:val="74F05E58"/>
    <w:rsid w:val="75AA6994"/>
    <w:rsid w:val="76073707"/>
    <w:rsid w:val="7609022B"/>
    <w:rsid w:val="762713D4"/>
    <w:rsid w:val="767B46B5"/>
    <w:rsid w:val="76DB582E"/>
    <w:rsid w:val="77E67A2B"/>
    <w:rsid w:val="78000AED"/>
    <w:rsid w:val="78897BEE"/>
    <w:rsid w:val="78E662C0"/>
    <w:rsid w:val="792C6E5F"/>
    <w:rsid w:val="79881F57"/>
    <w:rsid w:val="79921F40"/>
    <w:rsid w:val="79D65C49"/>
    <w:rsid w:val="79E7B28D"/>
    <w:rsid w:val="7A1A1C0E"/>
    <w:rsid w:val="7AF661D7"/>
    <w:rsid w:val="7B3B61F4"/>
    <w:rsid w:val="7B421039"/>
    <w:rsid w:val="7B995CC8"/>
    <w:rsid w:val="7BAE4231"/>
    <w:rsid w:val="7BE75944"/>
    <w:rsid w:val="7CEF4A90"/>
    <w:rsid w:val="7D08140F"/>
    <w:rsid w:val="7D2E7EAA"/>
    <w:rsid w:val="7D513E64"/>
    <w:rsid w:val="7D733B0F"/>
    <w:rsid w:val="7D821FA4"/>
    <w:rsid w:val="7D9B3F7A"/>
    <w:rsid w:val="7DC9403A"/>
    <w:rsid w:val="7DC97FEE"/>
    <w:rsid w:val="7DEB2DBF"/>
    <w:rsid w:val="7E3E236F"/>
    <w:rsid w:val="7E6D4A02"/>
    <w:rsid w:val="7EC10CE9"/>
    <w:rsid w:val="7ECA53B7"/>
    <w:rsid w:val="7F343772"/>
    <w:rsid w:val="7F3B240A"/>
    <w:rsid w:val="7F466FDA"/>
    <w:rsid w:val="7F7122D0"/>
    <w:rsid w:val="7F803607"/>
    <w:rsid w:val="7F971C6A"/>
    <w:rsid w:val="7F9F20EE"/>
    <w:rsid w:val="7FC25586"/>
    <w:rsid w:val="7FEF0525"/>
    <w:rsid w:val="9E3A10E2"/>
    <w:rsid w:val="F2E1F9D4"/>
    <w:rsid w:val="F788081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qFormat="1" w:uiPriority="99" w:semiHidden="0"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0"/>
    <w:autoRedefine/>
    <w:qFormat/>
    <w:uiPriority w:val="9"/>
    <w:pPr>
      <w:keepNext/>
      <w:keepLines/>
      <w:spacing w:before="340" w:after="330" w:line="578" w:lineRule="auto"/>
      <w:outlineLvl w:val="0"/>
    </w:pPr>
    <w:rPr>
      <w:b/>
      <w:bCs/>
      <w:kern w:val="44"/>
      <w:sz w:val="44"/>
      <w:szCs w:val="44"/>
    </w:rPr>
  </w:style>
  <w:style w:type="paragraph" w:styleId="2">
    <w:name w:val="heading 2"/>
    <w:basedOn w:val="1"/>
    <w:next w:val="1"/>
    <w:link w:val="4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5"/>
    <w:next w:val="5"/>
    <w:link w:val="44"/>
    <w:autoRedefine/>
    <w:unhideWhenUsed/>
    <w:qFormat/>
    <w:uiPriority w:val="9"/>
    <w:pPr>
      <w:keepNext/>
      <w:keepLines/>
      <w:spacing w:before="260" w:after="260" w:line="416" w:lineRule="auto"/>
      <w:outlineLvl w:val="2"/>
    </w:pPr>
    <w:rPr>
      <w:b/>
      <w:bCs/>
      <w:sz w:val="32"/>
      <w:szCs w:val="32"/>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customStyle="1" w:styleId="5">
    <w:name w:val="汇政正文"/>
    <w:basedOn w:val="1"/>
    <w:autoRedefine/>
    <w:qFormat/>
    <w:uiPriority w:val="3"/>
    <w:pPr>
      <w:spacing w:line="600" w:lineRule="exact"/>
      <w:ind w:firstLine="640" w:firstLineChars="200"/>
    </w:pPr>
    <w:rPr>
      <w:rFonts w:ascii="Times New Roman" w:hAnsi="Times New Roman" w:eastAsia="仿宋_GB2312" w:cs="Times New Roman"/>
      <w:kern w:val="0"/>
      <w:sz w:val="32"/>
      <w:szCs w:val="28"/>
      <w:lang w:val="zh-CN"/>
    </w:rPr>
  </w:style>
  <w:style w:type="paragraph" w:styleId="6">
    <w:name w:val="Normal Indent"/>
    <w:basedOn w:val="1"/>
    <w:autoRedefine/>
    <w:qFormat/>
    <w:uiPriority w:val="0"/>
    <w:pPr>
      <w:ind w:firstLine="420" w:firstLineChars="200"/>
    </w:pPr>
  </w:style>
  <w:style w:type="paragraph" w:styleId="7">
    <w:name w:val="Salutation"/>
    <w:basedOn w:val="1"/>
    <w:next w:val="1"/>
    <w:autoRedefine/>
    <w:qFormat/>
    <w:uiPriority w:val="0"/>
  </w:style>
  <w:style w:type="paragraph" w:styleId="8">
    <w:name w:val="Body Text"/>
    <w:basedOn w:val="1"/>
    <w:next w:val="1"/>
    <w:link w:val="37"/>
    <w:autoRedefine/>
    <w:qFormat/>
    <w:uiPriority w:val="99"/>
    <w:pPr>
      <w:spacing w:beforeLines="30"/>
    </w:pPr>
    <w:rPr>
      <w:rFonts w:ascii="仿宋_GB2312" w:eastAsia="仿宋_GB2312"/>
      <w:kern w:val="0"/>
      <w:sz w:val="30"/>
    </w:rPr>
  </w:style>
  <w:style w:type="paragraph" w:styleId="9">
    <w:name w:val="Body Text Indent"/>
    <w:basedOn w:val="1"/>
    <w:autoRedefine/>
    <w:qFormat/>
    <w:uiPriority w:val="99"/>
    <w:pPr>
      <w:ind w:left="420" w:leftChars="200"/>
    </w:pPr>
  </w:style>
  <w:style w:type="paragraph" w:styleId="10">
    <w:name w:val="toc 3"/>
    <w:basedOn w:val="1"/>
    <w:next w:val="1"/>
    <w:autoRedefine/>
    <w:unhideWhenUsed/>
    <w:qFormat/>
    <w:uiPriority w:val="39"/>
    <w:pPr>
      <w:tabs>
        <w:tab w:val="right" w:leader="dot" w:pos="8296"/>
      </w:tabs>
      <w:ind w:left="840" w:leftChars="400"/>
    </w:pPr>
  </w:style>
  <w:style w:type="paragraph" w:styleId="11">
    <w:name w:val="Plain Text"/>
    <w:basedOn w:val="1"/>
    <w:autoRedefine/>
    <w:qFormat/>
    <w:uiPriority w:val="99"/>
    <w:rPr>
      <w:rFonts w:ascii="宋体" w:hAnsi="Courier New" w:eastAsia="宋体"/>
      <w:szCs w:val="21"/>
    </w:rPr>
  </w:style>
  <w:style w:type="paragraph" w:styleId="12">
    <w:name w:val="Balloon Text"/>
    <w:basedOn w:val="1"/>
    <w:link w:val="43"/>
    <w:autoRedefine/>
    <w:semiHidden/>
    <w:unhideWhenUsed/>
    <w:qFormat/>
    <w:uiPriority w:val="99"/>
    <w:rPr>
      <w:sz w:val="18"/>
      <w:szCs w:val="18"/>
    </w:rPr>
  </w:style>
  <w:style w:type="paragraph" w:styleId="13">
    <w:name w:val="footer"/>
    <w:basedOn w:val="1"/>
    <w:link w:val="35"/>
    <w:autoRedefine/>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33"/>
    <w:autoRedefine/>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autoRedefine/>
    <w:unhideWhenUsed/>
    <w:qFormat/>
    <w:uiPriority w:val="39"/>
    <w:pPr>
      <w:tabs>
        <w:tab w:val="right" w:leader="dot" w:pos="8296"/>
      </w:tabs>
      <w:spacing w:before="93"/>
      <w:jc w:val="center"/>
    </w:pPr>
    <w:rPr>
      <w:rFonts w:ascii="仿宋" w:hAnsi="仿宋" w:eastAsia="仿宋"/>
      <w:sz w:val="28"/>
      <w:szCs w:val="28"/>
    </w:rPr>
  </w:style>
  <w:style w:type="paragraph" w:styleId="16">
    <w:name w:val="table of figures"/>
    <w:basedOn w:val="1"/>
    <w:next w:val="1"/>
    <w:autoRedefine/>
    <w:unhideWhenUsed/>
    <w:qFormat/>
    <w:uiPriority w:val="99"/>
    <w:pPr>
      <w:ind w:left="200" w:leftChars="200" w:hanging="200" w:hangingChars="200"/>
    </w:pPr>
    <w:rPr>
      <w:rFonts w:ascii="Times New Roman" w:eastAsia="仿宋_GB2312"/>
      <w:sz w:val="32"/>
      <w:szCs w:val="24"/>
    </w:rPr>
  </w:style>
  <w:style w:type="paragraph" w:styleId="17">
    <w:name w:val="toc 2"/>
    <w:basedOn w:val="1"/>
    <w:next w:val="1"/>
    <w:autoRedefine/>
    <w:unhideWhenUsed/>
    <w:qFormat/>
    <w:uiPriority w:val="39"/>
    <w:pPr>
      <w:tabs>
        <w:tab w:val="right" w:leader="dot" w:pos="8296"/>
      </w:tabs>
      <w:ind w:left="420" w:leftChars="200"/>
    </w:p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9">
    <w:name w:val="Title"/>
    <w:basedOn w:val="1"/>
    <w:next w:val="1"/>
    <w:autoRedefine/>
    <w:qFormat/>
    <w:uiPriority w:val="0"/>
    <w:pPr>
      <w:spacing w:before="240" w:after="60"/>
      <w:jc w:val="center"/>
      <w:outlineLvl w:val="0"/>
    </w:pPr>
    <w:rPr>
      <w:rFonts w:ascii="Arial" w:hAnsi="Arial" w:cs="Arial"/>
      <w:b/>
      <w:bCs/>
      <w:szCs w:val="32"/>
    </w:rPr>
  </w:style>
  <w:style w:type="paragraph" w:styleId="20">
    <w:name w:val="Body Text First Indent"/>
    <w:basedOn w:val="8"/>
    <w:autoRedefine/>
    <w:unhideWhenUsed/>
    <w:qFormat/>
    <w:uiPriority w:val="99"/>
    <w:pPr>
      <w:ind w:firstLine="420" w:firstLineChars="100"/>
    </w:pPr>
  </w:style>
  <w:style w:type="paragraph" w:styleId="21">
    <w:name w:val="Body Text First Indent 2"/>
    <w:basedOn w:val="9"/>
    <w:autoRedefine/>
    <w:qFormat/>
    <w:uiPriority w:val="99"/>
    <w:pPr>
      <w:ind w:firstLine="420" w:firstLineChars="200"/>
    </w:pPr>
  </w:style>
  <w:style w:type="table" w:styleId="23">
    <w:name w:val="Table Grid"/>
    <w:basedOn w:val="22"/>
    <w:autoRedefine/>
    <w:qFormat/>
    <w:uiPriority w:val="39"/>
    <w:pPr>
      <w:spacing w:line="300" w:lineRule="exact"/>
      <w:jc w:val="center"/>
    </w:pPr>
    <w:rPr>
      <w:rFonts w:eastAsia="仿宋_GB231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blHeader/>
    </w:trPr>
    <w:tcPr>
      <w:vAlign w:val="center"/>
    </w:tcPr>
  </w:style>
  <w:style w:type="character" w:styleId="25">
    <w:name w:val="Strong"/>
    <w:basedOn w:val="24"/>
    <w:autoRedefine/>
    <w:qFormat/>
    <w:uiPriority w:val="99"/>
    <w:rPr>
      <w:b/>
    </w:rPr>
  </w:style>
  <w:style w:type="character" w:styleId="26">
    <w:name w:val="Emphasis"/>
    <w:basedOn w:val="24"/>
    <w:autoRedefine/>
    <w:qFormat/>
    <w:uiPriority w:val="0"/>
    <w:rPr>
      <w:i/>
    </w:rPr>
  </w:style>
  <w:style w:type="character" w:styleId="27">
    <w:name w:val="Hyperlink"/>
    <w:basedOn w:val="24"/>
    <w:autoRedefine/>
    <w:unhideWhenUsed/>
    <w:qFormat/>
    <w:uiPriority w:val="99"/>
    <w:rPr>
      <w:color w:val="0000FF" w:themeColor="hyperlink"/>
      <w:u w:val="single"/>
      <w14:textFill>
        <w14:solidFill>
          <w14:schemeClr w14:val="hlink"/>
        </w14:solidFill>
      </w14:textFill>
    </w:rPr>
  </w:style>
  <w:style w:type="paragraph" w:customStyle="1" w:styleId="28">
    <w:name w:val="图表目录1"/>
    <w:basedOn w:val="29"/>
    <w:next w:val="1"/>
    <w:autoRedefine/>
    <w:qFormat/>
    <w:uiPriority w:val="0"/>
    <w:pPr>
      <w:ind w:left="200" w:leftChars="200" w:hanging="200" w:hangingChars="200"/>
    </w:pPr>
    <w:rPr>
      <w:rFonts w:eastAsia="仿宋_GB2312"/>
      <w:sz w:val="32"/>
      <w:szCs w:val="24"/>
    </w:rPr>
  </w:style>
  <w:style w:type="paragraph" w:customStyle="1" w:styleId="29">
    <w:name w:val="Normal New"/>
    <w:autoRedefine/>
    <w:qFormat/>
    <w:uiPriority w:val="0"/>
    <w:pPr>
      <w:widowControl w:val="0"/>
      <w:jc w:val="both"/>
    </w:pPr>
    <w:rPr>
      <w:rFonts w:hint="eastAsia" w:ascii="Times New Roman" w:hAnsi="Times New Roman" w:eastAsia="宋体" w:cs="Times New Roman"/>
      <w:kern w:val="2"/>
      <w:sz w:val="21"/>
      <w:szCs w:val="22"/>
      <w:lang w:val="en-US" w:eastAsia="zh-CN" w:bidi="ar-SA"/>
    </w:rPr>
  </w:style>
  <w:style w:type="paragraph" w:customStyle="1" w:styleId="30">
    <w:name w:val="报告正文"/>
    <w:basedOn w:val="1"/>
    <w:autoRedefine/>
    <w:qFormat/>
    <w:uiPriority w:val="0"/>
    <w:pPr>
      <w:spacing w:line="600" w:lineRule="exact"/>
      <w:ind w:firstLine="200" w:firstLineChars="200"/>
    </w:pPr>
    <w:rPr>
      <w:rFonts w:ascii="Times New Roman" w:hAnsi="Times New Roman" w:eastAsia="仿宋" w:cs="Times New Roman"/>
      <w:kern w:val="0"/>
      <w:sz w:val="32"/>
      <w:szCs w:val="28"/>
      <w:lang w:val="zh-CN"/>
    </w:rPr>
  </w:style>
  <w:style w:type="paragraph" w:customStyle="1" w:styleId="31">
    <w:name w:val="table of figures1"/>
    <w:basedOn w:val="1"/>
    <w:next w:val="1"/>
    <w:autoRedefine/>
    <w:qFormat/>
    <w:uiPriority w:val="0"/>
    <w:pPr>
      <w:ind w:left="200" w:leftChars="200" w:hanging="200" w:hangingChars="200"/>
    </w:pPr>
    <w:rPr>
      <w:rFonts w:hint="default" w:ascii="Times New Roman" w:eastAsia="仿宋_GB2312"/>
      <w:sz w:val="32"/>
      <w:szCs w:val="24"/>
    </w:rPr>
  </w:style>
  <w:style w:type="character" w:customStyle="1" w:styleId="32">
    <w:name w:val="Header Char"/>
    <w:basedOn w:val="24"/>
    <w:autoRedefine/>
    <w:semiHidden/>
    <w:qFormat/>
    <w:uiPriority w:val="99"/>
    <w:rPr>
      <w:rFonts w:ascii="Times New Roman" w:hAnsi="Times New Roman"/>
      <w:sz w:val="18"/>
      <w:szCs w:val="18"/>
    </w:rPr>
  </w:style>
  <w:style w:type="character" w:customStyle="1" w:styleId="33">
    <w:name w:val="页眉 Char"/>
    <w:link w:val="14"/>
    <w:autoRedefine/>
    <w:semiHidden/>
    <w:qFormat/>
    <w:locked/>
    <w:uiPriority w:val="99"/>
    <w:rPr>
      <w:sz w:val="18"/>
    </w:rPr>
  </w:style>
  <w:style w:type="character" w:customStyle="1" w:styleId="34">
    <w:name w:val="Footer Char"/>
    <w:basedOn w:val="24"/>
    <w:autoRedefine/>
    <w:semiHidden/>
    <w:qFormat/>
    <w:uiPriority w:val="99"/>
    <w:rPr>
      <w:rFonts w:ascii="Times New Roman" w:hAnsi="Times New Roman"/>
      <w:sz w:val="18"/>
      <w:szCs w:val="18"/>
    </w:rPr>
  </w:style>
  <w:style w:type="character" w:customStyle="1" w:styleId="35">
    <w:name w:val="页脚 Char"/>
    <w:link w:val="13"/>
    <w:autoRedefine/>
    <w:qFormat/>
    <w:locked/>
    <w:uiPriority w:val="99"/>
    <w:rPr>
      <w:sz w:val="18"/>
    </w:rPr>
  </w:style>
  <w:style w:type="character" w:customStyle="1" w:styleId="36">
    <w:name w:val="Body Text Char"/>
    <w:basedOn w:val="24"/>
    <w:autoRedefine/>
    <w:semiHidden/>
    <w:qFormat/>
    <w:uiPriority w:val="99"/>
    <w:rPr>
      <w:rFonts w:ascii="Times New Roman" w:hAnsi="Times New Roman"/>
      <w:szCs w:val="24"/>
    </w:rPr>
  </w:style>
  <w:style w:type="character" w:customStyle="1" w:styleId="37">
    <w:name w:val="正文文本 Char"/>
    <w:link w:val="8"/>
    <w:autoRedefine/>
    <w:qFormat/>
    <w:locked/>
    <w:uiPriority w:val="99"/>
    <w:rPr>
      <w:rFonts w:ascii="仿宋_GB2312" w:hAnsi="Times New Roman" w:eastAsia="仿宋_GB2312"/>
      <w:sz w:val="24"/>
    </w:rPr>
  </w:style>
  <w:style w:type="paragraph" w:customStyle="1" w:styleId="38">
    <w:name w:val="Default"/>
    <w:autoRedefine/>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9">
    <w:name w:val="List Paragraph"/>
    <w:basedOn w:val="1"/>
    <w:autoRedefine/>
    <w:qFormat/>
    <w:uiPriority w:val="34"/>
    <w:pPr>
      <w:ind w:firstLine="420" w:firstLineChars="200"/>
    </w:pPr>
  </w:style>
  <w:style w:type="character" w:customStyle="1" w:styleId="40">
    <w:name w:val="标题 1 Char"/>
    <w:basedOn w:val="24"/>
    <w:link w:val="3"/>
    <w:autoRedefine/>
    <w:qFormat/>
    <w:uiPriority w:val="9"/>
    <w:rPr>
      <w:rFonts w:ascii="Times New Roman" w:hAnsi="Times New Roman"/>
      <w:b/>
      <w:bCs/>
      <w:kern w:val="44"/>
      <w:sz w:val="44"/>
      <w:szCs w:val="44"/>
    </w:rPr>
  </w:style>
  <w:style w:type="character" w:customStyle="1" w:styleId="41">
    <w:name w:val="标题 2 Char"/>
    <w:basedOn w:val="24"/>
    <w:link w:val="2"/>
    <w:autoRedefine/>
    <w:qFormat/>
    <w:uiPriority w:val="9"/>
    <w:rPr>
      <w:rFonts w:asciiTheme="majorHAnsi" w:hAnsiTheme="majorHAnsi" w:eastAsiaTheme="majorEastAsia" w:cstheme="majorBidi"/>
      <w:b/>
      <w:bCs/>
      <w:kern w:val="2"/>
      <w:sz w:val="32"/>
      <w:szCs w:val="32"/>
    </w:rPr>
  </w:style>
  <w:style w:type="paragraph" w:customStyle="1" w:styleId="42">
    <w:name w:val="TOC 标题1"/>
    <w:basedOn w:val="3"/>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43">
    <w:name w:val="批注框文本 Char"/>
    <w:basedOn w:val="24"/>
    <w:link w:val="12"/>
    <w:autoRedefine/>
    <w:semiHidden/>
    <w:qFormat/>
    <w:uiPriority w:val="99"/>
    <w:rPr>
      <w:rFonts w:ascii="Times New Roman" w:hAnsi="Times New Roman"/>
      <w:kern w:val="2"/>
      <w:sz w:val="18"/>
      <w:szCs w:val="18"/>
    </w:rPr>
  </w:style>
  <w:style w:type="character" w:customStyle="1" w:styleId="44">
    <w:name w:val="标题 3 Char"/>
    <w:basedOn w:val="24"/>
    <w:link w:val="4"/>
    <w:autoRedefine/>
    <w:qFormat/>
    <w:uiPriority w:val="9"/>
    <w:rPr>
      <w:rFonts w:ascii="Times New Roman" w:hAnsi="Times New Roman"/>
      <w:b/>
      <w:bCs/>
      <w:kern w:val="2"/>
      <w:sz w:val="32"/>
      <w:szCs w:val="32"/>
    </w:rPr>
  </w:style>
  <w:style w:type="paragraph" w:customStyle="1" w:styleId="45">
    <w:name w:val="TOC Heading"/>
    <w:basedOn w:val="3"/>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46">
    <w:name w:val="WPSOffice手动目录 1"/>
    <w:autoRedefine/>
    <w:qFormat/>
    <w:uiPriority w:val="0"/>
    <w:pPr>
      <w:ind w:leftChars="0"/>
    </w:pPr>
    <w:rPr>
      <w:rFonts w:ascii="Times New Roman" w:hAnsi="Times New Roman" w:eastAsia="宋体" w:cs="Times New Roman"/>
      <w:sz w:val="20"/>
      <w:szCs w:val="20"/>
    </w:rPr>
  </w:style>
  <w:style w:type="paragraph" w:customStyle="1" w:styleId="47">
    <w:name w:val="WPSOffice手动目录 2"/>
    <w:autoRedefine/>
    <w:qFormat/>
    <w:uiPriority w:val="0"/>
    <w:pPr>
      <w:ind w:leftChars="200"/>
    </w:pPr>
    <w:rPr>
      <w:rFonts w:ascii="Times New Roman" w:hAnsi="Times New Roman" w:eastAsia="宋体" w:cs="Times New Roman"/>
      <w:sz w:val="20"/>
      <w:szCs w:val="20"/>
    </w:rPr>
  </w:style>
  <w:style w:type="paragraph" w:customStyle="1" w:styleId="48">
    <w:name w:val="〖C01〗正文"/>
    <w:basedOn w:val="1"/>
    <w:autoRedefine/>
    <w:qFormat/>
    <w:uiPriority w:val="0"/>
    <w:pPr>
      <w:topLinePunct/>
      <w:spacing w:line="600" w:lineRule="exact"/>
      <w:ind w:firstLine="640" w:firstLineChars="200"/>
    </w:pPr>
    <w:rPr>
      <w:rFonts w:ascii="仿宋_GB2312" w:hAnsi="Calibri" w:eastAsia="仿宋_GB2312"/>
      <w:sz w:val="32"/>
      <w:szCs w:val="32"/>
    </w:rPr>
  </w:style>
  <w:style w:type="paragraph" w:customStyle="1" w:styleId="49">
    <w:name w:val="〖B03〗三级标题"/>
    <w:basedOn w:val="1"/>
    <w:autoRedefine/>
    <w:qFormat/>
    <w:uiPriority w:val="0"/>
    <w:pPr>
      <w:numPr>
        <w:ilvl w:val="0"/>
        <w:numId w:val="1"/>
      </w:numPr>
      <w:topLinePunct/>
      <w:spacing w:line="600" w:lineRule="exact"/>
      <w:outlineLvl w:val="2"/>
    </w:pPr>
    <w:rPr>
      <w:rFonts w:ascii="楷体_GB2312" w:hAnsi="Calibri" w:eastAsia="楷体_GB2312"/>
      <w:sz w:val="32"/>
      <w:szCs w:val="32"/>
    </w:rPr>
  </w:style>
  <w:style w:type="character" w:customStyle="1" w:styleId="50">
    <w:name w:val="NormalCharacter"/>
    <w:autoRedefine/>
    <w:semiHidden/>
    <w:qFormat/>
    <w:uiPriority w:val="99"/>
  </w:style>
  <w:style w:type="paragraph" w:styleId="51">
    <w:name w:val="No Spacing"/>
    <w:autoRedefine/>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52">
    <w:name w:val="font61"/>
    <w:autoRedefine/>
    <w:qFormat/>
    <w:uiPriority w:val="0"/>
    <w:rPr>
      <w:rFonts w:hint="default" w:ascii="Times New Roman" w:hAnsi="Times New Roman" w:eastAsia="楷体_GB2312" w:cs="Times New Roman"/>
      <w:sz w:val="32"/>
      <w:szCs w:val="24"/>
    </w:rPr>
  </w:style>
  <w:style w:type="paragraph" w:customStyle="1" w:styleId="53">
    <w:name w:val="图表名"/>
    <w:basedOn w:val="1"/>
    <w:autoRedefine/>
    <w:qFormat/>
    <w:uiPriority w:val="4"/>
    <w:pPr>
      <w:spacing w:before="60" w:after="60"/>
      <w:jc w:val="center"/>
    </w:pPr>
    <w:rPr>
      <w:rFonts w:ascii="Times New Roman" w:hAnsi="Times New Roman" w:eastAsia="仿宋_GB2312" w:cs="Times New Roman"/>
      <w:b/>
      <w:kern w:val="0"/>
      <w:sz w:val="24"/>
      <w:szCs w:val="28"/>
    </w:rPr>
  </w:style>
  <w:style w:type="paragraph" w:customStyle="1" w:styleId="54">
    <w:name w:val="表文字"/>
    <w:basedOn w:val="30"/>
    <w:autoRedefine/>
    <w:qFormat/>
    <w:uiPriority w:val="5"/>
    <w:pPr>
      <w:widowControl/>
      <w:pBdr>
        <w:between w:val="single" w:color="auto" w:sz="4" w:space="1"/>
      </w:pBdr>
      <w:spacing w:line="320" w:lineRule="exact"/>
      <w:ind w:firstLine="0" w:firstLineChars="0"/>
      <w:jc w:val="center"/>
    </w:pPr>
    <w:rPr>
      <w:rFonts w:cs="宋体"/>
      <w:bCs/>
      <w:color w:val="000000"/>
      <w:sz w:val="22"/>
    </w:rPr>
  </w:style>
  <w:style w:type="paragraph" w:customStyle="1" w:styleId="55">
    <w:name w:val="汇政正文-最终版"/>
    <w:basedOn w:val="1"/>
    <w:autoRedefine/>
    <w:qFormat/>
    <w:uiPriority w:val="3"/>
    <w:pPr>
      <w:spacing w:line="600" w:lineRule="exact"/>
      <w:ind w:firstLine="200" w:firstLineChars="200"/>
    </w:pPr>
    <w:rPr>
      <w:rFonts w:ascii="Times New Roman" w:hAnsi="Times New Roman" w:eastAsia="仿宋_GB2312" w:cs="Times New Roman"/>
      <w:kern w:val="0"/>
      <w:sz w:val="32"/>
      <w:szCs w:val="28"/>
      <w:lang w:val="zh-CN"/>
    </w:rPr>
  </w:style>
  <w:style w:type="character" w:customStyle="1" w:styleId="56">
    <w:name w:val="font11"/>
    <w:basedOn w:val="24"/>
    <w:autoRedefine/>
    <w:qFormat/>
    <w:uiPriority w:val="0"/>
    <w:rPr>
      <w:rFonts w:hint="eastAsia" w:ascii="宋体" w:hAnsi="宋体" w:eastAsia="宋体" w:cs="宋体"/>
      <w:color w:val="333333"/>
      <w:sz w:val="20"/>
      <w:szCs w:val="20"/>
      <w:u w:val="none"/>
    </w:rPr>
  </w:style>
  <w:style w:type="paragraph" w:customStyle="1" w:styleId="57">
    <w:name w:val="四号正文"/>
    <w:basedOn w:val="1"/>
    <w:autoRedefine/>
    <w:qFormat/>
    <w:uiPriority w:val="0"/>
    <w:pPr>
      <w:spacing w:line="360" w:lineRule="auto"/>
    </w:pPr>
    <w:rPr>
      <w:rFonts w:ascii="??" w:hAnsi="??"/>
      <w:color w:val="000000"/>
      <w:kern w:val="0"/>
      <w:sz w:val="28"/>
      <w:szCs w:val="21"/>
      <w:lang w:val="zh-CN"/>
    </w:rPr>
  </w:style>
  <w:style w:type="paragraph" w:customStyle="1" w:styleId="58">
    <w:name w:val="〖B02〗二级标题"/>
    <w:next w:val="1"/>
    <w:autoRedefine/>
    <w:qFormat/>
    <w:uiPriority w:val="0"/>
    <w:pPr>
      <w:widowControl w:val="0"/>
      <w:numPr>
        <w:ilvl w:val="0"/>
        <w:numId w:val="2"/>
      </w:numPr>
      <w:spacing w:line="600" w:lineRule="exact"/>
      <w:outlineLvl w:val="1"/>
    </w:pPr>
    <w:rPr>
      <w:rFonts w:ascii="楷体_GB2312" w:hAnsi="Calibri" w:eastAsia="楷体_GB2312" w:cs="Times New Roman"/>
      <w:kern w:val="2"/>
      <w:sz w:val="32"/>
      <w:szCs w:val="21"/>
      <w:lang w:val="zh-CN" w:eastAsia="zh-CN" w:bidi="ar-SA"/>
    </w:rPr>
  </w:style>
  <w:style w:type="table" w:customStyle="1" w:styleId="59">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4" Type="http://schemas.microsoft.com/office/2011/relationships/chartColorStyle" Target="colors7.xml"/><Relationship Id="rId3" Type="http://schemas.microsoft.com/office/2011/relationships/chartStyle" Target="style7.xml"/><Relationship Id="rId2" Type="http://schemas.openxmlformats.org/officeDocument/2006/relationships/themeOverride" Target="../theme/themeOverride2.xml"/><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2023年</c:v>
                </c:pt>
              </c:strCache>
            </c:strRef>
          </c:tx>
          <c:spPr>
            <a:solidFill>
              <a:srgbClr val="16697A"/>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收、支总计（万元）</c:v>
                </c:pt>
              </c:strCache>
            </c:strRef>
          </c:cat>
          <c:val>
            <c:numRef>
              <c:f>Sheet1!$B$2</c:f>
              <c:numCache>
                <c:formatCode>#,##0.00</c:formatCode>
                <c:ptCount val="1"/>
                <c:pt idx="0">
                  <c:v>1539.81</c:v>
                </c:pt>
              </c:numCache>
            </c:numRef>
          </c:val>
        </c:ser>
        <c:ser>
          <c:idx val="1"/>
          <c:order val="1"/>
          <c:tx>
            <c:strRef>
              <c:f>Sheet1!$C$1</c:f>
              <c:strCache>
                <c:ptCount val="1"/>
                <c:pt idx="0">
                  <c:v>2022年</c:v>
                </c:pt>
              </c:strCache>
            </c:strRef>
          </c:tx>
          <c:spPr>
            <a:solidFill>
              <a:srgbClr val="489FB5"/>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收、支总计（万元）</c:v>
                </c:pt>
              </c:strCache>
            </c:strRef>
          </c:cat>
          <c:val>
            <c:numRef>
              <c:f>Sheet1!$C$2</c:f>
              <c:numCache>
                <c:formatCode>#,##0.00</c:formatCode>
                <c:ptCount val="1"/>
                <c:pt idx="0">
                  <c:v>1095.57</c:v>
                </c:pt>
              </c:numCache>
            </c:numRef>
          </c:val>
        </c:ser>
        <c:dLbls>
          <c:showLegendKey val="0"/>
          <c:showVal val="0"/>
          <c:showCatName val="0"/>
          <c:showSerName val="0"/>
          <c:showPercent val="0"/>
          <c:showBubbleSize val="0"/>
        </c:dLbls>
        <c:gapWidth val="150"/>
        <c:overlap val="-25"/>
        <c:axId val="293387403"/>
        <c:axId val="593201142"/>
      </c:barChart>
      <c:catAx>
        <c:axId val="2933874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593201142"/>
        <c:crosses val="autoZero"/>
        <c:auto val="1"/>
        <c:lblAlgn val="ctr"/>
        <c:lblOffset val="100"/>
        <c:noMultiLvlLbl val="0"/>
      </c:catAx>
      <c:valAx>
        <c:axId val="593201142"/>
        <c:scaling>
          <c:orientation val="minMax"/>
        </c:scaling>
        <c:delete val="1"/>
        <c:axPos val="l"/>
        <c:numFmt formatCode="#,##0.00" sourceLinked="1"/>
        <c:majorTickMark val="none"/>
        <c:minorTickMark val="none"/>
        <c:tickLblPos val="nextTo"/>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293387403"/>
        <c:crosses val="autoZero"/>
        <c:crossBetween val="between"/>
      </c:valAx>
      <c:spPr>
        <a:pattFill prst="lgGrid">
          <a:fgClr>
            <a:schemeClr val="bg1">
              <a:lumMod val="95000"/>
            </a:schemeClr>
          </a:fgClr>
          <a:bgClr>
            <a:schemeClr val="bg1"/>
          </a:bgClr>
        </a:patt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a:outerShdw blurRad="63500" dist="37357" dir="2700000" sx="0" sy="0" rotWithShape="0">
        <a:scrgbClr r="0" g="0" b="0"/>
      </a:outerShdw>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8415278556041"/>
          <c:y val="0.189230103806228"/>
          <c:w val="0.432823505639325"/>
          <c:h val="0.698096389502181"/>
        </c:manualLayout>
      </c:layout>
      <c:pieChart>
        <c:varyColors val="1"/>
        <c:ser>
          <c:idx val="0"/>
          <c:order val="0"/>
          <c:tx>
            <c:strRef>
              <c:f>Sheet1!$B$1</c:f>
              <c:strCache>
                <c:ptCount val="1"/>
                <c:pt idx="0">
                  <c:v>列1</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Lbls>
            <c:dLbl>
              <c:idx val="1"/>
              <c:layout>
                <c:manualLayout>
                  <c:x val="-0.040375"/>
                  <c:y val="0.0133192069017708"/>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outEnd"/>
            <c:showLegendKey val="1"/>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Sheet1!$A$2:$A$3</c:f>
              <c:strCache>
                <c:ptCount val="2"/>
                <c:pt idx="0">
                  <c:v>一般公共预算财政拨款收入</c:v>
                </c:pt>
                <c:pt idx="1">
                  <c:v>政府性基金预算财政拨款收入</c:v>
                </c:pt>
              </c:strCache>
            </c:strRef>
          </c:cat>
          <c:val>
            <c:numRef>
              <c:f>Sheet1!$B$2:$B$3</c:f>
              <c:numCache>
                <c:formatCode>General</c:formatCode>
                <c:ptCount val="2"/>
                <c:pt idx="0">
                  <c:v>1047.78</c:v>
                </c:pt>
                <c:pt idx="1">
                  <c:v>0.15</c:v>
                </c:pt>
              </c:numCache>
            </c:numRef>
          </c:val>
        </c:ser>
        <c:dLbls>
          <c:showLegendKey val="0"/>
          <c:showVal val="1"/>
          <c:showCatName val="0"/>
          <c:showSerName val="0"/>
          <c:showPercent val="0"/>
          <c:showBubbleSize val="0"/>
          <c:showLeaderLines val="0"/>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8415278556041"/>
          <c:y val="0.189230103806228"/>
          <c:w val="0.432823505639325"/>
          <c:h val="0.698096389502181"/>
        </c:manualLayout>
      </c:layout>
      <c:pieChart>
        <c:varyColors val="1"/>
        <c:ser>
          <c:idx val="0"/>
          <c:order val="0"/>
          <c:tx>
            <c:strRef>
              <c:f>Sheet1!$B$1</c:f>
              <c:strCache>
                <c:ptCount val="1"/>
                <c:pt idx="0">
                  <c:v>列1</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dPt>
          <c:dPt>
            <c:idx val="4"/>
            <c:bubble3D val="0"/>
            <c:spPr>
              <a:pattFill prst="ltUpDiag">
                <a:fgClr>
                  <a:schemeClr val="accent5"/>
                </a:fgClr>
                <a:bgClr>
                  <a:schemeClr val="accent5">
                    <a:lumMod val="20000"/>
                    <a:lumOff val="80000"/>
                  </a:schemeClr>
                </a:bgClr>
              </a:pattFill>
              <a:ln w="19050">
                <a:solidFill>
                  <a:schemeClr val="lt1"/>
                </a:solidFill>
              </a:ln>
              <a:effectLst>
                <a:innerShdw blurRad="114300">
                  <a:schemeClr val="accent5"/>
                </a:innerShdw>
              </a:effectLst>
            </c:spPr>
          </c:dPt>
          <c:dLbls>
            <c:dLbl>
              <c:idx val="0"/>
              <c:layout>
                <c:manualLayout>
                  <c:x val="-0.0229738353541801"/>
                  <c:y val="-0.126504010695187"/>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2"/>
              <c:layout>
                <c:manualLayout>
                  <c:x val="0.00472239948947033"/>
                  <c:y val="-0.0626671122994652"/>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3"/>
              <c:layout>
                <c:manualLayout>
                  <c:x val="-0.20293554562859"/>
                  <c:y val="-0.00334224598930481"/>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4"/>
              <c:layout>
                <c:manualLayout>
                  <c:x val="0.117166560306318"/>
                  <c:y val="0"/>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outEnd"/>
            <c:showLegendKey val="1"/>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694.88</c:v>
                </c:pt>
                <c:pt idx="1">
                  <c:v>844.93</c:v>
                </c:pt>
              </c:numCache>
            </c:numRef>
          </c:val>
        </c:ser>
        <c:dLbls>
          <c:showLegendKey val="0"/>
          <c:showVal val="1"/>
          <c:showCatName val="0"/>
          <c:showSerName val="0"/>
          <c:showPercent val="0"/>
          <c:showBubbleSize val="0"/>
          <c:showLeaderLines val="0"/>
        </c:dLbls>
        <c:firstSliceAng val="0"/>
      </c:pieChart>
      <c:spPr>
        <a:noFill/>
        <a:ln>
          <a:noFill/>
        </a:ln>
        <a:effectLst/>
      </c:spPr>
    </c:plotArea>
    <c:legend>
      <c:legendPos val="r"/>
      <c:layout>
        <c:manualLayout>
          <c:xMode val="edge"/>
          <c:yMode val="edge"/>
          <c:x val="0.730306477345246"/>
          <c:y val="0.72040953654188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2023年</c:v>
                </c:pt>
              </c:strCache>
            </c:strRef>
          </c:tx>
          <c:spPr>
            <a:solidFill>
              <a:srgbClr val="16697A"/>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财政拨款收、支总计（万元）</c:v>
                </c:pt>
              </c:strCache>
            </c:strRef>
          </c:cat>
          <c:val>
            <c:numRef>
              <c:f>Sheet1!$B$2</c:f>
              <c:numCache>
                <c:formatCode>#,##0.00</c:formatCode>
                <c:ptCount val="1"/>
                <c:pt idx="0">
                  <c:v>1539.81</c:v>
                </c:pt>
              </c:numCache>
            </c:numRef>
          </c:val>
        </c:ser>
        <c:ser>
          <c:idx val="1"/>
          <c:order val="1"/>
          <c:tx>
            <c:strRef>
              <c:f>Sheet1!$C$1</c:f>
              <c:strCache>
                <c:ptCount val="1"/>
                <c:pt idx="0">
                  <c:v>2022年</c:v>
                </c:pt>
              </c:strCache>
            </c:strRef>
          </c:tx>
          <c:spPr>
            <a:solidFill>
              <a:srgbClr val="489FB5"/>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财政拨款收、支总计（万元）</c:v>
                </c:pt>
              </c:strCache>
            </c:strRef>
          </c:cat>
          <c:val>
            <c:numRef>
              <c:f>Sheet1!$C$2</c:f>
              <c:numCache>
                <c:formatCode>#,##0.00</c:formatCode>
                <c:ptCount val="1"/>
                <c:pt idx="0">
                  <c:v>1095.57</c:v>
                </c:pt>
              </c:numCache>
            </c:numRef>
          </c:val>
        </c:ser>
        <c:dLbls>
          <c:showLegendKey val="0"/>
          <c:showVal val="0"/>
          <c:showCatName val="0"/>
          <c:showSerName val="0"/>
          <c:showPercent val="0"/>
          <c:showBubbleSize val="0"/>
        </c:dLbls>
        <c:gapWidth val="150"/>
        <c:overlap val="-25"/>
        <c:axId val="293387403"/>
        <c:axId val="593201142"/>
      </c:barChart>
      <c:catAx>
        <c:axId val="2933874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593201142"/>
        <c:crosses val="autoZero"/>
        <c:auto val="1"/>
        <c:lblAlgn val="ctr"/>
        <c:lblOffset val="100"/>
        <c:noMultiLvlLbl val="0"/>
      </c:catAx>
      <c:valAx>
        <c:axId val="593201142"/>
        <c:scaling>
          <c:orientation val="minMax"/>
        </c:scaling>
        <c:delete val="1"/>
        <c:axPos val="l"/>
        <c:numFmt formatCode="#,##0.00" sourceLinked="1"/>
        <c:majorTickMark val="none"/>
        <c:minorTickMark val="none"/>
        <c:tickLblPos val="nextTo"/>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293387403"/>
        <c:crosses val="autoZero"/>
        <c:crossBetween val="between"/>
      </c:valAx>
      <c:spPr>
        <a:pattFill prst="lgGrid">
          <a:fgClr>
            <a:schemeClr val="bg1">
              <a:lumMod val="95000"/>
            </a:schemeClr>
          </a:fgClr>
          <a:bgClr>
            <a:schemeClr val="bg1"/>
          </a:bgClr>
        </a:patt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a:outerShdw blurRad="63500" dist="37357" dir="2700000" sx="0" sy="0" rotWithShape="0">
        <a:scrgbClr r="0" g="0" b="0"/>
      </a:outerShdw>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88146465321395"/>
          <c:y val="0.248939495423086"/>
          <c:w val="0.847975410931445"/>
          <c:h val="0.622996204509935"/>
        </c:manualLayout>
      </c:layout>
      <c:barChart>
        <c:barDir val="col"/>
        <c:grouping val="clustered"/>
        <c:varyColors val="0"/>
        <c:ser>
          <c:idx val="0"/>
          <c:order val="0"/>
          <c:tx>
            <c:strRef>
              <c:f>Sheet1!$B$1</c:f>
              <c:strCache>
                <c:ptCount val="1"/>
                <c:pt idx="0">
                  <c:v>2023年度</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c:f>
              <c:strCache>
                <c:ptCount val="1"/>
                <c:pt idx="0">
                  <c:v>一般公共预算财政拨款支出（万元）</c:v>
                </c:pt>
              </c:strCache>
            </c:strRef>
          </c:cat>
          <c:val>
            <c:numRef>
              <c:f>Sheet1!$B$2</c:f>
              <c:numCache>
                <c:formatCode>0.00_ </c:formatCode>
                <c:ptCount val="1"/>
                <c:pt idx="0">
                  <c:v>1047.78</c:v>
                </c:pt>
              </c:numCache>
            </c:numRef>
          </c:val>
        </c:ser>
        <c:ser>
          <c:idx val="1"/>
          <c:order val="1"/>
          <c:tx>
            <c:strRef>
              <c:f>Sheet1!$C$1</c:f>
              <c:strCache>
                <c:ptCount val="1"/>
                <c:pt idx="0">
                  <c:v>2022年度</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c:f>
              <c:strCache>
                <c:ptCount val="1"/>
                <c:pt idx="0">
                  <c:v>一般公共预算财政拨款支出（万元）</c:v>
                </c:pt>
              </c:strCache>
            </c:strRef>
          </c:cat>
          <c:val>
            <c:numRef>
              <c:f>Sheet1!$C$2</c:f>
              <c:numCache>
                <c:formatCode>0.00_ </c:formatCode>
                <c:ptCount val="1"/>
                <c:pt idx="0">
                  <c:v>819.24</c:v>
                </c:pt>
              </c:numCache>
            </c:numRef>
          </c:val>
        </c:ser>
        <c:dLbls>
          <c:showLegendKey val="0"/>
          <c:showVal val="1"/>
          <c:showCatName val="0"/>
          <c:showSerName val="0"/>
          <c:showPercent val="0"/>
          <c:showBubbleSize val="0"/>
        </c:dLbls>
        <c:gapWidth val="164"/>
        <c:overlap val="-22"/>
        <c:axId val="787059476"/>
        <c:axId val="26589520"/>
      </c:barChart>
      <c:catAx>
        <c:axId val="787059476"/>
        <c:scaling>
          <c:orientation val="minMax"/>
        </c:scaling>
        <c:delete val="0"/>
        <c:axPos val="b"/>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589520"/>
        <c:crosses val="autoZero"/>
        <c:auto val="1"/>
        <c:lblAlgn val="ctr"/>
        <c:lblOffset val="100"/>
        <c:noMultiLvlLbl val="0"/>
      </c:catAx>
      <c:valAx>
        <c:axId val="26589520"/>
        <c:scaling>
          <c:orientation val="minMax"/>
        </c:scaling>
        <c:delete val="0"/>
        <c:axPos val="l"/>
        <c:majorGridlines>
          <c:spPr>
            <a:ln>
              <a:solidFill>
                <a:schemeClr val="tx1">
                  <a:lumMod val="15000"/>
                  <a:lumOff val="85000"/>
                </a:schemeClr>
              </a:solidFill>
            </a:ln>
            <a:effectLst/>
          </c:spPr>
        </c:majorGridlines>
        <c:numFmt formatCode="0.00_ "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7059476"/>
        <c:crosses val="autoZero"/>
        <c:crossBetween val="between"/>
      </c:valAx>
      <c:spPr>
        <a:noFill/>
        <a:ln>
          <a:noFill/>
        </a:ln>
        <a:effectLst/>
      </c:spPr>
    </c:plotArea>
    <c:legend>
      <c:legendPos val="r"/>
      <c:layout>
        <c:manualLayout>
          <c:xMode val="edge"/>
          <c:yMode val="edge"/>
          <c:x val="0.80525"/>
          <c:y val="0.049666666666666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8415278556041"/>
          <c:y val="0.189230103806228"/>
          <c:w val="0.432823505639325"/>
          <c:h val="0.698096389502181"/>
        </c:manualLayout>
      </c:layout>
      <c:pieChart>
        <c:varyColors val="1"/>
        <c:ser>
          <c:idx val="0"/>
          <c:order val="0"/>
          <c:tx>
            <c:strRef>
              <c:f>Sheet1!$B$1</c:f>
              <c:strCache>
                <c:ptCount val="1"/>
                <c:pt idx="0">
                  <c:v>列1</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Lbls>
            <c:dLbl>
              <c:idx val="0"/>
              <c:layout>
                <c:manualLayout>
                  <c:x val="0.0931653329169256"/>
                  <c:y val="0.0720953344592633"/>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outEnd"/>
            <c:showLegendKey val="1"/>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Sheet1!$A$2:$A$4</c:f>
              <c:strCache>
                <c:ptCount val="3"/>
                <c:pt idx="0">
                  <c:v>社会保障和就业支出</c:v>
                </c:pt>
                <c:pt idx="1">
                  <c:v>卫生健康支出</c:v>
                </c:pt>
                <c:pt idx="2">
                  <c:v>住房保障支出</c:v>
                </c:pt>
              </c:strCache>
            </c:strRef>
          </c:cat>
          <c:val>
            <c:numRef>
              <c:f>Sheet1!$B$2:$B$4</c:f>
              <c:numCache>
                <c:formatCode>#,##0.00</c:formatCode>
                <c:ptCount val="3"/>
                <c:pt idx="0">
                  <c:v>113.21</c:v>
                </c:pt>
                <c:pt idx="1" c:formatCode="General">
                  <c:v>880.66</c:v>
                </c:pt>
                <c:pt idx="2" c:formatCode="General">
                  <c:v>53.9</c:v>
                </c:pt>
              </c:numCache>
            </c:numRef>
          </c:val>
        </c:ser>
        <c:dLbls>
          <c:showLegendKey val="0"/>
          <c:showVal val="1"/>
          <c:showCatName val="0"/>
          <c:showSerName val="0"/>
          <c:showPercent val="0"/>
          <c:showBubbleSize val="0"/>
          <c:showLeaderLines val="0"/>
        </c:dLbls>
        <c:firstSliceAng val="0"/>
      </c:pieChart>
      <c:spPr>
        <a:noFill/>
        <a:ln>
          <a:noFill/>
        </a:ln>
        <a:effectLst/>
      </c:spPr>
    </c:plotArea>
    <c:legend>
      <c:legendPos val="r"/>
      <c:layout>
        <c:manualLayout>
          <c:xMode val="edge"/>
          <c:yMode val="edge"/>
          <c:x val="0.741"/>
          <c:y val="0.04990041910667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8415278556041"/>
          <c:y val="0.189230103806228"/>
          <c:w val="0.432823505639325"/>
          <c:h val="0.698096389502181"/>
        </c:manualLayout>
      </c:layout>
      <c:pieChart>
        <c:varyColors val="1"/>
        <c:ser>
          <c:idx val="0"/>
          <c:order val="0"/>
          <c:tx>
            <c:strRef>
              <c:f>Sheet1!$B$1</c:f>
              <c:strCache>
                <c:ptCount val="1"/>
                <c:pt idx="0">
                  <c:v>列1</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Lbls>
            <c:dLbl>
              <c:idx val="0"/>
              <c:layout>
                <c:manualLayout>
                  <c:x val="0.0671748978013485"/>
                  <c:y val="0.100090802041633"/>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1"/>
              <c:layout>
                <c:manualLayout>
                  <c:x val="-0.13773701800906"/>
                  <c:y val="0.128285273591007"/>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2"/>
              <c:layout>
                <c:manualLayout>
                  <c:x val="-0.11942034029389"/>
                  <c:y val="0.0513236329237169"/>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outEnd"/>
            <c:showLegendKey val="1"/>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1">
                  <c:v>2.31</c:v>
                </c:pt>
                <c:pt idx="2">
                  <c:v>0.96</c:v>
                </c:pt>
              </c:numCache>
            </c:numRef>
          </c:val>
        </c:ser>
        <c:dLbls>
          <c:showLegendKey val="0"/>
          <c:showVal val="1"/>
          <c:showCatName val="0"/>
          <c:showSerName val="0"/>
          <c:showPercent val="0"/>
          <c:showBubbleSize val="0"/>
          <c:showLeaderLines val="0"/>
        </c:dLbls>
        <c:firstSliceAng val="0"/>
      </c:pieChart>
      <c:spPr>
        <a:noFill/>
        <a:ln>
          <a:noFill/>
        </a:ln>
        <a:effectLst/>
      </c:spPr>
    </c:plotArea>
    <c:legend>
      <c:legendPos val="r"/>
      <c:layout>
        <c:manualLayout>
          <c:xMode val="edge"/>
          <c:yMode val="edge"/>
          <c:x val="0.665009391227489"/>
          <c:y val="0.0499043367346939"/>
          <c:w val="0.327256656723014"/>
          <c:h val="0.15098852040816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30</Pages>
  <Words>11133</Words>
  <Characters>12515</Characters>
  <Lines>61</Lines>
  <Paragraphs>17</Paragraphs>
  <TotalTime>20</TotalTime>
  <ScaleCrop>false</ScaleCrop>
  <LinksUpToDate>false</LinksUpToDate>
  <CharactersWithSpaces>12698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叮呤</cp:lastModifiedBy>
  <cp:lastPrinted>2022-08-06T02:23:00Z</cp:lastPrinted>
  <dcterms:modified xsi:type="dcterms:W3CDTF">2024-10-12T07:28:54Z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162D1D77B287466699A3CDC23FBF2C60_13</vt:lpwstr>
  </property>
</Properties>
</file>