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5053A">
      <w:pPr>
        <w:spacing w:line="360" w:lineRule="auto"/>
        <w:ind w:firstLine="0" w:firstLineChars="0"/>
        <w:jc w:val="center"/>
        <w:rPr>
          <w:rFonts w:hint="eastAsia" w:ascii="Times New Roman" w:hAnsi="Times New Roman" w:cs="Times New Roman" w:eastAsiaTheme="minorEastAsia"/>
          <w:b/>
          <w:sz w:val="44"/>
          <w:szCs w:val="44"/>
        </w:rPr>
      </w:pPr>
    </w:p>
    <w:p w14:paraId="06293A0A">
      <w:pPr>
        <w:spacing w:line="360" w:lineRule="auto"/>
        <w:ind w:firstLine="0" w:firstLineChars="0"/>
        <w:jc w:val="center"/>
        <w:rPr>
          <w:rFonts w:hint="eastAsia" w:ascii="楷体" w:hAnsi="楷体" w:eastAsia="楷体" w:cs="楷体"/>
          <w:sz w:val="72"/>
          <w:szCs w:val="72"/>
        </w:rPr>
      </w:pPr>
      <w:r>
        <w:rPr>
          <w:rFonts w:hint="eastAsia" w:ascii="楷体" w:hAnsi="楷体" w:eastAsia="楷体" w:cs="楷体"/>
          <w:b/>
          <w:bCs/>
          <w:spacing w:val="-57"/>
          <w:kern w:val="0"/>
          <w:sz w:val="72"/>
          <w:szCs w:val="72"/>
          <w:lang w:val="en-US" w:eastAsia="zh-CN" w:bidi="ar-SA"/>
        </w:rPr>
        <w:t>马边县矿产资源“十五五”规</w:t>
      </w:r>
      <w:r>
        <w:rPr>
          <w:rFonts w:hint="eastAsia" w:ascii="楷体" w:hAnsi="楷体" w:eastAsia="楷体" w:cs="楷体"/>
          <w:b/>
          <w:bCs/>
          <w:sz w:val="72"/>
          <w:szCs w:val="72"/>
        </w:rPr>
        <w:t>划</w:t>
      </w:r>
    </w:p>
    <w:p w14:paraId="5209D83C">
      <w:pPr>
        <w:spacing w:line="360" w:lineRule="auto"/>
        <w:ind w:firstLine="0" w:firstLineChars="0"/>
        <w:jc w:val="center"/>
        <w:rPr>
          <w:rFonts w:ascii="方正小标宋简体" w:hAnsi="仿宋" w:eastAsia="方正小标宋简体"/>
          <w:b/>
          <w:sz w:val="36"/>
          <w:szCs w:val="36"/>
        </w:rPr>
      </w:pPr>
    </w:p>
    <w:p w14:paraId="0886D6FE">
      <w:pPr>
        <w:spacing w:line="360" w:lineRule="auto"/>
        <w:ind w:firstLine="0" w:firstLineChars="0"/>
        <w:jc w:val="center"/>
        <w:rPr>
          <w:rFonts w:ascii="方正小标宋简体" w:hAnsi="仿宋" w:eastAsia="方正小标宋简体"/>
          <w:b/>
          <w:sz w:val="36"/>
          <w:szCs w:val="36"/>
        </w:rPr>
      </w:pPr>
    </w:p>
    <w:p w14:paraId="6B5D4BF5">
      <w:pPr>
        <w:ind w:firstLine="0" w:firstLineChars="0"/>
        <w:jc w:val="center"/>
        <w:rPr>
          <w:rFonts w:ascii="方正小标宋简体" w:hAnsi="仿宋" w:eastAsia="方正小标宋简体"/>
          <w:b/>
          <w:sz w:val="36"/>
          <w:szCs w:val="36"/>
        </w:rPr>
      </w:pPr>
    </w:p>
    <w:p w14:paraId="7ADB3F7E">
      <w:pPr>
        <w:ind w:firstLine="0" w:firstLineChars="0"/>
        <w:jc w:val="center"/>
        <w:rPr>
          <w:rFonts w:ascii="方正小标宋简体" w:hAnsi="仿宋" w:eastAsia="方正小标宋简体"/>
          <w:b/>
          <w:sz w:val="36"/>
          <w:szCs w:val="36"/>
        </w:rPr>
      </w:pPr>
    </w:p>
    <w:p w14:paraId="7C46BF85">
      <w:pPr>
        <w:ind w:firstLine="0" w:firstLineChars="0"/>
        <w:jc w:val="center"/>
        <w:rPr>
          <w:rFonts w:ascii="方正小标宋简体" w:hAnsi="仿宋" w:eastAsia="方正小标宋简体"/>
          <w:b/>
          <w:sz w:val="36"/>
          <w:szCs w:val="36"/>
        </w:rPr>
      </w:pPr>
    </w:p>
    <w:p w14:paraId="74A45323">
      <w:pPr>
        <w:ind w:firstLine="0" w:firstLineChars="0"/>
        <w:jc w:val="center"/>
        <w:rPr>
          <w:rFonts w:ascii="方正小标宋简体" w:hAnsi="仿宋" w:eastAsia="方正小标宋简体"/>
          <w:b/>
          <w:sz w:val="36"/>
          <w:szCs w:val="36"/>
        </w:rPr>
      </w:pPr>
    </w:p>
    <w:p w14:paraId="01EDB39E">
      <w:pPr>
        <w:ind w:firstLine="0" w:firstLineChars="0"/>
        <w:jc w:val="center"/>
        <w:rPr>
          <w:rFonts w:ascii="方正小标宋简体" w:hAnsi="仿宋" w:eastAsia="方正小标宋简体"/>
          <w:b/>
          <w:sz w:val="36"/>
          <w:szCs w:val="36"/>
        </w:rPr>
      </w:pPr>
    </w:p>
    <w:p w14:paraId="1635BDC5">
      <w:pPr>
        <w:spacing w:line="360" w:lineRule="auto"/>
        <w:ind w:firstLine="0" w:firstLineChars="0"/>
        <w:jc w:val="center"/>
        <w:rPr>
          <w:rFonts w:hint="eastAsia" w:ascii="Times New Roman" w:hAnsi="Times New Roman" w:eastAsia="黑体" w:cs="Times New Roman"/>
          <w:b/>
          <w:sz w:val="44"/>
          <w:szCs w:val="44"/>
          <w:lang w:eastAsia="zh-CN"/>
        </w:rPr>
      </w:pPr>
      <w:r>
        <w:rPr>
          <w:rFonts w:hint="eastAsia" w:ascii="Times New Roman" w:hAnsi="Times New Roman" w:eastAsia="黑体" w:cs="Times New Roman"/>
          <w:b/>
          <w:sz w:val="44"/>
          <w:szCs w:val="44"/>
          <w:lang w:eastAsia="zh-CN"/>
        </w:rPr>
        <w:t>（</w:t>
      </w:r>
      <w:r>
        <w:rPr>
          <w:rFonts w:hint="eastAsia" w:ascii="Times New Roman" w:hAnsi="Times New Roman" w:eastAsia="黑体" w:cs="Times New Roman"/>
          <w:b/>
          <w:sz w:val="44"/>
          <w:szCs w:val="44"/>
          <w:lang w:val="en-US" w:eastAsia="zh-CN"/>
        </w:rPr>
        <w:t>征求意见稿</w:t>
      </w:r>
      <w:r>
        <w:rPr>
          <w:rFonts w:hint="eastAsia" w:ascii="Times New Roman" w:hAnsi="Times New Roman" w:eastAsia="黑体" w:cs="Times New Roman"/>
          <w:b/>
          <w:sz w:val="44"/>
          <w:szCs w:val="44"/>
          <w:lang w:eastAsia="zh-CN"/>
        </w:rPr>
        <w:t>）</w:t>
      </w:r>
    </w:p>
    <w:p w14:paraId="26FE3182">
      <w:pPr>
        <w:ind w:firstLine="720"/>
        <w:rPr>
          <w:rFonts w:ascii="方正小标宋简体" w:hAnsi="仿宋" w:eastAsia="方正小标宋简体"/>
          <w:b/>
          <w:sz w:val="36"/>
          <w:szCs w:val="36"/>
        </w:rPr>
      </w:pPr>
    </w:p>
    <w:p w14:paraId="2B4A0670">
      <w:pPr>
        <w:ind w:firstLine="562"/>
        <w:rPr>
          <w:rFonts w:ascii="仿宋" w:hAnsi="仿宋"/>
          <w:b/>
          <w:sz w:val="28"/>
          <w:szCs w:val="28"/>
        </w:rPr>
      </w:pPr>
    </w:p>
    <w:p w14:paraId="26BDF17B">
      <w:pPr>
        <w:ind w:firstLine="562"/>
        <w:rPr>
          <w:rFonts w:ascii="仿宋" w:hAnsi="仿宋"/>
          <w:b/>
          <w:sz w:val="28"/>
          <w:szCs w:val="28"/>
        </w:rPr>
      </w:pPr>
    </w:p>
    <w:p w14:paraId="52FB5B42">
      <w:pPr>
        <w:ind w:firstLine="562"/>
        <w:rPr>
          <w:rFonts w:ascii="仿宋" w:hAnsi="仿宋"/>
          <w:b/>
          <w:sz w:val="28"/>
          <w:szCs w:val="28"/>
        </w:rPr>
      </w:pPr>
    </w:p>
    <w:p w14:paraId="2B6DAE25">
      <w:pPr>
        <w:ind w:firstLine="562"/>
        <w:rPr>
          <w:rFonts w:ascii="仿宋" w:hAnsi="仿宋"/>
          <w:b/>
          <w:sz w:val="28"/>
          <w:szCs w:val="28"/>
        </w:rPr>
      </w:pPr>
    </w:p>
    <w:p w14:paraId="0AAB5BFE">
      <w:pPr>
        <w:ind w:firstLine="562"/>
        <w:rPr>
          <w:rFonts w:ascii="仿宋" w:hAnsi="仿宋"/>
          <w:b/>
          <w:sz w:val="28"/>
          <w:szCs w:val="28"/>
        </w:rPr>
      </w:pPr>
    </w:p>
    <w:p w14:paraId="0D4A7F68">
      <w:pPr>
        <w:ind w:firstLine="562"/>
        <w:rPr>
          <w:rFonts w:hint="eastAsia" w:ascii="仿宋" w:hAnsi="仿宋"/>
          <w:b/>
          <w:sz w:val="28"/>
          <w:szCs w:val="28"/>
        </w:rPr>
      </w:pPr>
    </w:p>
    <w:p w14:paraId="10FA5661">
      <w:pPr>
        <w:ind w:firstLine="562"/>
        <w:rPr>
          <w:rFonts w:ascii="仿宋" w:hAnsi="仿宋"/>
          <w:b/>
          <w:sz w:val="28"/>
          <w:szCs w:val="28"/>
        </w:rPr>
      </w:pPr>
    </w:p>
    <w:p w14:paraId="6ED08174">
      <w:pPr>
        <w:spacing w:line="360" w:lineRule="auto"/>
        <w:ind w:firstLine="0" w:firstLineChars="0"/>
        <w:jc w:val="center"/>
        <w:rPr>
          <w:rFonts w:ascii="黑体" w:hAnsi="黑体" w:eastAsia="黑体"/>
          <w:sz w:val="36"/>
          <w:szCs w:val="44"/>
        </w:rPr>
      </w:pPr>
      <w:r>
        <w:rPr>
          <w:rFonts w:hint="eastAsia" w:ascii="黑体" w:hAnsi="黑体" w:eastAsia="黑体"/>
          <w:sz w:val="36"/>
          <w:szCs w:val="44"/>
          <w:lang w:val="en-US" w:eastAsia="zh-CN"/>
        </w:rPr>
        <w:t>马边</w:t>
      </w:r>
      <w:r>
        <w:rPr>
          <w:rFonts w:hint="eastAsia" w:ascii="黑体" w:hAnsi="黑体" w:eastAsia="黑体"/>
          <w:sz w:val="36"/>
          <w:szCs w:val="44"/>
        </w:rPr>
        <w:t>县人民政府</w:t>
      </w:r>
    </w:p>
    <w:p w14:paraId="50034483">
      <w:pPr>
        <w:spacing w:line="360" w:lineRule="auto"/>
        <w:ind w:firstLine="0" w:firstLineChars="0"/>
        <w:jc w:val="center"/>
        <w:rPr>
          <w:b/>
          <w:bCs/>
          <w:sz w:val="36"/>
          <w:szCs w:val="36"/>
        </w:rPr>
      </w:pPr>
      <w:r>
        <w:rPr>
          <w:rFonts w:hint="eastAsia" w:ascii="黑体" w:hAnsi="黑体" w:eastAsia="黑体"/>
          <w:sz w:val="36"/>
          <w:szCs w:val="44"/>
        </w:rPr>
        <w:t>二〇二</w:t>
      </w:r>
      <w:r>
        <w:rPr>
          <w:rFonts w:hint="eastAsia" w:ascii="黑体" w:hAnsi="黑体" w:eastAsia="黑体"/>
          <w:sz w:val="36"/>
          <w:szCs w:val="44"/>
          <w:lang w:val="en-US" w:eastAsia="zh-CN"/>
        </w:rPr>
        <w:t>六</w:t>
      </w:r>
      <w:r>
        <w:rPr>
          <w:rFonts w:hint="eastAsia" w:ascii="黑体" w:hAnsi="黑体" w:eastAsia="黑体"/>
          <w:sz w:val="36"/>
          <w:szCs w:val="44"/>
        </w:rPr>
        <w:t>年</w:t>
      </w:r>
      <w:r>
        <w:rPr>
          <w:rFonts w:hint="eastAsia" w:ascii="黑体" w:hAnsi="黑体" w:eastAsia="黑体"/>
          <w:sz w:val="36"/>
          <w:szCs w:val="44"/>
          <w:lang w:val="en-US" w:eastAsia="zh-CN"/>
        </w:rPr>
        <w:t>五</w:t>
      </w:r>
      <w:r>
        <w:rPr>
          <w:rFonts w:hint="eastAsia" w:ascii="黑体" w:hAnsi="黑体" w:eastAsia="黑体"/>
          <w:sz w:val="36"/>
          <w:szCs w:val="44"/>
        </w:rPr>
        <w:t>月</w:t>
      </w:r>
      <w:r>
        <w:rPr>
          <w:rFonts w:ascii="黑体" w:hAnsi="黑体" w:eastAsia="黑体"/>
          <w:sz w:val="36"/>
          <w:szCs w:val="44"/>
        </w:rPr>
        <w:br w:type="page"/>
      </w:r>
      <w:r>
        <w:rPr>
          <w:rFonts w:hint="eastAsia" w:ascii="仿宋_GB2312" w:eastAsia="仿宋_GB2312"/>
          <w:b/>
          <w:bCs/>
          <w:sz w:val="36"/>
          <w:szCs w:val="36"/>
          <w:lang w:val="en-US" w:eastAsia="zh-CN"/>
        </w:rPr>
        <w:t>马边</w:t>
      </w:r>
      <w:r>
        <w:rPr>
          <w:rFonts w:hint="eastAsia" w:ascii="仿宋_GB2312" w:eastAsia="仿宋_GB2312"/>
          <w:b/>
          <w:bCs/>
          <w:sz w:val="36"/>
          <w:szCs w:val="36"/>
        </w:rPr>
        <w:t>县矿产资源</w:t>
      </w:r>
      <w:r>
        <w:rPr>
          <w:rFonts w:hint="eastAsia" w:ascii="仿宋_GB2312" w:eastAsia="仿宋_GB2312"/>
          <w:b/>
          <w:bCs/>
          <w:sz w:val="36"/>
          <w:szCs w:val="36"/>
          <w:lang w:eastAsia="zh-CN"/>
        </w:rPr>
        <w:t>“</w:t>
      </w:r>
      <w:r>
        <w:rPr>
          <w:rFonts w:hint="eastAsia" w:ascii="仿宋_GB2312" w:eastAsia="仿宋_GB2312"/>
          <w:b/>
          <w:bCs/>
          <w:sz w:val="36"/>
          <w:szCs w:val="36"/>
        </w:rPr>
        <w:t>十五五</w:t>
      </w:r>
      <w:r>
        <w:rPr>
          <w:rFonts w:hint="eastAsia" w:ascii="仿宋_GB2312" w:eastAsia="仿宋_GB2312"/>
          <w:b/>
          <w:bCs/>
          <w:sz w:val="36"/>
          <w:szCs w:val="36"/>
          <w:lang w:eastAsia="zh-CN"/>
        </w:rPr>
        <w:t>”</w:t>
      </w:r>
      <w:r>
        <w:rPr>
          <w:rFonts w:hint="eastAsia" w:ascii="仿宋_GB2312" w:eastAsia="仿宋_GB2312"/>
          <w:b/>
          <w:bCs/>
          <w:sz w:val="36"/>
          <w:szCs w:val="36"/>
        </w:rPr>
        <w:t>规划</w:t>
      </w:r>
    </w:p>
    <w:tbl>
      <w:tblPr>
        <w:tblStyle w:val="42"/>
        <w:tblW w:w="484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28" w:type="dxa"/>
          <w:bottom w:w="0" w:type="dxa"/>
          <w:right w:w="28" w:type="dxa"/>
        </w:tblCellMar>
      </w:tblPr>
      <w:tblGrid>
        <w:gridCol w:w="1414"/>
        <w:gridCol w:w="7392"/>
      </w:tblGrid>
      <w:tr w14:paraId="28D3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jc w:val="center"/>
        </w:trPr>
        <w:tc>
          <w:tcPr>
            <w:tcW w:w="5000" w:type="pct"/>
            <w:gridSpan w:val="2"/>
            <w:vAlign w:val="center"/>
          </w:tcPr>
          <w:p w14:paraId="41C7CB6C">
            <w:pPr>
              <w:ind w:firstLine="0" w:firstLineChars="0"/>
              <w:jc w:val="center"/>
              <w:rPr>
                <w:rFonts w:ascii="Calibri" w:hAnsi="仿宋"/>
                <w:b/>
                <w:bCs/>
                <w:snapToGrid w:val="0"/>
                <w:kern w:val="0"/>
                <w:sz w:val="24"/>
              </w:rPr>
            </w:pPr>
          </w:p>
        </w:tc>
      </w:tr>
      <w:tr w14:paraId="4B474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jc w:val="center"/>
        </w:trPr>
        <w:tc>
          <w:tcPr>
            <w:tcW w:w="5000" w:type="pct"/>
            <w:gridSpan w:val="2"/>
            <w:vAlign w:val="center"/>
          </w:tcPr>
          <w:p w14:paraId="76E7FD12">
            <w:pPr>
              <w:ind w:firstLine="0" w:firstLineChars="0"/>
              <w:jc w:val="center"/>
              <w:rPr>
                <w:rFonts w:ascii="Calibri" w:hAnsi="仿宋"/>
                <w:b/>
                <w:bCs/>
                <w:snapToGrid w:val="0"/>
                <w:kern w:val="0"/>
                <w:sz w:val="24"/>
              </w:rPr>
            </w:pPr>
          </w:p>
          <w:p w14:paraId="54914B39">
            <w:pPr>
              <w:ind w:firstLine="0" w:firstLineChars="0"/>
              <w:jc w:val="center"/>
              <w:rPr>
                <w:rFonts w:ascii="Calibri" w:hAnsi="仿宋"/>
                <w:b/>
                <w:bCs/>
                <w:snapToGrid w:val="0"/>
                <w:kern w:val="0"/>
                <w:sz w:val="24"/>
              </w:rPr>
            </w:pPr>
          </w:p>
          <w:p w14:paraId="215E8948">
            <w:pPr>
              <w:ind w:firstLine="0" w:firstLineChars="0"/>
              <w:jc w:val="center"/>
              <w:rPr>
                <w:rFonts w:ascii="Calibri" w:hAnsi="仿宋"/>
                <w:b/>
                <w:bCs/>
                <w:snapToGrid w:val="0"/>
                <w:kern w:val="0"/>
                <w:sz w:val="24"/>
              </w:rPr>
            </w:pPr>
          </w:p>
          <w:p w14:paraId="1F479A3F">
            <w:pPr>
              <w:ind w:firstLine="0" w:firstLineChars="0"/>
              <w:jc w:val="center"/>
              <w:rPr>
                <w:rFonts w:ascii="Calibri" w:hAnsi="仿宋"/>
                <w:b/>
                <w:bCs/>
                <w:snapToGrid w:val="0"/>
                <w:kern w:val="0"/>
                <w:sz w:val="24"/>
              </w:rPr>
            </w:pPr>
          </w:p>
          <w:p w14:paraId="16E87C91">
            <w:pPr>
              <w:ind w:firstLine="0" w:firstLineChars="0"/>
              <w:jc w:val="center"/>
              <w:rPr>
                <w:rFonts w:ascii="Calibri" w:hAnsi="仿宋"/>
                <w:b/>
                <w:bCs/>
                <w:snapToGrid w:val="0"/>
                <w:kern w:val="0"/>
                <w:sz w:val="24"/>
              </w:rPr>
            </w:pPr>
          </w:p>
          <w:p w14:paraId="6D773E77">
            <w:pPr>
              <w:ind w:firstLine="0" w:firstLineChars="0"/>
              <w:jc w:val="center"/>
              <w:rPr>
                <w:rFonts w:ascii="Calibri" w:hAnsi="仿宋"/>
                <w:b/>
                <w:bCs/>
                <w:snapToGrid w:val="0"/>
                <w:kern w:val="0"/>
                <w:sz w:val="24"/>
              </w:rPr>
            </w:pPr>
          </w:p>
          <w:p w14:paraId="4B3A5BD1">
            <w:pPr>
              <w:ind w:firstLine="0" w:firstLineChars="0"/>
              <w:jc w:val="center"/>
              <w:rPr>
                <w:rFonts w:ascii="Calibri" w:hAnsi="仿宋"/>
                <w:b/>
                <w:bCs/>
                <w:snapToGrid w:val="0"/>
                <w:kern w:val="0"/>
                <w:sz w:val="24"/>
              </w:rPr>
            </w:pPr>
          </w:p>
          <w:p w14:paraId="7723CBA8">
            <w:pPr>
              <w:ind w:firstLine="0" w:firstLineChars="0"/>
              <w:jc w:val="center"/>
              <w:rPr>
                <w:rFonts w:ascii="Calibri" w:hAnsi="仿宋"/>
                <w:b/>
                <w:bCs/>
                <w:snapToGrid w:val="0"/>
                <w:kern w:val="0"/>
                <w:sz w:val="24"/>
              </w:rPr>
            </w:pPr>
          </w:p>
          <w:p w14:paraId="76D02F48">
            <w:pPr>
              <w:ind w:firstLine="0" w:firstLineChars="0"/>
              <w:jc w:val="center"/>
              <w:rPr>
                <w:rFonts w:ascii="Calibri" w:hAnsi="仿宋"/>
                <w:b/>
                <w:bCs/>
                <w:snapToGrid w:val="0"/>
                <w:kern w:val="0"/>
                <w:sz w:val="24"/>
              </w:rPr>
            </w:pPr>
          </w:p>
          <w:p w14:paraId="36146678">
            <w:pPr>
              <w:ind w:firstLine="0" w:firstLineChars="0"/>
              <w:jc w:val="center"/>
              <w:rPr>
                <w:rFonts w:ascii="Calibri" w:hAnsi="仿宋"/>
                <w:b/>
                <w:bCs/>
                <w:snapToGrid w:val="0"/>
                <w:kern w:val="0"/>
                <w:sz w:val="24"/>
              </w:rPr>
            </w:pPr>
          </w:p>
          <w:p w14:paraId="3643822B">
            <w:pPr>
              <w:ind w:firstLine="0" w:firstLineChars="0"/>
              <w:jc w:val="center"/>
              <w:rPr>
                <w:rFonts w:ascii="Calibri" w:hAnsi="仿宋"/>
                <w:b/>
                <w:bCs/>
                <w:snapToGrid w:val="0"/>
                <w:kern w:val="0"/>
                <w:sz w:val="24"/>
              </w:rPr>
            </w:pPr>
          </w:p>
          <w:p w14:paraId="44C7ABDC">
            <w:pPr>
              <w:ind w:firstLine="0" w:firstLineChars="0"/>
              <w:jc w:val="center"/>
              <w:rPr>
                <w:rFonts w:ascii="Calibri" w:hAnsi="仿宋"/>
                <w:b/>
                <w:bCs/>
                <w:snapToGrid w:val="0"/>
                <w:kern w:val="0"/>
                <w:sz w:val="24"/>
              </w:rPr>
            </w:pPr>
          </w:p>
          <w:p w14:paraId="1E8C0789">
            <w:pPr>
              <w:ind w:firstLine="0" w:firstLineChars="0"/>
              <w:jc w:val="center"/>
              <w:rPr>
                <w:rFonts w:ascii="Calibri" w:hAnsi="仿宋"/>
                <w:b/>
                <w:bCs/>
                <w:snapToGrid w:val="0"/>
                <w:kern w:val="0"/>
                <w:sz w:val="24"/>
              </w:rPr>
            </w:pPr>
          </w:p>
          <w:p w14:paraId="173E4126">
            <w:pPr>
              <w:ind w:firstLine="0" w:firstLineChars="0"/>
              <w:jc w:val="center"/>
              <w:rPr>
                <w:rFonts w:ascii="Calibri" w:hAnsi="仿宋"/>
                <w:b/>
                <w:bCs/>
                <w:snapToGrid w:val="0"/>
                <w:kern w:val="0"/>
                <w:sz w:val="24"/>
              </w:rPr>
            </w:pPr>
          </w:p>
          <w:p w14:paraId="63BD0CA2">
            <w:pPr>
              <w:ind w:firstLine="0" w:firstLineChars="0"/>
              <w:jc w:val="center"/>
              <w:rPr>
                <w:rFonts w:ascii="Calibri" w:hAnsi="仿宋"/>
                <w:b/>
                <w:bCs/>
                <w:snapToGrid w:val="0"/>
                <w:kern w:val="0"/>
                <w:sz w:val="24"/>
              </w:rPr>
            </w:pPr>
          </w:p>
          <w:p w14:paraId="6A4B80E0">
            <w:pPr>
              <w:ind w:firstLine="0" w:firstLineChars="0"/>
              <w:jc w:val="center"/>
              <w:rPr>
                <w:rFonts w:ascii="Calibri" w:hAnsi="仿宋"/>
                <w:b/>
                <w:bCs/>
                <w:snapToGrid w:val="0"/>
                <w:kern w:val="0"/>
                <w:sz w:val="24"/>
              </w:rPr>
            </w:pPr>
          </w:p>
          <w:p w14:paraId="48CC962B">
            <w:pPr>
              <w:ind w:firstLine="0" w:firstLineChars="0"/>
              <w:jc w:val="center"/>
              <w:rPr>
                <w:rFonts w:ascii="Calibri" w:hAnsi="仿宋"/>
                <w:b/>
                <w:bCs/>
                <w:snapToGrid w:val="0"/>
                <w:kern w:val="0"/>
                <w:sz w:val="24"/>
              </w:rPr>
            </w:pPr>
          </w:p>
          <w:p w14:paraId="0C5AB9F6">
            <w:pPr>
              <w:ind w:firstLine="0" w:firstLineChars="0"/>
              <w:jc w:val="center"/>
              <w:rPr>
                <w:rFonts w:ascii="Calibri" w:hAnsi="仿宋"/>
                <w:b/>
                <w:bCs/>
                <w:snapToGrid w:val="0"/>
                <w:kern w:val="0"/>
                <w:sz w:val="24"/>
              </w:rPr>
            </w:pPr>
          </w:p>
          <w:p w14:paraId="274C0A7D">
            <w:pPr>
              <w:ind w:firstLine="0" w:firstLineChars="0"/>
              <w:jc w:val="center"/>
              <w:rPr>
                <w:rFonts w:ascii="Calibri" w:hAnsi="仿宋"/>
                <w:b/>
                <w:bCs/>
                <w:snapToGrid w:val="0"/>
                <w:kern w:val="0"/>
                <w:sz w:val="24"/>
              </w:rPr>
            </w:pPr>
          </w:p>
          <w:p w14:paraId="3CE48796">
            <w:pPr>
              <w:ind w:firstLine="0" w:firstLineChars="0"/>
              <w:rPr>
                <w:rFonts w:hint="default" w:ascii="Calibri" w:hAnsi="仿宋" w:eastAsia="仿宋"/>
                <w:b/>
                <w:bCs/>
                <w:snapToGrid w:val="0"/>
                <w:kern w:val="0"/>
                <w:sz w:val="24"/>
                <w:lang w:val="en-US" w:eastAsia="zh-CN"/>
              </w:rPr>
            </w:pPr>
            <w:r>
              <w:rPr>
                <w:rFonts w:hint="eastAsia" w:ascii="Calibri" w:hAnsi="仿宋"/>
                <w:b/>
                <w:bCs/>
                <w:snapToGrid w:val="0"/>
                <w:kern w:val="0"/>
                <w:sz w:val="24"/>
              </w:rPr>
              <w:t>编制工作技术单位：四川省</w:t>
            </w:r>
            <w:r>
              <w:rPr>
                <w:rFonts w:hint="eastAsia" w:ascii="Calibri" w:hAnsi="仿宋"/>
                <w:b/>
                <w:bCs/>
                <w:snapToGrid w:val="0"/>
                <w:kern w:val="0"/>
                <w:sz w:val="24"/>
                <w:lang w:val="en-US" w:eastAsia="zh-CN"/>
              </w:rPr>
              <w:t>第七地质大队</w:t>
            </w:r>
          </w:p>
          <w:p w14:paraId="26325CA3">
            <w:pPr>
              <w:ind w:firstLine="0" w:firstLineChars="0"/>
              <w:rPr>
                <w:rFonts w:ascii="Calibri" w:hAnsi="仿宋"/>
                <w:b/>
                <w:bCs/>
                <w:snapToGrid w:val="0"/>
                <w:kern w:val="0"/>
                <w:sz w:val="24"/>
              </w:rPr>
            </w:pPr>
          </w:p>
          <w:p w14:paraId="75189634">
            <w:pPr>
              <w:ind w:firstLine="0" w:firstLineChars="0"/>
              <w:rPr>
                <w:rFonts w:ascii="Calibri" w:hAnsi="仿宋"/>
                <w:b/>
                <w:bCs/>
                <w:snapToGrid w:val="0"/>
                <w:kern w:val="0"/>
                <w:sz w:val="24"/>
              </w:rPr>
            </w:pPr>
            <w:r>
              <w:rPr>
                <w:rFonts w:ascii="Calibri" w:hAnsi="仿宋"/>
                <w:b/>
                <w:bCs/>
                <w:snapToGrid w:val="0"/>
                <w:kern w:val="0"/>
                <w:sz w:val="24"/>
              </w:rPr>
              <w:t>编制工作</w:t>
            </w:r>
            <w:r>
              <w:rPr>
                <w:rFonts w:hint="eastAsia" w:ascii="Calibri" w:hAnsi="仿宋"/>
                <w:b/>
                <w:bCs/>
                <w:snapToGrid w:val="0"/>
                <w:kern w:val="0"/>
                <w:sz w:val="24"/>
              </w:rPr>
              <w:t>技术小</w:t>
            </w:r>
            <w:r>
              <w:rPr>
                <w:rFonts w:ascii="Calibri" w:hAnsi="仿宋"/>
                <w:b/>
                <w:bCs/>
                <w:snapToGrid w:val="0"/>
                <w:kern w:val="0"/>
                <w:sz w:val="24"/>
              </w:rPr>
              <w:t>组成员名单</w:t>
            </w:r>
          </w:p>
        </w:tc>
      </w:tr>
      <w:tr w14:paraId="58ABA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jc w:val="center"/>
        </w:trPr>
        <w:tc>
          <w:tcPr>
            <w:tcW w:w="1414" w:type="dxa"/>
            <w:vAlign w:val="center"/>
          </w:tcPr>
          <w:p w14:paraId="07F7390A">
            <w:pPr>
              <w:spacing w:before="156" w:beforeLines="50" w:line="240" w:lineRule="auto"/>
              <w:ind w:firstLine="0" w:firstLineChars="0"/>
              <w:jc w:val="distribute"/>
              <w:rPr>
                <w:rFonts w:asciiTheme="minorEastAsia" w:hAnsiTheme="minorEastAsia"/>
                <w:b/>
                <w:bCs/>
                <w:kern w:val="0"/>
                <w:sz w:val="24"/>
              </w:rPr>
            </w:pPr>
            <w:r>
              <w:rPr>
                <w:rFonts w:hint="eastAsia" w:ascii="宋体" w:hAnsi="宋体" w:eastAsia="仿宋" w:cs="Times New Roman"/>
                <w:b/>
                <w:snapToGrid w:val="0"/>
                <w:sz w:val="24"/>
                <w:szCs w:val="24"/>
              </w:rPr>
              <w:t>组长</w:t>
            </w:r>
          </w:p>
        </w:tc>
        <w:tc>
          <w:tcPr>
            <w:tcW w:w="7392" w:type="dxa"/>
            <w:vAlign w:val="center"/>
          </w:tcPr>
          <w:p w14:paraId="3253ECAE">
            <w:pPr>
              <w:spacing w:before="156" w:beforeLines="50" w:line="240" w:lineRule="auto"/>
              <w:ind w:firstLine="480" w:firstLineChars="200"/>
              <w:rPr>
                <w:rFonts w:hint="eastAsia" w:eastAsia="仿宋" w:asciiTheme="minorEastAsia" w:hAnsiTheme="minorEastAsia"/>
                <w:kern w:val="0"/>
                <w:sz w:val="24"/>
                <w:lang w:eastAsia="zh-CN"/>
              </w:rPr>
            </w:pPr>
            <w:r>
              <w:rPr>
                <w:rFonts w:hint="eastAsia" w:ascii="宋体" w:hAnsi="宋体" w:cs="Times New Roman"/>
                <w:sz w:val="24"/>
                <w:szCs w:val="24"/>
              </w:rPr>
              <w:t>陈敏</w:t>
            </w:r>
          </w:p>
        </w:tc>
      </w:tr>
      <w:tr w14:paraId="3F0B63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jc w:val="center"/>
        </w:trPr>
        <w:tc>
          <w:tcPr>
            <w:tcW w:w="1414" w:type="dxa"/>
            <w:vAlign w:val="center"/>
          </w:tcPr>
          <w:p w14:paraId="4BBDB230">
            <w:pPr>
              <w:spacing w:before="156" w:beforeLines="50" w:line="240" w:lineRule="auto"/>
              <w:ind w:firstLine="0" w:firstLineChars="0"/>
              <w:jc w:val="distribute"/>
              <w:rPr>
                <w:rFonts w:asciiTheme="minorEastAsia" w:hAnsiTheme="minorEastAsia"/>
                <w:b/>
                <w:bCs/>
                <w:kern w:val="0"/>
                <w:sz w:val="24"/>
              </w:rPr>
            </w:pPr>
            <w:r>
              <w:rPr>
                <w:rFonts w:hint="eastAsia" w:ascii="宋体" w:hAnsi="宋体" w:eastAsia="仿宋" w:cs="Times New Roman"/>
                <w:b/>
                <w:snapToGrid w:val="0"/>
                <w:sz w:val="24"/>
                <w:szCs w:val="24"/>
              </w:rPr>
              <w:t>副组长</w:t>
            </w:r>
          </w:p>
        </w:tc>
        <w:tc>
          <w:tcPr>
            <w:tcW w:w="7392" w:type="dxa"/>
            <w:vAlign w:val="center"/>
          </w:tcPr>
          <w:p w14:paraId="4769C084">
            <w:pPr>
              <w:spacing w:before="156" w:beforeLines="50" w:line="240" w:lineRule="auto"/>
              <w:ind w:firstLine="480" w:firstLineChars="200"/>
              <w:rPr>
                <w:rFonts w:asciiTheme="minorEastAsia" w:hAnsiTheme="minorEastAsia"/>
                <w:kern w:val="0"/>
                <w:sz w:val="24"/>
              </w:rPr>
            </w:pPr>
            <w:r>
              <w:rPr>
                <w:rFonts w:hint="eastAsia" w:ascii="宋体" w:hAnsi="宋体" w:eastAsia="仿宋" w:cs="Times New Roman"/>
                <w:snapToGrid w:val="0"/>
                <w:sz w:val="24"/>
                <w:szCs w:val="24"/>
              </w:rPr>
              <w:t>郭文彦  张君</w:t>
            </w:r>
          </w:p>
        </w:tc>
      </w:tr>
      <w:tr w14:paraId="6815A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425" w:hRule="atLeast"/>
          <w:jc w:val="center"/>
        </w:trPr>
        <w:tc>
          <w:tcPr>
            <w:tcW w:w="1414" w:type="dxa"/>
            <w:vAlign w:val="center"/>
          </w:tcPr>
          <w:p w14:paraId="44861FC7">
            <w:pPr>
              <w:spacing w:before="156" w:beforeLines="50" w:line="400" w:lineRule="exact"/>
              <w:ind w:firstLine="0" w:firstLineChars="0"/>
              <w:jc w:val="distribute"/>
              <w:rPr>
                <w:rFonts w:asciiTheme="minorEastAsia" w:hAnsiTheme="minorEastAsia"/>
                <w:b/>
                <w:bCs/>
                <w:kern w:val="0"/>
                <w:sz w:val="24"/>
              </w:rPr>
            </w:pPr>
            <w:r>
              <w:rPr>
                <w:rFonts w:hint="eastAsia" w:ascii="宋体" w:hAnsi="宋体" w:eastAsia="仿宋" w:cs="Times New Roman"/>
                <w:b/>
                <w:snapToGrid w:val="0"/>
                <w:sz w:val="24"/>
                <w:szCs w:val="24"/>
              </w:rPr>
              <w:t>成员</w:t>
            </w:r>
          </w:p>
        </w:tc>
        <w:tc>
          <w:tcPr>
            <w:tcW w:w="7392" w:type="dxa"/>
            <w:vAlign w:val="center"/>
          </w:tcPr>
          <w:p w14:paraId="765144EC">
            <w:pPr>
              <w:spacing w:before="156" w:beforeLines="50" w:line="240" w:lineRule="auto"/>
              <w:ind w:firstLine="480"/>
              <w:rPr>
                <w:rFonts w:hint="eastAsia" w:ascii="宋体" w:hAnsi="宋体" w:eastAsia="仿宋" w:cs="Times New Roman"/>
                <w:snapToGrid w:val="0"/>
                <w:sz w:val="24"/>
                <w:szCs w:val="24"/>
              </w:rPr>
            </w:pPr>
            <w:r>
              <w:rPr>
                <w:rFonts w:hint="eastAsia" w:ascii="宋体" w:hAnsi="宋体" w:eastAsia="仿宋" w:cs="Times New Roman"/>
                <w:snapToGrid w:val="0"/>
                <w:sz w:val="24"/>
                <w:szCs w:val="24"/>
              </w:rPr>
              <w:t xml:space="preserve">彭向辉  唐茂林 何永刚  王元青  张芹贵  卢君勇  江永富 </w:t>
            </w:r>
          </w:p>
          <w:p w14:paraId="2A117571">
            <w:pPr>
              <w:spacing w:before="156" w:beforeLines="50" w:line="240" w:lineRule="auto"/>
              <w:ind w:firstLine="480" w:firstLineChars="200"/>
              <w:rPr>
                <w:rFonts w:hint="default" w:eastAsia="仿宋" w:asciiTheme="minorEastAsia" w:hAnsiTheme="minorEastAsia"/>
                <w:snapToGrid w:val="0"/>
                <w:kern w:val="0"/>
                <w:sz w:val="24"/>
                <w:lang w:val="en-US" w:eastAsia="zh-CN"/>
              </w:rPr>
            </w:pPr>
            <w:r>
              <w:rPr>
                <w:rFonts w:hint="eastAsia" w:ascii="宋体" w:hAnsi="宋体" w:eastAsia="仿宋" w:cs="Times New Roman"/>
                <w:snapToGrid w:val="0"/>
                <w:sz w:val="24"/>
                <w:szCs w:val="24"/>
              </w:rPr>
              <w:t xml:space="preserve">李大威 康雅军  许晨智  王  格  赵凱莉 </w:t>
            </w:r>
          </w:p>
        </w:tc>
      </w:tr>
    </w:tbl>
    <w:p w14:paraId="7CE391CA">
      <w:pPr>
        <w:ind w:firstLine="880"/>
        <w:jc w:val="center"/>
        <w:rPr>
          <w:rFonts w:ascii="仿宋" w:hAnsi="仿宋"/>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851" w:footer="992" w:gutter="0"/>
          <w:pgNumType w:fmt="numberInDash"/>
          <w:cols w:space="425" w:num="1"/>
          <w:docGrid w:type="lines" w:linePitch="312" w:charSpace="0"/>
        </w:sectPr>
      </w:pPr>
    </w:p>
    <w:p w14:paraId="492AA13A">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eastAsia="宋体"/>
          <w:b/>
          <w:sz w:val="36"/>
          <w:szCs w:val="36"/>
        </w:rPr>
      </w:pPr>
      <w:r>
        <w:rPr>
          <w:rFonts w:hint="eastAsia" w:ascii="黑体" w:hAnsi="黑体" w:eastAsia="黑体" w:cs="黑体"/>
          <w:b w:val="0"/>
          <w:bCs/>
          <w:sz w:val="36"/>
          <w:szCs w:val="36"/>
        </w:rPr>
        <w:t xml:space="preserve">目 </w:t>
      </w:r>
      <w:r>
        <w:rPr>
          <w:rFonts w:hint="eastAsia" w:ascii="黑体" w:hAnsi="黑体" w:eastAsia="黑体" w:cs="黑体"/>
          <w:b w:val="0"/>
          <w:bCs/>
          <w:sz w:val="36"/>
          <w:szCs w:val="36"/>
          <w:lang w:val="en-US" w:eastAsia="zh-CN"/>
        </w:rPr>
        <w:t xml:space="preserve">  </w:t>
      </w:r>
      <w:r>
        <w:rPr>
          <w:rFonts w:hint="eastAsia" w:ascii="黑体" w:hAnsi="黑体" w:eastAsia="黑体" w:cs="黑体"/>
          <w:b w:val="0"/>
          <w:bCs/>
          <w:sz w:val="36"/>
          <w:szCs w:val="36"/>
        </w:rPr>
        <w:t xml:space="preserve"> 录</w:t>
      </w:r>
    </w:p>
    <w:p w14:paraId="409EBD47">
      <w:pPr>
        <w:pStyle w:val="14"/>
        <w:tabs>
          <w:tab w:val="right" w:leader="dot" w:pos="8640"/>
        </w:tabs>
      </w:pP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TOC \o "1-3" \h \u </w:instrText>
      </w:r>
      <w:r>
        <w:rPr>
          <w:rFonts w:hint="eastAsia" w:ascii="仿宋" w:hAnsi="仿宋" w:eastAsia="仿宋" w:cs="仿宋"/>
          <w:sz w:val="30"/>
          <w:szCs w:val="30"/>
        </w:rPr>
        <w:fldChar w:fldCharType="separate"/>
      </w:r>
      <w:r>
        <w:rPr>
          <w:rFonts w:hint="eastAsia" w:ascii="仿宋" w:hAnsi="仿宋" w:eastAsia="仿宋" w:cs="仿宋"/>
          <w:szCs w:val="30"/>
        </w:rPr>
        <w:fldChar w:fldCharType="begin"/>
      </w:r>
      <w:r>
        <w:rPr>
          <w:rFonts w:hint="eastAsia" w:ascii="仿宋" w:hAnsi="仿宋" w:eastAsia="仿宋" w:cs="仿宋"/>
          <w:szCs w:val="30"/>
        </w:rPr>
        <w:instrText xml:space="preserve"> HYPERLINK \l _Toc15425 </w:instrText>
      </w:r>
      <w:r>
        <w:rPr>
          <w:rFonts w:hint="eastAsia" w:ascii="仿宋" w:hAnsi="仿宋" w:eastAsia="仿宋" w:cs="仿宋"/>
          <w:szCs w:val="30"/>
        </w:rPr>
        <w:fldChar w:fldCharType="separate"/>
      </w:r>
      <w:r>
        <w:rPr>
          <w:rFonts w:hint="eastAsia"/>
          <w:szCs w:val="36"/>
          <w:lang w:val="en-US" w:eastAsia="zh-CN"/>
        </w:rPr>
        <w:t>一、发展目标</w:t>
      </w:r>
      <w:r>
        <w:tab/>
      </w:r>
      <w:r>
        <w:fldChar w:fldCharType="begin"/>
      </w:r>
      <w:r>
        <w:instrText xml:space="preserve"> PAGEREF _Toc15425 \h </w:instrText>
      </w:r>
      <w:r>
        <w:fldChar w:fldCharType="separate"/>
      </w:r>
      <w:r>
        <w:t>- 1 -</w:t>
      </w:r>
      <w:r>
        <w:fldChar w:fldCharType="end"/>
      </w:r>
      <w:r>
        <w:rPr>
          <w:rFonts w:hint="eastAsia" w:ascii="仿宋" w:hAnsi="仿宋" w:eastAsia="仿宋" w:cs="仿宋"/>
          <w:szCs w:val="30"/>
        </w:rPr>
        <w:fldChar w:fldCharType="end"/>
      </w:r>
    </w:p>
    <w:p w14:paraId="11F738AF">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_Toc3423 </w:instrText>
      </w:r>
      <w:r>
        <w:rPr>
          <w:rFonts w:hint="eastAsia" w:ascii="仿宋" w:hAnsi="仿宋" w:eastAsia="仿宋" w:cs="仿宋"/>
          <w:szCs w:val="30"/>
        </w:rPr>
        <w:fldChar w:fldCharType="separate"/>
      </w:r>
      <w:r>
        <w:rPr>
          <w:rFonts w:hint="eastAsia"/>
          <w:szCs w:val="36"/>
          <w:lang w:val="en-US" w:eastAsia="zh-CN"/>
        </w:rPr>
        <w:t>二、加强基础地质勘查</w:t>
      </w:r>
      <w:r>
        <w:tab/>
      </w:r>
      <w:r>
        <w:fldChar w:fldCharType="begin"/>
      </w:r>
      <w:r>
        <w:instrText xml:space="preserve"> PAGEREF _Toc3423 \h </w:instrText>
      </w:r>
      <w:r>
        <w:fldChar w:fldCharType="separate"/>
      </w:r>
      <w:r>
        <w:t>- 2 -</w:t>
      </w:r>
      <w:r>
        <w:fldChar w:fldCharType="end"/>
      </w:r>
      <w:r>
        <w:rPr>
          <w:rFonts w:hint="eastAsia" w:ascii="仿宋" w:hAnsi="仿宋" w:eastAsia="仿宋" w:cs="仿宋"/>
          <w:szCs w:val="30"/>
        </w:rPr>
        <w:fldChar w:fldCharType="end"/>
      </w:r>
    </w:p>
    <w:p w14:paraId="37A640DF">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_Toc23061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w:t>
      </w:r>
      <w:r>
        <w:rPr>
          <w:rFonts w:hint="eastAsia" w:ascii="黑体" w:hAnsi="黑体" w:eastAsia="黑体" w:cs="黑体"/>
          <w:bCs w:val="0"/>
          <w:lang w:eastAsia="zh-CN"/>
        </w:rPr>
        <w:t>落实加强区域基础性地质调查</w:t>
      </w:r>
      <w:r>
        <w:tab/>
      </w:r>
      <w:r>
        <w:fldChar w:fldCharType="begin"/>
      </w:r>
      <w:r>
        <w:instrText xml:space="preserve"> PAGEREF _Toc23061 \h </w:instrText>
      </w:r>
      <w:r>
        <w:fldChar w:fldCharType="separate"/>
      </w:r>
      <w:r>
        <w:t>- 2 -</w:t>
      </w:r>
      <w:r>
        <w:fldChar w:fldCharType="end"/>
      </w:r>
      <w:r>
        <w:rPr>
          <w:rFonts w:hint="eastAsia" w:ascii="仿宋" w:hAnsi="仿宋" w:eastAsia="仿宋" w:cs="仿宋"/>
          <w:szCs w:val="30"/>
        </w:rPr>
        <w:fldChar w:fldCharType="end"/>
      </w:r>
    </w:p>
    <w:p w14:paraId="206A72B0">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_Toc14257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（二）落实区域重点勘查布局</w:t>
      </w:r>
      <w:r>
        <w:tab/>
      </w:r>
      <w:r>
        <w:fldChar w:fldCharType="begin"/>
      </w:r>
      <w:r>
        <w:instrText xml:space="preserve"> PAGEREF _Toc14257 \h </w:instrText>
      </w:r>
      <w:r>
        <w:fldChar w:fldCharType="separate"/>
      </w:r>
      <w:r>
        <w:t>- 3 -</w:t>
      </w:r>
      <w:r>
        <w:fldChar w:fldCharType="end"/>
      </w:r>
      <w:r>
        <w:rPr>
          <w:rFonts w:hint="eastAsia" w:ascii="仿宋" w:hAnsi="仿宋" w:eastAsia="仿宋" w:cs="仿宋"/>
          <w:szCs w:val="30"/>
        </w:rPr>
        <w:fldChar w:fldCharType="end"/>
      </w:r>
    </w:p>
    <w:p w14:paraId="0C93CCBF">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_Toc1999 </w:instrText>
      </w:r>
      <w:r>
        <w:rPr>
          <w:rFonts w:hint="eastAsia" w:ascii="仿宋" w:hAnsi="仿宋" w:eastAsia="仿宋" w:cs="仿宋"/>
          <w:szCs w:val="30"/>
        </w:rPr>
        <w:fldChar w:fldCharType="separate"/>
      </w:r>
      <w:r>
        <w:rPr>
          <w:rFonts w:hint="eastAsia" w:ascii="黑体" w:hAnsi="黑体" w:eastAsia="黑体" w:cs="黑体"/>
          <w:bCs w:val="0"/>
          <w:lang w:val="en-US" w:eastAsia="zh-CN"/>
        </w:rPr>
        <w:t>（三）推动矿产资源勘查增储</w:t>
      </w:r>
      <w:r>
        <w:tab/>
      </w:r>
      <w:r>
        <w:fldChar w:fldCharType="begin"/>
      </w:r>
      <w:r>
        <w:instrText xml:space="preserve"> PAGEREF _Toc1999 \h </w:instrText>
      </w:r>
      <w:r>
        <w:fldChar w:fldCharType="separate"/>
      </w:r>
      <w:r>
        <w:t>- 3 -</w:t>
      </w:r>
      <w:r>
        <w:fldChar w:fldCharType="end"/>
      </w:r>
      <w:r>
        <w:rPr>
          <w:rFonts w:hint="eastAsia" w:ascii="仿宋" w:hAnsi="仿宋" w:eastAsia="仿宋" w:cs="仿宋"/>
          <w:szCs w:val="30"/>
        </w:rPr>
        <w:fldChar w:fldCharType="end"/>
      </w:r>
    </w:p>
    <w:p w14:paraId="4CBF7336">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_Toc15 </w:instrText>
      </w:r>
      <w:r>
        <w:rPr>
          <w:rFonts w:hint="eastAsia" w:ascii="仿宋" w:hAnsi="仿宋" w:eastAsia="仿宋" w:cs="仿宋"/>
          <w:szCs w:val="30"/>
        </w:rPr>
        <w:fldChar w:fldCharType="separate"/>
      </w:r>
      <w:r>
        <w:rPr>
          <w:rFonts w:hint="eastAsia"/>
          <w:szCs w:val="36"/>
          <w:lang w:val="en-US" w:eastAsia="zh-CN"/>
        </w:rPr>
        <w:t>三、优化勘查开发利用与保护布局</w:t>
      </w:r>
      <w:r>
        <w:tab/>
      </w:r>
      <w:r>
        <w:fldChar w:fldCharType="begin"/>
      </w:r>
      <w:r>
        <w:instrText xml:space="preserve"> PAGEREF _Toc15 \h </w:instrText>
      </w:r>
      <w:r>
        <w:fldChar w:fldCharType="separate"/>
      </w:r>
      <w:r>
        <w:t>- 4 -</w:t>
      </w:r>
      <w:r>
        <w:fldChar w:fldCharType="end"/>
      </w:r>
      <w:r>
        <w:rPr>
          <w:rFonts w:hint="eastAsia" w:ascii="仿宋" w:hAnsi="仿宋" w:eastAsia="仿宋" w:cs="仿宋"/>
          <w:szCs w:val="30"/>
        </w:rPr>
        <w:fldChar w:fldCharType="end"/>
      </w:r>
    </w:p>
    <w:p w14:paraId="590A3792">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_Toc13108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（一）优化矿产资源勘查开发格局</w:t>
      </w:r>
      <w:r>
        <w:tab/>
      </w:r>
      <w:r>
        <w:fldChar w:fldCharType="begin"/>
      </w:r>
      <w:r>
        <w:instrText xml:space="preserve"> PAGEREF _Toc13108 \h </w:instrText>
      </w:r>
      <w:r>
        <w:fldChar w:fldCharType="separate"/>
      </w:r>
      <w:r>
        <w:t>- 4 -</w:t>
      </w:r>
      <w:r>
        <w:fldChar w:fldCharType="end"/>
      </w:r>
      <w:r>
        <w:rPr>
          <w:rFonts w:hint="eastAsia" w:ascii="仿宋" w:hAnsi="仿宋" w:eastAsia="仿宋" w:cs="仿宋"/>
          <w:szCs w:val="30"/>
        </w:rPr>
        <w:fldChar w:fldCharType="end"/>
      </w:r>
    </w:p>
    <w:p w14:paraId="0225C047">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_Toc1291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（二）矿产资源勘查开采调控方向</w:t>
      </w:r>
      <w:r>
        <w:tab/>
      </w:r>
      <w:r>
        <w:fldChar w:fldCharType="begin"/>
      </w:r>
      <w:r>
        <w:instrText xml:space="preserve"> PAGEREF _Toc1291 \h </w:instrText>
      </w:r>
      <w:r>
        <w:fldChar w:fldCharType="separate"/>
      </w:r>
      <w:r>
        <w:t>- 5 -</w:t>
      </w:r>
      <w:r>
        <w:fldChar w:fldCharType="end"/>
      </w:r>
      <w:r>
        <w:rPr>
          <w:rFonts w:hint="eastAsia" w:ascii="仿宋" w:hAnsi="仿宋" w:eastAsia="仿宋" w:cs="仿宋"/>
          <w:szCs w:val="30"/>
        </w:rPr>
        <w:fldChar w:fldCharType="end"/>
      </w:r>
    </w:p>
    <w:p w14:paraId="670F83B9">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_Toc20704 </w:instrText>
      </w:r>
      <w:r>
        <w:rPr>
          <w:rFonts w:hint="eastAsia" w:ascii="仿宋" w:hAnsi="仿宋" w:eastAsia="仿宋" w:cs="仿宋"/>
          <w:szCs w:val="30"/>
        </w:rPr>
        <w:fldChar w:fldCharType="separate"/>
      </w:r>
      <w:r>
        <w:rPr>
          <w:rFonts w:hint="eastAsia" w:ascii="黑体" w:hAnsi="黑体" w:eastAsia="黑体" w:cs="黑体"/>
          <w:bCs w:val="0"/>
          <w:lang w:val="en-US" w:eastAsia="zh-CN"/>
        </w:rPr>
        <w:t>（三）落实资源安全保障布局</w:t>
      </w:r>
      <w:r>
        <w:tab/>
      </w:r>
      <w:r>
        <w:fldChar w:fldCharType="begin"/>
      </w:r>
      <w:r>
        <w:instrText xml:space="preserve"> PAGEREF _Toc20704 \h </w:instrText>
      </w:r>
      <w:r>
        <w:fldChar w:fldCharType="separate"/>
      </w:r>
      <w:r>
        <w:t>- 5 -</w:t>
      </w:r>
      <w:r>
        <w:fldChar w:fldCharType="end"/>
      </w:r>
      <w:r>
        <w:rPr>
          <w:rFonts w:hint="eastAsia" w:ascii="仿宋" w:hAnsi="仿宋" w:eastAsia="仿宋" w:cs="仿宋"/>
          <w:szCs w:val="30"/>
        </w:rPr>
        <w:fldChar w:fldCharType="end"/>
      </w:r>
    </w:p>
    <w:p w14:paraId="7D3818F0">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_Toc24514 </w:instrText>
      </w:r>
      <w:r>
        <w:rPr>
          <w:rFonts w:hint="eastAsia" w:ascii="仿宋" w:hAnsi="仿宋" w:eastAsia="仿宋" w:cs="仿宋"/>
          <w:szCs w:val="30"/>
        </w:rPr>
        <w:fldChar w:fldCharType="separate"/>
      </w:r>
      <w:r>
        <w:rPr>
          <w:rFonts w:hint="eastAsia" w:ascii="黑体" w:hAnsi="黑体" w:eastAsia="黑体" w:cs="黑体"/>
          <w:bCs w:val="0"/>
          <w:lang w:val="en-US" w:eastAsia="zh-CN"/>
        </w:rPr>
        <w:t>（四）合理设置勘查开采规划区块</w:t>
      </w:r>
      <w:r>
        <w:tab/>
      </w:r>
      <w:r>
        <w:fldChar w:fldCharType="begin"/>
      </w:r>
      <w:r>
        <w:instrText xml:space="preserve"> PAGEREF _Toc24514 \h </w:instrText>
      </w:r>
      <w:r>
        <w:fldChar w:fldCharType="separate"/>
      </w:r>
      <w:r>
        <w:t>- 6 -</w:t>
      </w:r>
      <w:r>
        <w:fldChar w:fldCharType="end"/>
      </w:r>
      <w:r>
        <w:rPr>
          <w:rFonts w:hint="eastAsia" w:ascii="仿宋" w:hAnsi="仿宋" w:eastAsia="仿宋" w:cs="仿宋"/>
          <w:szCs w:val="30"/>
        </w:rPr>
        <w:fldChar w:fldCharType="end"/>
      </w:r>
    </w:p>
    <w:p w14:paraId="2E9C5685">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_Toc30893 </w:instrText>
      </w:r>
      <w:r>
        <w:rPr>
          <w:rFonts w:hint="eastAsia" w:ascii="仿宋" w:hAnsi="仿宋" w:eastAsia="仿宋" w:cs="仿宋"/>
          <w:szCs w:val="30"/>
        </w:rPr>
        <w:fldChar w:fldCharType="separate"/>
      </w:r>
      <w:r>
        <w:rPr>
          <w:rFonts w:hint="eastAsia"/>
          <w:szCs w:val="36"/>
          <w:lang w:val="en-US" w:eastAsia="zh-CN"/>
        </w:rPr>
        <w:t>四、强化矿产资源勘查开发管控</w:t>
      </w:r>
      <w:r>
        <w:tab/>
      </w:r>
      <w:r>
        <w:fldChar w:fldCharType="begin"/>
      </w:r>
      <w:r>
        <w:instrText xml:space="preserve"> PAGEREF _Toc30893 \h </w:instrText>
      </w:r>
      <w:r>
        <w:fldChar w:fldCharType="separate"/>
      </w:r>
      <w:r>
        <w:t>- 7 -</w:t>
      </w:r>
      <w:r>
        <w:fldChar w:fldCharType="end"/>
      </w:r>
      <w:r>
        <w:rPr>
          <w:rFonts w:hint="eastAsia" w:ascii="仿宋" w:hAnsi="仿宋" w:eastAsia="仿宋" w:cs="仿宋"/>
          <w:szCs w:val="30"/>
        </w:rPr>
        <w:fldChar w:fldCharType="end"/>
      </w:r>
    </w:p>
    <w:p w14:paraId="640CC951">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_Toc18216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（一）合理确定开发强度</w:t>
      </w:r>
      <w:r>
        <w:tab/>
      </w:r>
      <w:r>
        <w:fldChar w:fldCharType="begin"/>
      </w:r>
      <w:r>
        <w:instrText xml:space="preserve"> PAGEREF _Toc18216 \h </w:instrText>
      </w:r>
      <w:r>
        <w:fldChar w:fldCharType="separate"/>
      </w:r>
      <w:r>
        <w:t>- 7 -</w:t>
      </w:r>
      <w:r>
        <w:fldChar w:fldCharType="end"/>
      </w:r>
      <w:r>
        <w:rPr>
          <w:rFonts w:hint="eastAsia" w:ascii="仿宋" w:hAnsi="仿宋" w:eastAsia="仿宋" w:cs="仿宋"/>
          <w:szCs w:val="30"/>
        </w:rPr>
        <w:fldChar w:fldCharType="end"/>
      </w:r>
    </w:p>
    <w:p w14:paraId="5246FF90">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_Toc4662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（二）优化开发利用结构</w:t>
      </w:r>
      <w:r>
        <w:tab/>
      </w:r>
      <w:r>
        <w:fldChar w:fldCharType="begin"/>
      </w:r>
      <w:r>
        <w:instrText xml:space="preserve"> PAGEREF _Toc4662 \h </w:instrText>
      </w:r>
      <w:r>
        <w:fldChar w:fldCharType="separate"/>
      </w:r>
      <w:r>
        <w:t>- 8 -</w:t>
      </w:r>
      <w:r>
        <w:fldChar w:fldCharType="end"/>
      </w:r>
      <w:r>
        <w:rPr>
          <w:rFonts w:hint="eastAsia" w:ascii="仿宋" w:hAnsi="仿宋" w:eastAsia="仿宋" w:cs="仿宋"/>
          <w:szCs w:val="30"/>
        </w:rPr>
        <w:fldChar w:fldCharType="end"/>
      </w:r>
    </w:p>
    <w:p w14:paraId="05D33250">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_Toc18172 </w:instrText>
      </w:r>
      <w:r>
        <w:rPr>
          <w:rFonts w:hint="eastAsia" w:ascii="仿宋" w:hAnsi="仿宋" w:eastAsia="仿宋" w:cs="仿宋"/>
          <w:szCs w:val="30"/>
        </w:rPr>
        <w:fldChar w:fldCharType="separate"/>
      </w:r>
      <w:r>
        <w:rPr>
          <w:rFonts w:hint="eastAsia" w:ascii="黑体" w:hAnsi="黑体" w:eastAsia="黑体" w:cs="黑体"/>
          <w:bCs w:val="0"/>
          <w:lang w:val="en-US" w:eastAsia="zh-CN"/>
        </w:rPr>
        <w:t>（三）落实加强规划准入管理</w:t>
      </w:r>
      <w:r>
        <w:tab/>
      </w:r>
      <w:r>
        <w:fldChar w:fldCharType="begin"/>
      </w:r>
      <w:r>
        <w:instrText xml:space="preserve"> PAGEREF _Toc18172 \h </w:instrText>
      </w:r>
      <w:r>
        <w:fldChar w:fldCharType="separate"/>
      </w:r>
      <w:r>
        <w:t>- 9 -</w:t>
      </w:r>
      <w:r>
        <w:fldChar w:fldCharType="end"/>
      </w:r>
      <w:r>
        <w:rPr>
          <w:rFonts w:hint="eastAsia" w:ascii="仿宋" w:hAnsi="仿宋" w:eastAsia="仿宋" w:cs="仿宋"/>
          <w:szCs w:val="30"/>
        </w:rPr>
        <w:fldChar w:fldCharType="end"/>
      </w:r>
    </w:p>
    <w:p w14:paraId="281C20E3">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_Toc31368 </w:instrText>
      </w:r>
      <w:r>
        <w:rPr>
          <w:rFonts w:hint="eastAsia" w:ascii="仿宋" w:hAnsi="仿宋" w:eastAsia="仿宋" w:cs="仿宋"/>
          <w:szCs w:val="30"/>
        </w:rPr>
        <w:fldChar w:fldCharType="separate"/>
      </w:r>
      <w:r>
        <w:rPr>
          <w:rFonts w:hint="eastAsia" w:ascii="黑体" w:hAnsi="黑体" w:eastAsia="黑体" w:cs="黑体"/>
          <w:bCs w:val="0"/>
          <w:lang w:val="en-US" w:eastAsia="zh-CN"/>
        </w:rPr>
        <w:t>（四）巩固矿山安全生产</w:t>
      </w:r>
      <w:r>
        <w:tab/>
      </w:r>
      <w:r>
        <w:fldChar w:fldCharType="begin"/>
      </w:r>
      <w:r>
        <w:instrText xml:space="preserve"> PAGEREF _Toc31368 \h </w:instrText>
      </w:r>
      <w:r>
        <w:fldChar w:fldCharType="separate"/>
      </w:r>
      <w:r>
        <w:t>- 10 -</w:t>
      </w:r>
      <w:r>
        <w:fldChar w:fldCharType="end"/>
      </w:r>
      <w:r>
        <w:rPr>
          <w:rFonts w:hint="eastAsia" w:ascii="仿宋" w:hAnsi="仿宋" w:eastAsia="仿宋" w:cs="仿宋"/>
          <w:szCs w:val="30"/>
        </w:rPr>
        <w:fldChar w:fldCharType="end"/>
      </w:r>
    </w:p>
    <w:p w14:paraId="2538F5A3">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_Toc28478 </w:instrText>
      </w:r>
      <w:r>
        <w:rPr>
          <w:rFonts w:hint="eastAsia" w:ascii="仿宋" w:hAnsi="仿宋" w:eastAsia="仿宋" w:cs="仿宋"/>
          <w:szCs w:val="30"/>
        </w:rPr>
        <w:fldChar w:fldCharType="separate"/>
      </w:r>
      <w:r>
        <w:rPr>
          <w:rFonts w:hint="eastAsia"/>
          <w:szCs w:val="36"/>
          <w:lang w:val="en-US" w:eastAsia="zh-CN"/>
        </w:rPr>
        <w:t>五、助力产业高质量发展</w:t>
      </w:r>
      <w:r>
        <w:tab/>
      </w:r>
      <w:r>
        <w:fldChar w:fldCharType="begin"/>
      </w:r>
      <w:r>
        <w:instrText xml:space="preserve"> PAGEREF _Toc28478 \h </w:instrText>
      </w:r>
      <w:r>
        <w:fldChar w:fldCharType="separate"/>
      </w:r>
      <w:r>
        <w:t>- 10 -</w:t>
      </w:r>
      <w:r>
        <w:fldChar w:fldCharType="end"/>
      </w:r>
      <w:r>
        <w:rPr>
          <w:rFonts w:hint="eastAsia" w:ascii="仿宋" w:hAnsi="仿宋" w:eastAsia="仿宋" w:cs="仿宋"/>
          <w:szCs w:val="30"/>
        </w:rPr>
        <w:fldChar w:fldCharType="end"/>
      </w:r>
    </w:p>
    <w:p w14:paraId="2C460C0B">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_Toc5180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（一）助推优势产业延链补链强链</w:t>
      </w:r>
      <w:r>
        <w:tab/>
      </w:r>
      <w:r>
        <w:fldChar w:fldCharType="begin"/>
      </w:r>
      <w:r>
        <w:instrText xml:space="preserve"> PAGEREF _Toc5180 \h </w:instrText>
      </w:r>
      <w:r>
        <w:fldChar w:fldCharType="separate"/>
      </w:r>
      <w:r>
        <w:t>- 10 -</w:t>
      </w:r>
      <w:r>
        <w:fldChar w:fldCharType="end"/>
      </w:r>
      <w:r>
        <w:rPr>
          <w:rFonts w:hint="eastAsia" w:ascii="仿宋" w:hAnsi="仿宋" w:eastAsia="仿宋" w:cs="仿宋"/>
          <w:szCs w:val="30"/>
        </w:rPr>
        <w:fldChar w:fldCharType="end"/>
      </w:r>
    </w:p>
    <w:p w14:paraId="6BD32348">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_Toc18514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（二）推动区域矿业开放合作</w:t>
      </w:r>
      <w:r>
        <w:tab/>
      </w:r>
      <w:r>
        <w:fldChar w:fldCharType="begin"/>
      </w:r>
      <w:r>
        <w:instrText xml:space="preserve"> PAGEREF _Toc18514 \h </w:instrText>
      </w:r>
      <w:r>
        <w:fldChar w:fldCharType="separate"/>
      </w:r>
      <w:r>
        <w:t>- 11 -</w:t>
      </w:r>
      <w:r>
        <w:fldChar w:fldCharType="end"/>
      </w:r>
      <w:r>
        <w:rPr>
          <w:rFonts w:hint="eastAsia" w:ascii="仿宋" w:hAnsi="仿宋" w:eastAsia="仿宋" w:cs="仿宋"/>
          <w:szCs w:val="30"/>
        </w:rPr>
        <w:fldChar w:fldCharType="end"/>
      </w:r>
    </w:p>
    <w:p w14:paraId="1DC597A9">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_Toc32148 </w:instrText>
      </w:r>
      <w:r>
        <w:rPr>
          <w:rFonts w:hint="eastAsia" w:ascii="仿宋" w:hAnsi="仿宋" w:eastAsia="仿宋" w:cs="仿宋"/>
          <w:szCs w:val="30"/>
        </w:rPr>
        <w:fldChar w:fldCharType="separate"/>
      </w:r>
      <w:r>
        <w:rPr>
          <w:rFonts w:hint="eastAsia"/>
          <w:szCs w:val="36"/>
          <w:lang w:val="en-US" w:eastAsia="zh-CN"/>
        </w:rPr>
        <w:t>六、矿业绿色安全发展</w:t>
      </w:r>
      <w:r>
        <w:tab/>
      </w:r>
      <w:r>
        <w:fldChar w:fldCharType="begin"/>
      </w:r>
      <w:r>
        <w:instrText xml:space="preserve"> PAGEREF _Toc32148 \h </w:instrText>
      </w:r>
      <w:r>
        <w:fldChar w:fldCharType="separate"/>
      </w:r>
      <w:r>
        <w:t>- 11 -</w:t>
      </w:r>
      <w:r>
        <w:fldChar w:fldCharType="end"/>
      </w:r>
      <w:r>
        <w:rPr>
          <w:rFonts w:hint="eastAsia" w:ascii="仿宋" w:hAnsi="仿宋" w:eastAsia="仿宋" w:cs="仿宋"/>
          <w:szCs w:val="30"/>
        </w:rPr>
        <w:fldChar w:fldCharType="end"/>
      </w:r>
    </w:p>
    <w:p w14:paraId="05B413A4">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_Toc31027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（一）积极推行绿色勘查</w:t>
      </w:r>
      <w:r>
        <w:tab/>
      </w:r>
      <w:r>
        <w:fldChar w:fldCharType="begin"/>
      </w:r>
      <w:r>
        <w:instrText xml:space="preserve"> PAGEREF _Toc31027 \h </w:instrText>
      </w:r>
      <w:r>
        <w:fldChar w:fldCharType="separate"/>
      </w:r>
      <w:r>
        <w:t>- 11 -</w:t>
      </w:r>
      <w:r>
        <w:fldChar w:fldCharType="end"/>
      </w:r>
      <w:r>
        <w:rPr>
          <w:rFonts w:hint="eastAsia" w:ascii="仿宋" w:hAnsi="仿宋" w:eastAsia="仿宋" w:cs="仿宋"/>
          <w:szCs w:val="30"/>
        </w:rPr>
        <w:fldChar w:fldCharType="end"/>
      </w:r>
    </w:p>
    <w:p w14:paraId="62BBC31A">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_Toc17489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（二）强化资源集约利用</w:t>
      </w:r>
      <w:r>
        <w:tab/>
      </w:r>
      <w:r>
        <w:fldChar w:fldCharType="begin"/>
      </w:r>
      <w:r>
        <w:instrText xml:space="preserve"> PAGEREF _Toc17489 \h </w:instrText>
      </w:r>
      <w:r>
        <w:fldChar w:fldCharType="separate"/>
      </w:r>
      <w:r>
        <w:t>- 12 -</w:t>
      </w:r>
      <w:r>
        <w:fldChar w:fldCharType="end"/>
      </w:r>
      <w:r>
        <w:rPr>
          <w:rFonts w:hint="eastAsia" w:ascii="仿宋" w:hAnsi="仿宋" w:eastAsia="仿宋" w:cs="仿宋"/>
          <w:szCs w:val="30"/>
        </w:rPr>
        <w:fldChar w:fldCharType="end"/>
      </w:r>
    </w:p>
    <w:p w14:paraId="002B756B">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_Toc14449 </w:instrText>
      </w:r>
      <w:r>
        <w:rPr>
          <w:rFonts w:hint="eastAsia" w:ascii="仿宋" w:hAnsi="仿宋" w:eastAsia="仿宋" w:cs="仿宋"/>
          <w:szCs w:val="30"/>
        </w:rPr>
        <w:fldChar w:fldCharType="separate"/>
      </w:r>
      <w:r>
        <w:rPr>
          <w:rFonts w:hint="eastAsia" w:ascii="黑体" w:hAnsi="黑体" w:eastAsia="黑体" w:cs="黑体"/>
          <w:bCs w:val="0"/>
          <w:lang w:val="en-US" w:eastAsia="zh-CN"/>
        </w:rPr>
        <w:t>（三）全面推进绿色矿山建设</w:t>
      </w:r>
      <w:r>
        <w:tab/>
      </w:r>
      <w:r>
        <w:fldChar w:fldCharType="begin"/>
      </w:r>
      <w:r>
        <w:instrText xml:space="preserve"> PAGEREF _Toc14449 \h </w:instrText>
      </w:r>
      <w:r>
        <w:fldChar w:fldCharType="separate"/>
      </w:r>
      <w:r>
        <w:t>- 13 -</w:t>
      </w:r>
      <w:r>
        <w:fldChar w:fldCharType="end"/>
      </w:r>
      <w:r>
        <w:rPr>
          <w:rFonts w:hint="eastAsia" w:ascii="仿宋" w:hAnsi="仿宋" w:eastAsia="仿宋" w:cs="仿宋"/>
          <w:szCs w:val="30"/>
        </w:rPr>
        <w:fldChar w:fldCharType="end"/>
      </w:r>
    </w:p>
    <w:p w14:paraId="28E5EFCB">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_Toc27993 </w:instrText>
      </w:r>
      <w:r>
        <w:rPr>
          <w:rFonts w:hint="eastAsia" w:ascii="仿宋" w:hAnsi="仿宋" w:eastAsia="仿宋" w:cs="仿宋"/>
          <w:szCs w:val="30"/>
        </w:rPr>
        <w:fldChar w:fldCharType="separate"/>
      </w:r>
      <w:r>
        <w:rPr>
          <w:rFonts w:hint="eastAsia" w:ascii="黑体" w:hAnsi="黑体" w:eastAsia="黑体" w:cs="黑体"/>
          <w:bCs w:val="0"/>
          <w:lang w:val="en-US" w:eastAsia="zh-CN"/>
        </w:rPr>
        <w:t>（四）加强矿区生态保护修复</w:t>
      </w:r>
      <w:r>
        <w:tab/>
      </w:r>
      <w:r>
        <w:fldChar w:fldCharType="begin"/>
      </w:r>
      <w:r>
        <w:instrText xml:space="preserve"> PAGEREF _Toc27993 \h </w:instrText>
      </w:r>
      <w:r>
        <w:fldChar w:fldCharType="separate"/>
      </w:r>
      <w:r>
        <w:t>- 13 -</w:t>
      </w:r>
      <w:r>
        <w:fldChar w:fldCharType="end"/>
      </w:r>
      <w:r>
        <w:rPr>
          <w:rFonts w:hint="eastAsia" w:ascii="仿宋" w:hAnsi="仿宋" w:eastAsia="仿宋" w:cs="仿宋"/>
          <w:szCs w:val="30"/>
        </w:rPr>
        <w:fldChar w:fldCharType="end"/>
      </w:r>
    </w:p>
    <w:p w14:paraId="5FF4462E">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_Toc9662 </w:instrText>
      </w:r>
      <w:r>
        <w:rPr>
          <w:rFonts w:hint="eastAsia" w:ascii="仿宋" w:hAnsi="仿宋" w:eastAsia="仿宋" w:cs="仿宋"/>
          <w:szCs w:val="30"/>
        </w:rPr>
        <w:fldChar w:fldCharType="separate"/>
      </w:r>
      <w:r>
        <w:rPr>
          <w:rFonts w:hint="eastAsia"/>
          <w:szCs w:val="36"/>
          <w:lang w:val="en-US" w:eastAsia="zh-CN"/>
        </w:rPr>
        <w:t>七、矿产资源管理改革</w:t>
      </w:r>
      <w:r>
        <w:tab/>
      </w:r>
      <w:r>
        <w:fldChar w:fldCharType="begin"/>
      </w:r>
      <w:r>
        <w:instrText xml:space="preserve"> PAGEREF _Toc9662 \h </w:instrText>
      </w:r>
      <w:r>
        <w:fldChar w:fldCharType="separate"/>
      </w:r>
      <w:r>
        <w:t>- 14 -</w:t>
      </w:r>
      <w:r>
        <w:fldChar w:fldCharType="end"/>
      </w:r>
      <w:r>
        <w:rPr>
          <w:rFonts w:hint="eastAsia" w:ascii="仿宋" w:hAnsi="仿宋" w:eastAsia="仿宋" w:cs="仿宋"/>
          <w:szCs w:val="30"/>
        </w:rPr>
        <w:fldChar w:fldCharType="end"/>
      </w:r>
    </w:p>
    <w:p w14:paraId="0246DDF8">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_Toc5732 </w:instrText>
      </w:r>
      <w:r>
        <w:rPr>
          <w:rFonts w:hint="eastAsia" w:ascii="仿宋" w:hAnsi="仿宋" w:eastAsia="仿宋" w:cs="仿宋"/>
          <w:szCs w:val="30"/>
        </w:rPr>
        <w:fldChar w:fldCharType="separate"/>
      </w:r>
      <w:r>
        <w:rPr>
          <w:rFonts w:hint="eastAsia" w:ascii="黑体" w:hAnsi="黑体" w:eastAsia="黑体" w:cs="黑体"/>
          <w:bCs w:val="0"/>
          <w:lang w:val="en-US" w:eastAsia="zh-CN"/>
        </w:rPr>
        <w:t>（一）深化地质勘查行业管理</w:t>
      </w:r>
      <w:r>
        <w:tab/>
      </w:r>
      <w:r>
        <w:fldChar w:fldCharType="begin"/>
      </w:r>
      <w:r>
        <w:instrText xml:space="preserve"> PAGEREF _Toc5732 \h </w:instrText>
      </w:r>
      <w:r>
        <w:fldChar w:fldCharType="separate"/>
      </w:r>
      <w:r>
        <w:t>- 14 -</w:t>
      </w:r>
      <w:r>
        <w:fldChar w:fldCharType="end"/>
      </w:r>
      <w:r>
        <w:rPr>
          <w:rFonts w:hint="eastAsia" w:ascii="仿宋" w:hAnsi="仿宋" w:eastAsia="仿宋" w:cs="仿宋"/>
          <w:szCs w:val="30"/>
        </w:rPr>
        <w:fldChar w:fldCharType="end"/>
      </w:r>
    </w:p>
    <w:p w14:paraId="3BD83C06">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_Toc22881 </w:instrText>
      </w:r>
      <w:r>
        <w:rPr>
          <w:rFonts w:hint="eastAsia" w:ascii="仿宋" w:hAnsi="仿宋" w:eastAsia="仿宋" w:cs="仿宋"/>
          <w:szCs w:val="30"/>
        </w:rPr>
        <w:fldChar w:fldCharType="separate"/>
      </w:r>
      <w:r>
        <w:rPr>
          <w:rFonts w:hint="eastAsia" w:ascii="黑体" w:hAnsi="黑体" w:eastAsia="黑体" w:cs="黑体"/>
          <w:bCs w:val="0"/>
          <w:lang w:val="en-US" w:eastAsia="zh-CN"/>
        </w:rPr>
        <w:t>（二）持续推进矿产资源管理改革</w:t>
      </w:r>
      <w:r>
        <w:tab/>
      </w:r>
      <w:r>
        <w:fldChar w:fldCharType="begin"/>
      </w:r>
      <w:r>
        <w:instrText xml:space="preserve"> PAGEREF _Toc22881 \h </w:instrText>
      </w:r>
      <w:r>
        <w:fldChar w:fldCharType="separate"/>
      </w:r>
      <w:r>
        <w:t>- 15 -</w:t>
      </w:r>
      <w:r>
        <w:fldChar w:fldCharType="end"/>
      </w:r>
      <w:r>
        <w:rPr>
          <w:rFonts w:hint="eastAsia" w:ascii="仿宋" w:hAnsi="仿宋" w:eastAsia="仿宋" w:cs="仿宋"/>
          <w:szCs w:val="30"/>
        </w:rPr>
        <w:fldChar w:fldCharType="end"/>
      </w:r>
    </w:p>
    <w:p w14:paraId="04CB66FC">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_Toc27214 </w:instrText>
      </w:r>
      <w:r>
        <w:rPr>
          <w:rFonts w:hint="eastAsia" w:ascii="仿宋" w:hAnsi="仿宋" w:eastAsia="仿宋" w:cs="仿宋"/>
          <w:szCs w:val="30"/>
        </w:rPr>
        <w:fldChar w:fldCharType="separate"/>
      </w:r>
      <w:r>
        <w:rPr>
          <w:rFonts w:hint="eastAsia" w:ascii="黑体" w:hAnsi="黑体" w:eastAsia="黑体" w:cs="黑体"/>
          <w:bCs w:val="0"/>
          <w:lang w:val="en-US" w:eastAsia="zh-CN"/>
        </w:rPr>
        <w:t>（三）强化矿产资源监督管理</w:t>
      </w:r>
      <w:r>
        <w:tab/>
      </w:r>
      <w:r>
        <w:fldChar w:fldCharType="begin"/>
      </w:r>
      <w:r>
        <w:instrText xml:space="preserve"> PAGEREF _Toc27214 \h </w:instrText>
      </w:r>
      <w:r>
        <w:fldChar w:fldCharType="separate"/>
      </w:r>
      <w:r>
        <w:t>- 15 -</w:t>
      </w:r>
      <w:r>
        <w:fldChar w:fldCharType="end"/>
      </w:r>
      <w:r>
        <w:rPr>
          <w:rFonts w:hint="eastAsia" w:ascii="仿宋" w:hAnsi="仿宋" w:eastAsia="仿宋" w:cs="仿宋"/>
          <w:szCs w:val="30"/>
        </w:rPr>
        <w:fldChar w:fldCharType="end"/>
      </w:r>
    </w:p>
    <w:p w14:paraId="138E950E">
      <w:pPr>
        <w:pStyle w:val="8"/>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_Toc8138 </w:instrText>
      </w:r>
      <w:r>
        <w:rPr>
          <w:rFonts w:hint="eastAsia" w:ascii="仿宋" w:hAnsi="仿宋" w:eastAsia="仿宋" w:cs="仿宋"/>
          <w:szCs w:val="30"/>
        </w:rPr>
        <w:fldChar w:fldCharType="separate"/>
      </w:r>
      <w:r>
        <w:rPr>
          <w:rFonts w:hint="eastAsia" w:ascii="黑体" w:hAnsi="黑体" w:eastAsia="黑体" w:cs="黑体"/>
          <w:bCs w:val="0"/>
          <w:lang w:val="en-US" w:eastAsia="zh-CN"/>
        </w:rPr>
        <w:t>（四）加强矿产资源要素保障</w:t>
      </w:r>
      <w:r>
        <w:tab/>
      </w:r>
      <w:r>
        <w:fldChar w:fldCharType="begin"/>
      </w:r>
      <w:r>
        <w:instrText xml:space="preserve"> PAGEREF _Toc8138 \h </w:instrText>
      </w:r>
      <w:r>
        <w:fldChar w:fldCharType="separate"/>
      </w:r>
      <w:r>
        <w:t>- 16 -</w:t>
      </w:r>
      <w:r>
        <w:fldChar w:fldCharType="end"/>
      </w:r>
      <w:r>
        <w:rPr>
          <w:rFonts w:hint="eastAsia" w:ascii="仿宋" w:hAnsi="仿宋" w:eastAsia="仿宋" w:cs="仿宋"/>
          <w:szCs w:val="30"/>
        </w:rPr>
        <w:fldChar w:fldCharType="end"/>
      </w:r>
    </w:p>
    <w:p w14:paraId="18F822AF">
      <w:pPr>
        <w:pStyle w:val="14"/>
        <w:tabs>
          <w:tab w:val="right" w:leader="dot" w:pos="8640"/>
        </w:tabs>
      </w:pPr>
      <w:r>
        <w:rPr>
          <w:rFonts w:hint="eastAsia" w:ascii="仿宋" w:hAnsi="仿宋" w:eastAsia="仿宋" w:cs="仿宋"/>
          <w:szCs w:val="30"/>
        </w:rPr>
        <w:fldChar w:fldCharType="begin"/>
      </w:r>
      <w:r>
        <w:rPr>
          <w:rFonts w:hint="eastAsia" w:ascii="仿宋" w:hAnsi="仿宋" w:eastAsia="仿宋" w:cs="仿宋"/>
          <w:szCs w:val="30"/>
        </w:rPr>
        <w:instrText xml:space="preserve"> HYPERLINK \l _Toc9409 </w:instrText>
      </w:r>
      <w:r>
        <w:rPr>
          <w:rFonts w:hint="eastAsia" w:ascii="仿宋" w:hAnsi="仿宋" w:eastAsia="仿宋" w:cs="仿宋"/>
          <w:szCs w:val="30"/>
        </w:rPr>
        <w:fldChar w:fldCharType="separate"/>
      </w:r>
      <w:r>
        <w:rPr>
          <w:rFonts w:hint="eastAsia"/>
          <w:szCs w:val="36"/>
          <w:lang w:val="en-US" w:eastAsia="zh-CN"/>
        </w:rPr>
        <w:t>八、规划保障措施</w:t>
      </w:r>
      <w:r>
        <w:tab/>
      </w:r>
      <w:r>
        <w:fldChar w:fldCharType="begin"/>
      </w:r>
      <w:r>
        <w:instrText xml:space="preserve"> PAGEREF _Toc9409 \h </w:instrText>
      </w:r>
      <w:r>
        <w:fldChar w:fldCharType="separate"/>
      </w:r>
      <w:r>
        <w:t>- 17 -</w:t>
      </w:r>
      <w:r>
        <w:fldChar w:fldCharType="end"/>
      </w:r>
      <w:r>
        <w:rPr>
          <w:rFonts w:hint="eastAsia" w:ascii="仿宋" w:hAnsi="仿宋" w:eastAsia="仿宋" w:cs="仿宋"/>
          <w:szCs w:val="30"/>
        </w:rPr>
        <w:fldChar w:fldCharType="end"/>
      </w:r>
    </w:p>
    <w:p w14:paraId="5676BE47">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left"/>
        <w:textAlignment w:val="auto"/>
        <w:rPr>
          <w:rFonts w:hint="eastAsia" w:ascii="仿宋" w:hAnsi="仿宋" w:eastAsia="仿宋" w:cs="仿宋"/>
          <w:sz w:val="30"/>
          <w:szCs w:val="30"/>
        </w:rPr>
      </w:pPr>
      <w:r>
        <w:rPr>
          <w:rFonts w:hint="eastAsia" w:ascii="仿宋" w:hAnsi="仿宋" w:eastAsia="仿宋" w:cs="仿宋"/>
          <w:szCs w:val="30"/>
        </w:rPr>
        <w:fldChar w:fldCharType="end"/>
      </w:r>
    </w:p>
    <w:p w14:paraId="2AC8A7DC">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黑体" w:hAnsi="黑体" w:eastAsia="黑体"/>
          <w:b/>
          <w:bCs/>
          <w:sz w:val="36"/>
          <w:szCs w:val="36"/>
        </w:rPr>
      </w:pPr>
      <w:r>
        <w:rPr>
          <w:rFonts w:hint="eastAsia" w:ascii="黑体" w:hAnsi="黑体" w:eastAsia="黑体" w:cs="黑体"/>
          <w:b w:val="0"/>
          <w:bCs/>
          <w:sz w:val="36"/>
          <w:szCs w:val="36"/>
        </w:rPr>
        <w:t>附    表</w:t>
      </w:r>
    </w:p>
    <w:p w14:paraId="0C43DB31">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附表1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能源资源基地表</w:t>
      </w:r>
    </w:p>
    <w:p w14:paraId="7EEA2D65">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附表2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国家规划矿区表</w:t>
      </w:r>
    </w:p>
    <w:p w14:paraId="6A8C85BF">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附表3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战略性矿产资源储备矿产地表</w:t>
      </w:r>
    </w:p>
    <w:p w14:paraId="2337BFDD">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附表4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矿产资源重点勘查区表</w:t>
      </w:r>
    </w:p>
    <w:p w14:paraId="34F6491D">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附表5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勘查规划区块表</w:t>
      </w:r>
    </w:p>
    <w:p w14:paraId="3D9687A6">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附表6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矿产资源重点开采区表</w:t>
      </w:r>
    </w:p>
    <w:p w14:paraId="756F3A8A">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附表7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开采规划区块表</w:t>
      </w:r>
    </w:p>
    <w:p w14:paraId="7DB9CD59">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hAnsi="仿宋" w:eastAsia="仿宋_GB2312"/>
          <w:sz w:val="30"/>
          <w:szCs w:val="30"/>
          <w:lang w:val="en-US" w:eastAsia="zh-CN"/>
        </w:rPr>
      </w:pPr>
      <w:r>
        <w:rPr>
          <w:rFonts w:hint="eastAsia" w:ascii="仿宋_GB2312" w:hAnsi="仿宋" w:eastAsia="仿宋_GB2312"/>
          <w:sz w:val="30"/>
          <w:szCs w:val="30"/>
        </w:rPr>
        <w:t xml:space="preserve">附表8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砂石土类集中开采区</w:t>
      </w:r>
      <w:r>
        <w:rPr>
          <w:rFonts w:hint="eastAsia" w:ascii="仿宋_GB2312" w:hAnsi="仿宋" w:eastAsia="仿宋_GB2312"/>
          <w:sz w:val="30"/>
          <w:szCs w:val="30"/>
          <w:lang w:val="en-US" w:eastAsia="zh-CN"/>
        </w:rPr>
        <w:t>表</w:t>
      </w:r>
    </w:p>
    <w:p w14:paraId="41FDB828">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rPr>
        <w:t xml:space="preserve">附表9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矿产资源重点勘查项目规划表</w:t>
      </w:r>
    </w:p>
    <w:p w14:paraId="3C4D6549">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hAnsi="仿宋" w:eastAsia="仿宋_GB2312"/>
          <w:sz w:val="30"/>
          <w:szCs w:val="30"/>
        </w:rPr>
      </w:pPr>
      <w:r>
        <w:rPr>
          <w:rFonts w:hint="eastAsia" w:ascii="仿宋_GB2312" w:hAnsi="仿宋" w:eastAsia="仿宋_GB2312"/>
          <w:sz w:val="30"/>
          <w:szCs w:val="30"/>
        </w:rPr>
        <w:t>附表</w:t>
      </w:r>
      <w:r>
        <w:rPr>
          <w:rFonts w:hint="eastAsia" w:ascii="仿宋_GB2312" w:hAnsi="仿宋" w:eastAsia="仿宋_GB2312"/>
          <w:sz w:val="30"/>
          <w:szCs w:val="30"/>
          <w:lang w:val="en-US" w:eastAsia="zh-CN"/>
        </w:rPr>
        <w:t>10</w:t>
      </w:r>
      <w:r>
        <w:rPr>
          <w:rFonts w:hint="eastAsia" w:ascii="仿宋_GB2312" w:hAnsi="仿宋" w:eastAsia="仿宋_GB2312"/>
          <w:sz w:val="30"/>
          <w:szCs w:val="30"/>
        </w:rPr>
        <w:t xml:space="preserve">   </w:t>
      </w: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矿产资源重点开采项目规划表</w:t>
      </w:r>
    </w:p>
    <w:p w14:paraId="3D6E5E90">
      <w:pPr>
        <w:keepNext w:val="0"/>
        <w:keepLines w:val="0"/>
        <w:pageBreakBefore w:val="0"/>
        <w:widowControl w:val="0"/>
        <w:tabs>
          <w:tab w:val="right" w:leader="dot" w:pos="8296"/>
        </w:tabs>
        <w:kinsoku/>
        <w:wordWrap/>
        <w:overflowPunct/>
        <w:topLinePunct w:val="0"/>
        <w:autoSpaceDE/>
        <w:autoSpaceDN/>
        <w:bidi w:val="0"/>
        <w:adjustRightInd/>
        <w:snapToGrid/>
        <w:spacing w:line="540" w:lineRule="exact"/>
        <w:ind w:left="687" w:hanging="687" w:hangingChars="190"/>
        <w:jc w:val="center"/>
        <w:textAlignment w:val="auto"/>
        <w:rPr>
          <w:rFonts w:hint="eastAsia" w:ascii="黑体" w:hAnsi="黑体" w:eastAsia="黑体" w:cs="Times New Roman"/>
          <w:b/>
          <w:bCs/>
          <w:kern w:val="2"/>
          <w:sz w:val="36"/>
          <w:szCs w:val="36"/>
          <w:lang w:val="en-US" w:eastAsia="zh-CN" w:bidi="ar-SA"/>
        </w:rPr>
      </w:pPr>
    </w:p>
    <w:p w14:paraId="4D123B26">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黑体" w:hAnsi="黑体" w:eastAsia="黑体" w:cs="Times New Roman"/>
          <w:b/>
          <w:bCs/>
          <w:kern w:val="2"/>
          <w:sz w:val="36"/>
          <w:szCs w:val="36"/>
          <w:lang w:val="en-US" w:eastAsia="zh-CN" w:bidi="ar-SA"/>
        </w:rPr>
      </w:pPr>
      <w:r>
        <w:rPr>
          <w:rFonts w:hint="eastAsia" w:ascii="黑体" w:hAnsi="黑体" w:eastAsia="黑体" w:cs="黑体"/>
          <w:b w:val="0"/>
          <w:bCs/>
          <w:sz w:val="36"/>
          <w:szCs w:val="36"/>
          <w:lang w:val="en-US" w:eastAsia="zh-CN"/>
        </w:rPr>
        <w:t>附    图</w:t>
      </w:r>
    </w:p>
    <w:p w14:paraId="2F1B7FA6">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矿产资源分布图</w:t>
      </w:r>
    </w:p>
    <w:p w14:paraId="1BA30AC1">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矿产资源勘查开发利用现状图</w:t>
      </w:r>
    </w:p>
    <w:p w14:paraId="1F82A9D3">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矿产资源勘查开发保护总体布局图</w:t>
      </w:r>
    </w:p>
    <w:p w14:paraId="2BDF7AEF">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ascii="仿宋_GB2312" w:hAnsi="仿宋" w:eastAsia="仿宋_GB2312"/>
          <w:sz w:val="30"/>
          <w:szCs w:val="30"/>
        </w:rPr>
      </w:pP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矿产资源勘查规划图</w:t>
      </w:r>
    </w:p>
    <w:p w14:paraId="20604206">
      <w:pPr>
        <w:keepNext w:val="0"/>
        <w:keepLines w:val="0"/>
        <w:pageBreakBefore w:val="0"/>
        <w:widowControl w:val="0"/>
        <w:kinsoku/>
        <w:wordWrap/>
        <w:overflowPunct/>
        <w:topLinePunct w:val="0"/>
        <w:autoSpaceDE/>
        <w:autoSpaceDN/>
        <w:bidi w:val="0"/>
        <w:adjustRightInd/>
        <w:snapToGrid/>
        <w:spacing w:line="540" w:lineRule="exact"/>
        <w:ind w:firstLine="600" w:firstLineChars="200"/>
        <w:textAlignment w:val="auto"/>
        <w:rPr>
          <w:rFonts w:hint="eastAsia" w:ascii="仿宋_GB2312" w:eastAsia="仿宋_GB2312"/>
          <w:b/>
          <w:bCs/>
          <w:sz w:val="36"/>
          <w:szCs w:val="36"/>
        </w:rPr>
        <w:sectPr>
          <w:headerReference r:id="rId11" w:type="default"/>
          <w:footerReference r:id="rId12" w:type="default"/>
          <w:pgSz w:w="11906" w:h="16838"/>
          <w:pgMar w:top="1440" w:right="1469" w:bottom="1440" w:left="1797" w:header="851" w:footer="992" w:gutter="0"/>
          <w:pgNumType w:fmt="numberInDash" w:start="1"/>
          <w:cols w:space="425" w:num="1"/>
          <w:docGrid w:type="lines" w:linePitch="312" w:charSpace="0"/>
        </w:sectPr>
      </w:pPr>
      <w:r>
        <w:rPr>
          <w:rFonts w:hint="eastAsia" w:ascii="仿宋_GB2312" w:hAnsi="仿宋" w:eastAsia="仿宋_GB2312"/>
          <w:sz w:val="30"/>
          <w:szCs w:val="30"/>
          <w:lang w:val="en-US" w:eastAsia="zh-CN"/>
        </w:rPr>
        <w:t>马边县</w:t>
      </w:r>
      <w:r>
        <w:rPr>
          <w:rFonts w:hint="eastAsia" w:ascii="仿宋_GB2312" w:hAnsi="仿宋" w:eastAsia="仿宋_GB2312"/>
          <w:sz w:val="30"/>
          <w:szCs w:val="30"/>
        </w:rPr>
        <w:t>矿产资源开采规划图</w:t>
      </w:r>
    </w:p>
    <w:p w14:paraId="4255DC98">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bCs/>
          <w:sz w:val="36"/>
          <w:szCs w:val="36"/>
        </w:rPr>
      </w:pPr>
      <w:r>
        <w:rPr>
          <w:rFonts w:hint="eastAsia" w:ascii="仿宋_GB2312" w:eastAsia="仿宋_GB2312"/>
          <w:b/>
          <w:bCs/>
          <w:sz w:val="36"/>
          <w:szCs w:val="36"/>
          <w:lang w:val="en-US" w:eastAsia="zh-CN"/>
        </w:rPr>
        <w:t>马边</w:t>
      </w:r>
      <w:r>
        <w:rPr>
          <w:rFonts w:hint="eastAsia" w:ascii="仿宋_GB2312" w:eastAsia="仿宋_GB2312"/>
          <w:b/>
          <w:bCs/>
          <w:sz w:val="36"/>
          <w:szCs w:val="36"/>
        </w:rPr>
        <w:t>县矿产资源</w:t>
      </w:r>
      <w:r>
        <w:rPr>
          <w:rFonts w:hint="eastAsia" w:ascii="仿宋_GB2312" w:eastAsia="仿宋_GB2312"/>
          <w:b/>
          <w:bCs/>
          <w:sz w:val="36"/>
          <w:szCs w:val="36"/>
          <w:lang w:eastAsia="zh-CN"/>
        </w:rPr>
        <w:t>“</w:t>
      </w:r>
      <w:r>
        <w:rPr>
          <w:rFonts w:hint="eastAsia" w:ascii="仿宋_GB2312" w:eastAsia="仿宋_GB2312"/>
          <w:b/>
          <w:bCs/>
          <w:sz w:val="36"/>
          <w:szCs w:val="36"/>
        </w:rPr>
        <w:t>十五五</w:t>
      </w:r>
      <w:r>
        <w:rPr>
          <w:rFonts w:hint="eastAsia" w:ascii="仿宋_GB2312" w:eastAsia="仿宋_GB2312"/>
          <w:b/>
          <w:bCs/>
          <w:sz w:val="36"/>
          <w:szCs w:val="36"/>
          <w:lang w:eastAsia="zh-CN"/>
        </w:rPr>
        <w:t>”</w:t>
      </w:r>
      <w:r>
        <w:rPr>
          <w:rFonts w:hint="eastAsia" w:ascii="仿宋_GB2312" w:eastAsia="仿宋_GB2312"/>
          <w:b/>
          <w:bCs/>
          <w:sz w:val="36"/>
          <w:szCs w:val="36"/>
        </w:rPr>
        <w:t>规划</w:t>
      </w:r>
    </w:p>
    <w:p w14:paraId="13CDDDA4">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eastAsia="仿宋_GB2312" w:cs="Times New Roman"/>
          <w:sz w:val="32"/>
          <w:szCs w:val="32"/>
          <w:lang w:eastAsia="zh-CN"/>
        </w:rPr>
      </w:pPr>
      <w:r>
        <w:rPr>
          <w:rFonts w:hint="eastAsia" w:ascii="Times New Roman" w:hAnsi="Times New Roman" w:eastAsia="仿宋_GB2312" w:cs="Times New Roman"/>
          <w:b w:val="0"/>
          <w:bCs w:val="0"/>
          <w:sz w:val="32"/>
          <w:szCs w:val="32"/>
          <w:lang w:eastAsia="zh-CN"/>
        </w:rPr>
        <w:t>（</w:t>
      </w:r>
      <w:r>
        <w:rPr>
          <w:rFonts w:hint="eastAsia" w:ascii="Times New Roman" w:hAnsi="Times New Roman" w:eastAsia="仿宋_GB2312" w:cs="Times New Roman"/>
          <w:b w:val="0"/>
          <w:bCs w:val="0"/>
          <w:sz w:val="32"/>
          <w:szCs w:val="32"/>
          <w:lang w:val="en-US" w:eastAsia="zh-CN"/>
        </w:rPr>
        <w:t>征求意见稿</w:t>
      </w:r>
      <w:r>
        <w:rPr>
          <w:rFonts w:hint="eastAsia" w:ascii="Times New Roman" w:hAnsi="Times New Roman" w:eastAsia="仿宋_GB2312" w:cs="Times New Roman"/>
          <w:b w:val="0"/>
          <w:bCs w:val="0"/>
          <w:sz w:val="32"/>
          <w:szCs w:val="32"/>
          <w:lang w:eastAsia="zh-CN"/>
        </w:rPr>
        <w:t>）</w:t>
      </w:r>
    </w:p>
    <w:p w14:paraId="570288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eastAsia="zh-CN"/>
        </w:rPr>
      </w:pPr>
      <w:bookmarkStart w:id="0" w:name="_Toc16156"/>
      <w:r>
        <w:rPr>
          <w:rFonts w:hint="default" w:ascii="Times New Roman" w:hAnsi="Times New Roman" w:eastAsia="仿宋_GB2312" w:cs="Times New Roman"/>
          <w:sz w:val="32"/>
          <w:szCs w:val="32"/>
        </w:rPr>
        <w:t>“十五五”时期，是我国基本实现社会主义现代化承上启下的关键时期，也是我县推动经济量质齐升、打开高质量发展新局面的重要时期。围绕省委“四化同步、城乡融合、五区共兴”发展战略和市委“工业强市、文旅兴市”发展战略，深入实施“工业强县、文旅兴县”发展战略，推动经济实现质的有效提升和量的合理增长</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rPr>
        <w:t>全省欠发达地区振兴发展先行区</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全国绿色矿业创新基地</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依据《中华人民共和国矿产资源法》及其实施细则、《矿产资源规划编制实施办法》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乐山市</w:t>
      </w:r>
      <w:r>
        <w:rPr>
          <w:rFonts w:hint="default" w:ascii="Times New Roman" w:hAnsi="Times New Roman" w:eastAsia="仿宋_GB2312" w:cs="Times New Roman"/>
          <w:sz w:val="32"/>
          <w:szCs w:val="32"/>
        </w:rPr>
        <w:t>矿产资源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十五五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规划》，结合《</w:t>
      </w:r>
      <w:r>
        <w:rPr>
          <w:rFonts w:hint="default" w:ascii="Times New Roman" w:hAnsi="Times New Roman" w:eastAsia="仿宋_GB2312" w:cs="Times New Roman"/>
          <w:sz w:val="32"/>
          <w:szCs w:val="32"/>
          <w:lang w:val="en-US" w:eastAsia="zh-CN"/>
        </w:rPr>
        <w:t>马边</w:t>
      </w:r>
      <w:r>
        <w:rPr>
          <w:rFonts w:hint="default" w:ascii="Times New Roman" w:hAnsi="Times New Roman" w:eastAsia="仿宋_GB2312" w:cs="Times New Roman"/>
          <w:sz w:val="32"/>
          <w:szCs w:val="32"/>
        </w:rPr>
        <w:t>县国民经济和社会发展第十五个五年规划纲要》</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马边</w:t>
      </w:r>
      <w:r>
        <w:rPr>
          <w:rFonts w:hint="eastAsia" w:eastAsia="仿宋_GB2312" w:cs="Times New Roman"/>
          <w:sz w:val="32"/>
          <w:szCs w:val="32"/>
          <w:lang w:val="en-US" w:eastAsia="zh-CN"/>
        </w:rPr>
        <w:t>彝族自治</w:t>
      </w:r>
      <w:r>
        <w:rPr>
          <w:rFonts w:hint="default" w:ascii="Times New Roman" w:hAnsi="Times New Roman" w:eastAsia="仿宋_GB2312" w:cs="Times New Roman"/>
          <w:sz w:val="32"/>
          <w:szCs w:val="32"/>
        </w:rPr>
        <w:t>县国土空间总体规划（2021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2035年）》等相关规划要求，立足</w:t>
      </w:r>
      <w:r>
        <w:rPr>
          <w:rFonts w:hint="default" w:ascii="Times New Roman" w:hAnsi="Times New Roman" w:eastAsia="仿宋_GB2312" w:cs="Times New Roman"/>
          <w:sz w:val="32"/>
          <w:szCs w:val="32"/>
          <w:lang w:val="en-US" w:eastAsia="zh-CN"/>
        </w:rPr>
        <w:t>马边</w:t>
      </w:r>
      <w:r>
        <w:rPr>
          <w:rFonts w:hint="default"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矿产资源禀赋特征与开发利用实际，制定《</w:t>
      </w:r>
      <w:r>
        <w:rPr>
          <w:rFonts w:hint="default" w:ascii="Times New Roman" w:hAnsi="Times New Roman" w:eastAsia="仿宋_GB2312" w:cs="Times New Roman"/>
          <w:sz w:val="32"/>
          <w:szCs w:val="32"/>
          <w:lang w:val="en-US" w:eastAsia="zh-CN"/>
        </w:rPr>
        <w:t>马边</w:t>
      </w:r>
      <w:r>
        <w:rPr>
          <w:rFonts w:hint="default" w:ascii="Times New Roman" w:hAnsi="Times New Roman" w:eastAsia="仿宋_GB2312" w:cs="Times New Roman"/>
          <w:sz w:val="32"/>
          <w:szCs w:val="32"/>
        </w:rPr>
        <w:t>县矿产资源</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十五五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规划》</w:t>
      </w:r>
      <w:r>
        <w:rPr>
          <w:rFonts w:hint="default" w:ascii="Times New Roman" w:hAnsi="Times New Roman" w:eastAsia="仿宋_GB2312" w:cs="Times New Roman"/>
          <w:sz w:val="32"/>
          <w:szCs w:val="32"/>
          <w:lang w:eastAsia="zh-CN"/>
        </w:rPr>
        <w:t>。</w:t>
      </w:r>
    </w:p>
    <w:p w14:paraId="5149FBFD">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eastAsia"/>
          <w:sz w:val="36"/>
          <w:szCs w:val="36"/>
          <w:lang w:val="en-US" w:eastAsia="zh-CN"/>
        </w:rPr>
      </w:pPr>
      <w:bookmarkStart w:id="1" w:name="_Toc15425"/>
      <w:r>
        <w:rPr>
          <w:rFonts w:hint="eastAsia"/>
          <w:sz w:val="36"/>
          <w:szCs w:val="36"/>
          <w:lang w:val="en-US" w:eastAsia="zh-CN"/>
        </w:rPr>
        <w:t>一、发展目标</w:t>
      </w:r>
      <w:bookmarkEnd w:id="0"/>
      <w:bookmarkEnd w:id="1"/>
    </w:p>
    <w:p w14:paraId="3BDD6254">
      <w:pPr>
        <w:pageBreakBefore w:val="0"/>
        <w:widowControl w:val="0"/>
        <w:kinsoku/>
        <w:wordWrap/>
        <w:overflowPunct/>
        <w:topLinePunct w:val="0"/>
        <w:autoSpaceDE/>
        <w:autoSpaceDN/>
        <w:bidi w:val="0"/>
        <w:adjustRightInd/>
        <w:snapToGrid/>
        <w:spacing w:line="560" w:lineRule="exact"/>
        <w:ind w:firstLine="640"/>
        <w:textAlignment w:val="auto"/>
      </w:pPr>
      <w:r>
        <w:rPr>
          <w:rFonts w:hint="eastAsia" w:ascii="仿宋_GB2312" w:hAnsi="Calibri" w:eastAsia="仿宋_GB2312" w:cs="仿宋_GB2312"/>
          <w:szCs w:val="32"/>
        </w:rPr>
        <w:t>以习近平新时代中国特色社会主义思想为指导，深入贯彻党的二十大</w:t>
      </w:r>
      <w:bookmarkStart w:id="62" w:name="_GoBack"/>
      <w:bookmarkEnd w:id="62"/>
      <w:r>
        <w:rPr>
          <w:rFonts w:hint="eastAsia" w:ascii="仿宋_GB2312" w:hAnsi="Calibri" w:eastAsia="仿宋_GB2312" w:cs="仿宋_GB2312"/>
          <w:szCs w:val="32"/>
        </w:rPr>
        <w:t>精神、习近平总书记对四川工作系列重要指示精神，全面落实省委省政府、</w:t>
      </w:r>
      <w:r>
        <w:rPr>
          <w:rFonts w:hint="eastAsia" w:ascii="仿宋_GB2312" w:hAnsi="Calibri" w:eastAsia="仿宋_GB2312" w:cs="仿宋_GB2312"/>
          <w:szCs w:val="32"/>
          <w:lang w:val="en-US" w:eastAsia="zh-CN"/>
        </w:rPr>
        <w:t>市</w:t>
      </w:r>
      <w:r>
        <w:rPr>
          <w:rFonts w:hint="eastAsia" w:ascii="仿宋_GB2312" w:hAnsi="Calibri" w:eastAsia="仿宋_GB2312" w:cs="仿宋_GB2312"/>
          <w:szCs w:val="32"/>
        </w:rPr>
        <w:t>委</w:t>
      </w:r>
      <w:r>
        <w:rPr>
          <w:rFonts w:hint="eastAsia" w:ascii="仿宋_GB2312" w:hAnsi="Calibri" w:eastAsia="仿宋_GB2312" w:cs="仿宋_GB2312"/>
          <w:szCs w:val="32"/>
          <w:lang w:val="en-US" w:eastAsia="zh-CN"/>
        </w:rPr>
        <w:t>市</w:t>
      </w:r>
      <w:r>
        <w:rPr>
          <w:rFonts w:hint="eastAsia" w:ascii="仿宋_GB2312" w:hAnsi="Calibri" w:eastAsia="仿宋_GB2312" w:cs="仿宋_GB2312"/>
          <w:szCs w:val="32"/>
        </w:rPr>
        <w:t>政府及县委县政府决策部署，完整、准确、全面贯彻新发展理念，服务和融入新发展格局。</w:t>
      </w:r>
      <w:r>
        <w:rPr>
          <w:rFonts w:hint="eastAsia" w:ascii="仿宋_GB2312" w:hAnsi="Calibri" w:eastAsia="仿宋_GB2312" w:cs="仿宋_GB2312"/>
          <w:szCs w:val="32"/>
          <w:lang w:val="en-US" w:eastAsia="zh-CN"/>
        </w:rPr>
        <w:t>立足资源禀赋，</w:t>
      </w:r>
      <w:r>
        <w:rPr>
          <w:rFonts w:hint="default" w:ascii="Times New Roman" w:hAnsi="Times New Roman" w:eastAsia="仿宋_GB2312" w:cs="Times New Roman"/>
          <w:sz w:val="32"/>
          <w:szCs w:val="32"/>
        </w:rPr>
        <w:t>深入实施“工业强县、文旅兴县”发展战略</w:t>
      </w:r>
      <w:r>
        <w:rPr>
          <w:rFonts w:hint="eastAsia" w:ascii="仿宋_GB2312" w:hAnsi="Calibri" w:eastAsia="仿宋_GB2312" w:cs="仿宋_GB2312"/>
          <w:szCs w:val="32"/>
        </w:rPr>
        <w:t>，</w:t>
      </w:r>
      <w:r>
        <w:rPr>
          <w:rFonts w:hint="default"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rPr>
        <w:t>全省欠发达地区振兴发展先行区</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全国绿色矿业创新基地</w:t>
      </w:r>
      <w:r>
        <w:rPr>
          <w:rFonts w:hint="default" w:ascii="Times New Roman" w:hAnsi="Times New Roman" w:eastAsia="仿宋_GB2312" w:cs="Times New Roman"/>
          <w:sz w:val="32"/>
          <w:szCs w:val="32"/>
          <w:lang w:eastAsia="zh-CN"/>
        </w:rPr>
        <w:t>”</w:t>
      </w:r>
      <w:r>
        <w:rPr>
          <w:rFonts w:hint="eastAsia" w:ascii="仿宋_GB2312" w:hAnsi="Calibri" w:eastAsia="仿宋_GB2312" w:cs="仿宋_GB2312"/>
          <w:szCs w:val="32"/>
          <w:lang w:eastAsia="zh-CN"/>
        </w:rPr>
        <w:t>，</w:t>
      </w:r>
      <w:r>
        <w:rPr>
          <w:rFonts w:hint="eastAsia" w:ascii="仿宋_GB2312" w:hAnsi="Calibri" w:eastAsia="仿宋_GB2312" w:cs="仿宋_GB2312"/>
          <w:szCs w:val="32"/>
        </w:rPr>
        <w:t>围绕</w:t>
      </w:r>
      <w:r>
        <w:rPr>
          <w:rFonts w:hint="eastAsia" w:ascii="仿宋_GB2312" w:hAnsi="Calibri" w:eastAsia="仿宋_GB2312" w:cs="仿宋_GB2312"/>
          <w:szCs w:val="32"/>
          <w:lang w:eastAsia="zh-CN"/>
        </w:rPr>
        <w:t>“</w:t>
      </w:r>
      <w:r>
        <w:rPr>
          <w:rFonts w:hint="eastAsia" w:ascii="仿宋_GB2312" w:hAnsi="Calibri" w:eastAsia="仿宋_GB2312" w:cs="仿宋_GB2312"/>
          <w:szCs w:val="32"/>
        </w:rPr>
        <w:t>保障资源安全、服务高质量发展、守住生态底线</w:t>
      </w:r>
      <w:r>
        <w:rPr>
          <w:rFonts w:hint="eastAsia" w:ascii="仿宋_GB2312" w:hAnsi="Calibri" w:eastAsia="仿宋_GB2312" w:cs="仿宋_GB2312"/>
          <w:szCs w:val="32"/>
          <w:lang w:eastAsia="zh-CN"/>
        </w:rPr>
        <w:t>”</w:t>
      </w:r>
      <w:r>
        <w:rPr>
          <w:rFonts w:hint="eastAsia" w:ascii="仿宋_GB2312" w:hAnsi="Calibri" w:eastAsia="仿宋_GB2312" w:cs="仿宋_GB2312"/>
          <w:szCs w:val="32"/>
        </w:rPr>
        <w:t>三大核心，统筹矿产资源勘查、开发、保护与利用，着力提升矿业全产业链开发利用水平，推动矿业绿色化、智能化、集约化发展，为</w:t>
      </w:r>
      <w:r>
        <w:rPr>
          <w:rFonts w:hint="eastAsia" w:ascii="仿宋_GB2312" w:hAnsi="Calibri" w:eastAsia="仿宋_GB2312" w:cs="仿宋_GB2312"/>
          <w:szCs w:val="32"/>
          <w:lang w:val="en-US" w:eastAsia="zh-CN"/>
        </w:rPr>
        <w:t>马边</w:t>
      </w:r>
      <w:r>
        <w:rPr>
          <w:rFonts w:hint="eastAsia" w:ascii="仿宋_GB2312" w:hAnsi="Calibri" w:eastAsia="仿宋_GB2312" w:cs="仿宋_GB2312"/>
          <w:szCs w:val="32"/>
        </w:rPr>
        <w:t>县社会经济可持续发展提供资源支撑。</w:t>
      </w:r>
    </w:p>
    <w:p w14:paraId="6838AD57">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Calibri" w:eastAsia="仿宋_GB2312" w:cs="仿宋_GB2312"/>
          <w:szCs w:val="32"/>
        </w:rPr>
      </w:pPr>
      <w:r>
        <w:rPr>
          <w:rFonts w:hint="eastAsia" w:ascii="仿宋_GB2312" w:hAnsi="Calibri" w:eastAsia="仿宋_GB2312" w:cs="仿宋_GB2312"/>
          <w:szCs w:val="32"/>
        </w:rPr>
        <w:t>矿产勘查实现新突破，资源供给能力进一步提高；矿业开发布局与产业结构持续优化，矿产资源节约集约利用效能显著提升，优势矿业产业集群能级不断壮大；绿色勘查全面推行，绿色矿山建设成效显著，绿色矿业发展格局基本成型；矿产资源管理水平进一步提升。</w:t>
      </w:r>
    </w:p>
    <w:p w14:paraId="62897214">
      <w:pPr>
        <w:spacing w:line="360" w:lineRule="auto"/>
        <w:ind w:left="0" w:leftChars="0" w:firstLine="0" w:firstLineChars="0"/>
        <w:jc w:val="center"/>
        <w:rPr>
          <w:rFonts w:hint="eastAsia" w:ascii="仿宋" w:hAnsi="仿宋"/>
          <w:b/>
          <w:bCs/>
          <w:snapToGrid w:val="0"/>
          <w:kern w:val="0"/>
          <w:sz w:val="24"/>
          <w:szCs w:val="24"/>
        </w:rPr>
      </w:pPr>
      <w:r>
        <w:rPr>
          <w:rFonts w:hint="eastAsia" w:ascii="仿宋" w:hAnsi="仿宋"/>
          <w:b/>
          <w:bCs/>
          <w:snapToGrid w:val="0"/>
          <w:kern w:val="0"/>
          <w:sz w:val="24"/>
          <w:szCs w:val="24"/>
        </w:rPr>
        <w:t>专栏</w:t>
      </w:r>
      <w:r>
        <w:rPr>
          <w:rFonts w:hint="eastAsia" w:ascii="仿宋" w:hAnsi="仿宋"/>
          <w:b/>
          <w:bCs/>
          <w:snapToGrid w:val="0"/>
          <w:kern w:val="0"/>
          <w:sz w:val="24"/>
          <w:szCs w:val="24"/>
          <w:lang w:val="en-US" w:eastAsia="zh-CN"/>
        </w:rPr>
        <w:t>一</w:t>
      </w:r>
      <w:r>
        <w:rPr>
          <w:rFonts w:hint="eastAsia" w:ascii="仿宋" w:hAnsi="仿宋"/>
          <w:b/>
          <w:bCs/>
          <w:snapToGrid w:val="0"/>
          <w:kern w:val="0"/>
          <w:sz w:val="24"/>
          <w:szCs w:val="24"/>
        </w:rPr>
        <w:t xml:space="preserve"> </w:t>
      </w:r>
      <w:r>
        <w:rPr>
          <w:rFonts w:hint="eastAsia" w:ascii="仿宋" w:hAnsi="仿宋"/>
          <w:b/>
          <w:bCs/>
          <w:snapToGrid w:val="0"/>
          <w:kern w:val="0"/>
          <w:sz w:val="24"/>
          <w:szCs w:val="24"/>
          <w:lang w:val="en-US" w:eastAsia="zh-CN"/>
        </w:rPr>
        <w:t>马边</w:t>
      </w:r>
      <w:r>
        <w:rPr>
          <w:rFonts w:hint="eastAsia" w:ascii="仿宋" w:hAnsi="仿宋"/>
          <w:b/>
          <w:bCs/>
          <w:snapToGrid w:val="0"/>
          <w:kern w:val="0"/>
          <w:sz w:val="24"/>
          <w:szCs w:val="24"/>
        </w:rPr>
        <w:t>县矿产资源勘查开发与利用主要指标</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99"/>
        <w:gridCol w:w="1726"/>
        <w:gridCol w:w="1845"/>
        <w:gridCol w:w="1441"/>
        <w:gridCol w:w="1282"/>
        <w:gridCol w:w="958"/>
      </w:tblGrid>
      <w:tr w14:paraId="3BA3D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C70CD">
            <w:pPr>
              <w:adjustRightInd w:val="0"/>
              <w:snapToGrid w:val="0"/>
              <w:ind w:firstLine="0" w:firstLineChars="0"/>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类别</w:t>
            </w: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730E92">
            <w:pPr>
              <w:adjustRightInd w:val="0"/>
              <w:snapToGrid w:val="0"/>
              <w:ind w:firstLine="0" w:firstLineChars="0"/>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指标名称</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4884">
            <w:pPr>
              <w:adjustRightInd w:val="0"/>
              <w:snapToGrid w:val="0"/>
              <w:ind w:firstLine="0" w:firstLineChars="0"/>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单位</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7BF10">
            <w:pPr>
              <w:adjustRightInd w:val="0"/>
              <w:snapToGrid w:val="0"/>
              <w:ind w:firstLine="0" w:firstLineChars="0"/>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规划目标</w:t>
            </w:r>
          </w:p>
        </w:tc>
        <w:tc>
          <w:tcPr>
            <w:tcW w:w="5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7C5C6">
            <w:pPr>
              <w:adjustRightInd w:val="0"/>
              <w:snapToGrid w:val="0"/>
              <w:ind w:firstLine="0" w:firstLineChars="0"/>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rPr>
              <w:t>属性</w:t>
            </w:r>
          </w:p>
        </w:tc>
      </w:tr>
      <w:tr w14:paraId="540A4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CA5A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矿产资源勘查</w:t>
            </w: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2D7A04">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新发现矿产地</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F98E">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处</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C5A57">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1-2</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315C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预期性</w:t>
            </w:r>
          </w:p>
        </w:tc>
      </w:tr>
      <w:tr w14:paraId="0A8C2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left w:val="single" w:color="000000" w:sz="4" w:space="0"/>
              <w:right w:val="single" w:color="000000" w:sz="4" w:space="0"/>
            </w:tcBorders>
            <w:shd w:val="clear" w:color="auto" w:fill="auto"/>
            <w:vAlign w:val="center"/>
          </w:tcPr>
          <w:p w14:paraId="56280B9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5FAF79">
            <w:pPr>
              <w:keepNext w:val="0"/>
              <w:keepLines w:val="0"/>
              <w:suppressLineNumbers w:val="0"/>
              <w:adjustRightInd w:val="0"/>
              <w:snapToGrid w:val="0"/>
              <w:spacing w:before="0" w:beforeAutospacing="0" w:after="0" w:afterAutospacing="0"/>
              <w:ind w:left="0" w:right="0" w:firstLine="0" w:firstLineChars="0"/>
              <w:jc w:val="center"/>
              <w:rPr>
                <w:rFonts w:hint="default"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C220">
            <w:pPr>
              <w:keepNext w:val="0"/>
              <w:keepLines w:val="0"/>
              <w:suppressLineNumbers w:val="0"/>
              <w:adjustRightInd w:val="0"/>
              <w:snapToGrid w:val="0"/>
              <w:spacing w:before="0" w:beforeAutospacing="0" w:after="0" w:afterAutospacing="0"/>
              <w:ind w:left="0" w:right="0" w:firstLine="0" w:firstLineChars="0"/>
              <w:jc w:val="center"/>
              <w:rPr>
                <w:rFonts w:hint="default"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矿石量 亿吨</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7FCD">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default"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w:t>
            </w:r>
          </w:p>
        </w:tc>
        <w:tc>
          <w:tcPr>
            <w:tcW w:w="540" w:type="pct"/>
            <w:vMerge w:val="continue"/>
            <w:tcBorders>
              <w:left w:val="single" w:color="000000" w:sz="4" w:space="0"/>
              <w:right w:val="single" w:color="000000" w:sz="4" w:space="0"/>
            </w:tcBorders>
            <w:shd w:val="clear" w:color="auto" w:fill="auto"/>
            <w:vAlign w:val="center"/>
          </w:tcPr>
          <w:p w14:paraId="08649D54">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6FC69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left w:val="single" w:color="000000" w:sz="4" w:space="0"/>
              <w:right w:val="single" w:color="000000" w:sz="4" w:space="0"/>
            </w:tcBorders>
            <w:shd w:val="clear" w:color="auto" w:fill="auto"/>
            <w:vAlign w:val="center"/>
          </w:tcPr>
          <w:p w14:paraId="08E420A2">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295A31">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铜</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EDF74">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金属 万吨</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2E05B">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5</w:t>
            </w:r>
            <w:r>
              <w:rPr>
                <w:rFonts w:hint="eastAsia" w:ascii="Times New Roman" w:hAnsi="Times New Roman" w:eastAsia="仿宋_GB2312" w:cs="Times New Roman"/>
                <w:kern w:val="2"/>
                <w:sz w:val="21"/>
                <w:szCs w:val="21"/>
                <w:lang w:val="en-US" w:eastAsia="zh-CN" w:bidi="ar-SA"/>
              </w:rPr>
              <w:t>〕</w:t>
            </w:r>
          </w:p>
        </w:tc>
        <w:tc>
          <w:tcPr>
            <w:tcW w:w="540" w:type="pct"/>
            <w:vMerge w:val="continue"/>
            <w:tcBorders>
              <w:left w:val="single" w:color="000000" w:sz="4" w:space="0"/>
              <w:right w:val="single" w:color="000000" w:sz="4" w:space="0"/>
            </w:tcBorders>
            <w:shd w:val="clear" w:color="auto" w:fill="auto"/>
            <w:vAlign w:val="center"/>
          </w:tcPr>
          <w:p w14:paraId="3C8A74B2">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4CCA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left w:val="single" w:color="000000" w:sz="4" w:space="0"/>
              <w:right w:val="single" w:color="000000" w:sz="4" w:space="0"/>
            </w:tcBorders>
            <w:shd w:val="clear" w:color="auto" w:fill="auto"/>
            <w:vAlign w:val="center"/>
          </w:tcPr>
          <w:p w14:paraId="1B191AE0">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F5727A">
            <w:pPr>
              <w:keepNext w:val="0"/>
              <w:keepLines w:val="0"/>
              <w:suppressLineNumbers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锌</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BF0AF">
            <w:pPr>
              <w:keepNext w:val="0"/>
              <w:keepLines w:val="0"/>
              <w:suppressLineNumbers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金属 万吨</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A8147">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〔≥2〕</w:t>
            </w:r>
          </w:p>
        </w:tc>
        <w:tc>
          <w:tcPr>
            <w:tcW w:w="540" w:type="pct"/>
            <w:vMerge w:val="continue"/>
            <w:tcBorders>
              <w:left w:val="single" w:color="000000" w:sz="4" w:space="0"/>
              <w:right w:val="single" w:color="000000" w:sz="4" w:space="0"/>
            </w:tcBorders>
            <w:shd w:val="clear" w:color="auto" w:fill="auto"/>
            <w:vAlign w:val="center"/>
          </w:tcPr>
          <w:p w14:paraId="4EC69312">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1F9D9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left w:val="single" w:color="000000" w:sz="4" w:space="0"/>
              <w:right w:val="single" w:color="000000" w:sz="4" w:space="0"/>
            </w:tcBorders>
            <w:shd w:val="clear" w:color="auto" w:fill="auto"/>
            <w:vAlign w:val="center"/>
          </w:tcPr>
          <w:p w14:paraId="078C4041">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2ECAB9">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萤石</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050FD">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矿物 万吨</w:t>
            </w:r>
          </w:p>
        </w:tc>
        <w:tc>
          <w:tcPr>
            <w:tcW w:w="12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B8D3">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30</w:t>
            </w:r>
            <w:r>
              <w:rPr>
                <w:rFonts w:hint="eastAsia" w:ascii="Times New Roman" w:hAnsi="Times New Roman" w:eastAsia="仿宋_GB2312" w:cs="Times New Roman"/>
                <w:kern w:val="2"/>
                <w:sz w:val="21"/>
                <w:szCs w:val="21"/>
                <w:lang w:val="en-US" w:eastAsia="zh-CN" w:bidi="ar-SA"/>
              </w:rPr>
              <w:t>〕</w:t>
            </w:r>
          </w:p>
        </w:tc>
        <w:tc>
          <w:tcPr>
            <w:tcW w:w="540" w:type="pct"/>
            <w:vMerge w:val="continue"/>
            <w:tcBorders>
              <w:left w:val="single" w:color="000000" w:sz="4" w:space="0"/>
              <w:right w:val="single" w:color="000000" w:sz="4" w:space="0"/>
            </w:tcBorders>
            <w:shd w:val="clear" w:color="auto" w:fill="auto"/>
            <w:vAlign w:val="center"/>
          </w:tcPr>
          <w:p w14:paraId="7D400CFF">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7F7E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84A9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年开采量</w:t>
            </w: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bottom"/>
          </w:tcPr>
          <w:p w14:paraId="15332374">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磷</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204BA">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万吨</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F102F">
            <w:pPr>
              <w:keepNext w:val="0"/>
              <w:keepLines w:val="0"/>
              <w:suppressLineNumbers w:val="0"/>
              <w:adjustRightInd w:val="0"/>
              <w:snapToGrid w:val="0"/>
              <w:spacing w:before="0" w:beforeAutospacing="0" w:after="0" w:afterAutospacing="0" w:line="240" w:lineRule="auto"/>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20</w:t>
            </w:r>
            <w:r>
              <w:rPr>
                <w:rFonts w:hint="eastAsia" w:ascii="Times New Roman" w:hAnsi="Times New Roman" w:eastAsia="仿宋_GB2312" w:cs="Times New Roman"/>
                <w:kern w:val="2"/>
                <w:sz w:val="21"/>
                <w:szCs w:val="21"/>
                <w:lang w:val="en-US" w:eastAsia="zh-CN" w:bidi="ar-SA"/>
              </w:rPr>
              <w:t>00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7D2A05">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3E443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9C2A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5B362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化肥用砂岩</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6F4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万吨</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953D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≥10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0FF9A">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3F571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0B7D">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8C945">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建筑用砂石</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5D49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万吨</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91BB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5</w:t>
            </w:r>
            <w:r>
              <w:rPr>
                <w:rFonts w:hint="eastAsia" w:ascii="Times New Roman" w:hAnsi="Times New Roman" w:eastAsia="仿宋_GB2312" w:cs="Times New Roman"/>
                <w:kern w:val="2"/>
                <w:sz w:val="21"/>
                <w:szCs w:val="21"/>
                <w:lang w:val="en-US" w:eastAsia="zh-CN" w:bidi="ar-SA"/>
              </w:rPr>
              <w:t>00</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DC79F5">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约束性</w:t>
            </w:r>
          </w:p>
        </w:tc>
      </w:tr>
      <w:tr w14:paraId="1E50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27D62">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2EDA25">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砖瓦用建材</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18645">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万吨</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4ADB">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32</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A14E9">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1E700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42C431">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结构与效率</w:t>
            </w:r>
          </w:p>
        </w:tc>
        <w:tc>
          <w:tcPr>
            <w:tcW w:w="9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02E7C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矿山数量</w:t>
            </w:r>
          </w:p>
        </w:tc>
        <w:tc>
          <w:tcPr>
            <w:tcW w:w="1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6A90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采矿权总数</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5E179">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宗</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4A6BD">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≤3</w:t>
            </w:r>
            <w:r>
              <w:rPr>
                <w:rFonts w:hint="eastAsia" w:eastAsia="仿宋_GB2312" w:cs="Times New Roman"/>
                <w:kern w:val="2"/>
                <w:sz w:val="21"/>
                <w:szCs w:val="21"/>
                <w:lang w:val="en-US" w:eastAsia="zh-CN" w:bidi="ar-SA"/>
              </w:rPr>
              <w:t>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05356">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2692E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DC233">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9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AA058">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1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364D3">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普通建筑用砂石</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8120A">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宗</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B3ED2">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3</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1FF00A">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约束性</w:t>
            </w:r>
          </w:p>
        </w:tc>
      </w:tr>
      <w:tr w14:paraId="19224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B407D">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9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DDD88">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1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91DC3">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砖瓦用建材</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574CD">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宗</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23858">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4</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B9ED6">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1EA83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2F3D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771553">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大中型矿山比例</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6FDFF">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48BA">
            <w:pPr>
              <w:keepNext w:val="0"/>
              <w:keepLines w:val="0"/>
              <w:suppressLineNumbers w:val="0"/>
              <w:adjustRightInd w:val="0"/>
              <w:snapToGrid w:val="0"/>
              <w:spacing w:before="0" w:beforeAutospacing="0" w:after="0" w:afterAutospacing="0"/>
              <w:ind w:left="0" w:right="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70</w:t>
            </w:r>
          </w:p>
        </w:tc>
        <w:tc>
          <w:tcPr>
            <w:tcW w:w="5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283B3">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预期性</w:t>
            </w:r>
          </w:p>
        </w:tc>
      </w:tr>
      <w:tr w14:paraId="099BC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EFC9A">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97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5E836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持证在产绿色</w:t>
            </w:r>
          </w:p>
          <w:p w14:paraId="6D8B0F9A">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矿山建设比例</w:t>
            </w:r>
          </w:p>
        </w:tc>
        <w:tc>
          <w:tcPr>
            <w:tcW w:w="1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33BD9">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大型</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43148">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14C46">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≥90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06C9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1DB33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92999">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97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896D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10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98AC6">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中型</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64871">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34B6B">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≥80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48D6F">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0DF3D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F11F2">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1C06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eastAsia="仿宋_GB2312" w:cs="Times New Roman"/>
                <w:kern w:val="2"/>
                <w:sz w:val="21"/>
                <w:szCs w:val="21"/>
                <w:lang w:val="en-US" w:eastAsia="zh-CN" w:bidi="ar-SA"/>
              </w:rPr>
              <w:t>“</w:t>
            </w:r>
            <w:r>
              <w:rPr>
                <w:rFonts w:hint="eastAsia" w:ascii="Times New Roman" w:hAnsi="Times New Roman" w:eastAsia="仿宋_GB2312" w:cs="Times New Roman"/>
                <w:kern w:val="2"/>
                <w:sz w:val="21"/>
                <w:szCs w:val="21"/>
                <w:lang w:val="en-US" w:eastAsia="zh-CN" w:bidi="ar-SA"/>
              </w:rPr>
              <w:t>三率</w:t>
            </w:r>
            <w:r>
              <w:rPr>
                <w:rFonts w:hint="eastAsia" w:eastAsia="仿宋_GB2312" w:cs="Times New Roman"/>
                <w:kern w:val="2"/>
                <w:sz w:val="21"/>
                <w:szCs w:val="21"/>
                <w:lang w:val="en-US" w:eastAsia="zh-CN" w:bidi="ar-SA"/>
              </w:rPr>
              <w:t>”</w:t>
            </w:r>
            <w:r>
              <w:rPr>
                <w:rFonts w:hint="eastAsia" w:ascii="Times New Roman" w:hAnsi="Times New Roman" w:eastAsia="仿宋_GB2312" w:cs="Times New Roman"/>
                <w:kern w:val="2"/>
                <w:sz w:val="21"/>
                <w:szCs w:val="21"/>
                <w:lang w:val="en-US" w:eastAsia="zh-CN" w:bidi="ar-SA"/>
              </w:rPr>
              <w:t>一般值达标率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78947">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9C00">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8</w:t>
            </w:r>
            <w:r>
              <w:rPr>
                <w:rFonts w:hint="eastAsia" w:ascii="Times New Roman" w:hAnsi="Times New Roman" w:eastAsia="仿宋_GB2312" w:cs="Times New Roman"/>
                <w:kern w:val="2"/>
                <w:sz w:val="21"/>
                <w:szCs w:val="21"/>
                <w:lang w:val="en-US" w:eastAsia="zh-CN" w:bidi="ar-SA"/>
              </w:rPr>
              <w:t>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8F809">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3C87B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9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9ED70">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矿区生态修复</w:t>
            </w:r>
          </w:p>
        </w:tc>
        <w:tc>
          <w:tcPr>
            <w:tcW w:w="201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8F7A8">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default" w:ascii="Times New Roman" w:hAnsi="Times New Roman" w:eastAsia="仿宋_GB2312" w:cs="Times New Roman"/>
                <w:kern w:val="2"/>
                <w:sz w:val="21"/>
                <w:szCs w:val="21"/>
                <w:lang w:val="en-US" w:eastAsia="zh-CN" w:bidi="ar-SA"/>
              </w:rPr>
              <w:t>年度矿区生态修复任务完成率</w:t>
            </w:r>
          </w:p>
        </w:tc>
        <w:tc>
          <w:tcPr>
            <w:tcW w:w="8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A7D7">
            <w:pPr>
              <w:keepNext w:val="0"/>
              <w:keepLines w:val="0"/>
              <w:suppressLineNumbers w:val="0"/>
              <w:adjustRightInd w:val="0"/>
              <w:snapToGrid w:val="0"/>
              <w:spacing w:before="0" w:beforeAutospacing="0" w:after="0" w:afterAutospacing="0"/>
              <w:ind w:left="0" w:leftChars="0" w:right="0" w:rightChars="0" w:firstLine="0" w:firstLineChars="0"/>
              <w:jc w:val="center"/>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p>
        </w:tc>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04BE6">
            <w:pPr>
              <w:keepNext w:val="0"/>
              <w:keepLines w:val="0"/>
              <w:suppressLineNumbers w:val="0"/>
              <w:adjustRightInd w:val="0"/>
              <w:snapToGrid w:val="0"/>
              <w:spacing w:before="0" w:beforeAutospacing="0" w:after="0" w:afterAutospacing="0"/>
              <w:ind w:left="0" w:leftChars="0" w:right="0" w:rightChars="0" w:firstLine="0" w:firstLineChars="0"/>
              <w:jc w:val="center"/>
              <w:rPr>
                <w:rFonts w:hint="default"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w:t>
            </w:r>
            <w:r>
              <w:rPr>
                <w:rFonts w:hint="eastAsia" w:eastAsia="仿宋_GB2312" w:cs="Times New Roman"/>
                <w:kern w:val="2"/>
                <w:sz w:val="21"/>
                <w:szCs w:val="21"/>
                <w:lang w:val="en-US" w:eastAsia="zh-CN" w:bidi="ar-SA"/>
              </w:rPr>
              <w:t>100</w:t>
            </w:r>
          </w:p>
        </w:tc>
        <w:tc>
          <w:tcPr>
            <w:tcW w:w="5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EF98E">
            <w:pPr>
              <w:keepNext w:val="0"/>
              <w:keepLines w:val="0"/>
              <w:suppressLineNumbers w:val="0"/>
              <w:adjustRightInd w:val="0"/>
              <w:snapToGrid w:val="0"/>
              <w:spacing w:before="0" w:beforeAutospacing="0" w:after="0" w:afterAutospacing="0"/>
              <w:ind w:left="0" w:right="0" w:firstLine="0" w:firstLineChars="0"/>
              <w:jc w:val="center"/>
              <w:rPr>
                <w:rFonts w:hint="eastAsia" w:ascii="Times New Roman" w:hAnsi="Times New Roman" w:eastAsia="仿宋_GB2312" w:cs="Times New Roman"/>
                <w:kern w:val="2"/>
                <w:sz w:val="21"/>
                <w:szCs w:val="21"/>
                <w:lang w:val="en-US" w:eastAsia="zh-CN" w:bidi="ar-SA"/>
              </w:rPr>
            </w:pPr>
          </w:p>
        </w:tc>
      </w:tr>
      <w:tr w14:paraId="6AEE5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3" w:hRule="atLeast"/>
        </w:trPr>
        <w:tc>
          <w:tcPr>
            <w:tcW w:w="5000" w:type="pct"/>
            <w:gridSpan w:val="6"/>
            <w:tcBorders>
              <w:top w:val="nil"/>
              <w:left w:val="nil"/>
              <w:bottom w:val="nil"/>
              <w:right w:val="nil"/>
            </w:tcBorders>
            <w:shd w:val="clear" w:color="auto" w:fill="auto"/>
            <w:noWrap/>
            <w:vAlign w:val="center"/>
          </w:tcPr>
          <w:p w14:paraId="31A0AF33">
            <w:pPr>
              <w:keepNext w:val="0"/>
              <w:keepLines w:val="0"/>
              <w:suppressLineNumbers w:val="0"/>
              <w:adjustRightInd w:val="0"/>
              <w:snapToGrid w:val="0"/>
              <w:spacing w:before="0" w:beforeAutospacing="0" w:after="0" w:afterAutospacing="0"/>
              <w:ind w:left="0" w:right="0" w:firstLine="0" w:firstLineChars="0"/>
              <w:jc w:val="left"/>
              <w:rPr>
                <w:rFonts w:hint="eastAsia" w:ascii="Times New Roman" w:hAnsi="Times New Roman" w:eastAsia="仿宋_GB2312" w:cs="Times New Roman"/>
                <w:kern w:val="2"/>
                <w:sz w:val="21"/>
                <w:szCs w:val="21"/>
                <w:lang w:val="en-US" w:eastAsia="zh-CN" w:bidi="ar-SA"/>
              </w:rPr>
            </w:pPr>
            <w:r>
              <w:rPr>
                <w:rFonts w:hint="eastAsia" w:ascii="Times New Roman" w:hAnsi="Times New Roman" w:eastAsia="仿宋_GB2312" w:cs="Times New Roman"/>
                <w:kern w:val="2"/>
                <w:sz w:val="21"/>
                <w:szCs w:val="21"/>
                <w:lang w:val="en-US" w:eastAsia="zh-CN" w:bidi="ar-SA"/>
              </w:rPr>
              <w:t>注：〔〕为规划期累计</w:t>
            </w:r>
          </w:p>
        </w:tc>
      </w:tr>
    </w:tbl>
    <w:p w14:paraId="66E7AB27">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2" w:name="_Toc6496"/>
      <w:bookmarkStart w:id="3" w:name="_Toc3423"/>
      <w:r>
        <w:rPr>
          <w:rFonts w:hint="eastAsia"/>
          <w:sz w:val="36"/>
          <w:szCs w:val="36"/>
          <w:lang w:val="en-US" w:eastAsia="zh-CN"/>
        </w:rPr>
        <w:t>二、</w:t>
      </w:r>
      <w:bookmarkEnd w:id="2"/>
      <w:r>
        <w:rPr>
          <w:rFonts w:hint="eastAsia"/>
          <w:sz w:val="36"/>
          <w:szCs w:val="36"/>
          <w:lang w:val="en-US" w:eastAsia="zh-CN"/>
        </w:rPr>
        <w:t>加强基础地质勘查</w:t>
      </w:r>
      <w:bookmarkEnd w:id="3"/>
    </w:p>
    <w:p w14:paraId="69C333E0">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eastAsia="zh-CN"/>
        </w:rPr>
      </w:pPr>
      <w:bookmarkStart w:id="4" w:name="_Toc23061"/>
      <w:bookmarkStart w:id="5" w:name="_Toc517099563"/>
      <w:bookmarkStart w:id="6" w:name="_Toc12484"/>
      <w:r>
        <w:rPr>
          <w:rFonts w:hint="eastAsia" w:ascii="黑体" w:hAnsi="黑体" w:eastAsia="黑体" w:cs="黑体"/>
          <w:b w:val="0"/>
          <w:bCs w:val="0"/>
          <w:lang w:val="en-US" w:eastAsia="zh-CN"/>
        </w:rPr>
        <w:t>（一）</w:t>
      </w:r>
      <w:r>
        <w:rPr>
          <w:rFonts w:hint="eastAsia" w:ascii="黑体" w:hAnsi="黑体" w:eastAsia="黑体" w:cs="黑体"/>
          <w:b w:val="0"/>
          <w:bCs w:val="0"/>
          <w:lang w:eastAsia="zh-CN"/>
        </w:rPr>
        <w:t>落实加强区域基础性地质调查</w:t>
      </w:r>
      <w:bookmarkEnd w:id="4"/>
    </w:p>
    <w:p w14:paraId="1EEB793B">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bCs/>
          <w:szCs w:val="32"/>
        </w:rPr>
      </w:pPr>
      <w:r>
        <w:rPr>
          <w:rFonts w:hint="eastAsia" w:ascii="仿宋_GB2312" w:hAnsi="仿宋" w:eastAsia="仿宋_GB2312"/>
          <w:bCs/>
          <w:szCs w:val="32"/>
        </w:rPr>
        <w:t>落实推进《四川省1:5万矿产地质调查规划（2025-2030年）》在我县</w:t>
      </w:r>
      <w:r>
        <w:rPr>
          <w:rFonts w:hint="eastAsia" w:ascii="仿宋_GB2312" w:hAnsi="仿宋" w:eastAsia="仿宋_GB2312"/>
          <w:bCs/>
          <w:szCs w:val="32"/>
          <w:lang w:val="en-US" w:eastAsia="zh-CN"/>
        </w:rPr>
        <w:t>域内</w:t>
      </w:r>
      <w:r>
        <w:rPr>
          <w:rFonts w:hint="eastAsia" w:ascii="仿宋_GB2312" w:hAnsi="仿宋" w:eastAsia="仿宋_GB2312"/>
          <w:bCs/>
          <w:szCs w:val="32"/>
        </w:rPr>
        <w:t>部署的1:5万矿产地质调查</w:t>
      </w:r>
      <w:r>
        <w:rPr>
          <w:rFonts w:hint="eastAsia" w:ascii="仿宋_GB2312" w:hAnsi="仿宋" w:eastAsia="仿宋_GB2312"/>
          <w:bCs/>
          <w:szCs w:val="32"/>
          <w:lang w:val="en-US" w:eastAsia="zh-CN"/>
        </w:rPr>
        <w:t>5</w:t>
      </w:r>
      <w:r>
        <w:rPr>
          <w:rFonts w:hint="eastAsia" w:ascii="仿宋_GB2312" w:hAnsi="仿宋" w:eastAsia="仿宋_GB2312"/>
          <w:bCs/>
          <w:szCs w:val="32"/>
        </w:rPr>
        <w:t>个图幅的实施，系统厘清区域地质构造条件、成矿地质规律与矿产资源潜力，进一步提高基础地质调查程度，精准圈定优质找矿靶区，力争新增一批具备勘查开发价值的矿产地，夯实矿产资源接续保障基础。</w:t>
      </w:r>
    </w:p>
    <w:p w14:paraId="21D31C73">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 w:eastAsia="仿宋_GB2312"/>
          <w:bCs/>
          <w:szCs w:val="32"/>
        </w:rPr>
      </w:pPr>
      <w:r>
        <w:rPr>
          <w:rFonts w:hint="eastAsia" w:ascii="仿宋_GB2312" w:hAnsi="Calibri" w:eastAsia="仿宋_GB2312" w:cs="Times New Roman"/>
          <w:b/>
          <w:bCs/>
          <w:sz w:val="24"/>
          <w:szCs w:val="24"/>
        </w:rPr>
        <w:t>专栏</w:t>
      </w:r>
      <w:r>
        <w:rPr>
          <w:rFonts w:hint="eastAsia" w:ascii="仿宋_GB2312" w:hAnsi="Calibri" w:eastAsia="仿宋_GB2312" w:cs="Times New Roman"/>
          <w:b/>
          <w:bCs/>
          <w:sz w:val="24"/>
          <w:szCs w:val="24"/>
          <w:lang w:val="en-US" w:eastAsia="zh-CN"/>
        </w:rPr>
        <w:t>六</w:t>
      </w:r>
      <w:r>
        <w:rPr>
          <w:rFonts w:hint="eastAsia" w:ascii="仿宋_GB2312" w:hAnsi="Calibri" w:eastAsia="仿宋_GB2312" w:cs="Times New Roman"/>
          <w:b/>
          <w:bCs/>
          <w:sz w:val="24"/>
          <w:szCs w:val="24"/>
        </w:rPr>
        <w:t>　</w:t>
      </w:r>
      <w:r>
        <w:rPr>
          <w:rFonts w:hint="eastAsia" w:ascii="仿宋_GB2312" w:hAnsi="Calibri" w:eastAsia="仿宋_GB2312" w:cs="Times New Roman"/>
          <w:b/>
          <w:bCs/>
          <w:sz w:val="24"/>
          <w:szCs w:val="24"/>
          <w:lang w:val="en-US" w:eastAsia="zh-CN"/>
        </w:rPr>
        <w:t>马边县基础地质调查项目</w:t>
      </w:r>
    </w:p>
    <w:tbl>
      <w:tblPr>
        <w:tblStyle w:val="17"/>
        <w:tblW w:w="5000" w:type="pct"/>
        <w:tblInd w:w="0" w:type="dxa"/>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Layout w:type="autofit"/>
        <w:tblCellMar>
          <w:top w:w="0" w:type="dxa"/>
          <w:left w:w="57" w:type="dxa"/>
          <w:bottom w:w="0" w:type="dxa"/>
          <w:right w:w="57" w:type="dxa"/>
        </w:tblCellMar>
      </w:tblPr>
      <w:tblGrid>
        <w:gridCol w:w="8754"/>
      </w:tblGrid>
      <w:tr w14:paraId="721A0ED0">
        <w:tblPrEx>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PrEx>
        <w:tc>
          <w:tcPr>
            <w:tcW w:w="5000" w:type="pct"/>
            <w:shd w:val="clear" w:color="auto" w:fill="auto"/>
            <w:vAlign w:val="center"/>
          </w:tcPr>
          <w:p w14:paraId="2FE9D313">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仿宋_GB2312" w:hAnsi="仿宋" w:eastAsia="仿宋_GB2312" w:cstheme="minorBidi"/>
                <w:b/>
                <w:kern w:val="2"/>
                <w:sz w:val="24"/>
                <w:szCs w:val="24"/>
                <w:lang w:val="en-US" w:eastAsia="zh-CN" w:bidi="ar-SA"/>
              </w:rPr>
            </w:pPr>
            <w:r>
              <w:rPr>
                <w:rFonts w:hint="default" w:ascii="仿宋_GB2312" w:hAnsi="仿宋" w:eastAsia="仿宋_GB2312" w:cstheme="minorBidi"/>
                <w:b/>
                <w:kern w:val="2"/>
                <w:sz w:val="24"/>
                <w:szCs w:val="24"/>
                <w:lang w:val="en-US" w:eastAsia="zh-CN" w:bidi="ar-SA"/>
              </w:rPr>
              <w:t>1</w:t>
            </w:r>
            <w:r>
              <w:rPr>
                <w:rFonts w:hint="eastAsia" w:ascii="仿宋_GB2312" w:hAnsi="仿宋" w:eastAsia="仿宋_GB2312" w:cstheme="minorBidi"/>
                <w:b/>
                <w:kern w:val="2"/>
                <w:sz w:val="24"/>
                <w:szCs w:val="24"/>
                <w:lang w:val="en-US" w:eastAsia="zh-CN" w:bidi="ar-SA"/>
              </w:rPr>
              <w:t>.</w:t>
            </w:r>
            <w:r>
              <w:rPr>
                <w:rFonts w:hint="default" w:ascii="仿宋_GB2312" w:hAnsi="仿宋" w:eastAsia="仿宋_GB2312" w:cstheme="minorBidi"/>
                <w:b/>
                <w:kern w:val="2"/>
                <w:sz w:val="24"/>
                <w:szCs w:val="24"/>
                <w:lang w:val="en-US" w:eastAsia="zh-CN" w:bidi="ar-SA"/>
              </w:rPr>
              <w:t>马边</w:t>
            </w:r>
            <w:r>
              <w:rPr>
                <w:rFonts w:hint="eastAsia" w:ascii="仿宋_GB2312" w:hAnsi="仿宋" w:eastAsia="仿宋_GB2312" w:cstheme="minorBidi"/>
                <w:b/>
                <w:kern w:val="2"/>
                <w:sz w:val="24"/>
                <w:szCs w:val="24"/>
                <w:lang w:val="en-US" w:eastAsia="zh-CN" w:bidi="ar-SA"/>
              </w:rPr>
              <w:t>(</w:t>
            </w:r>
            <w:r>
              <w:rPr>
                <w:rFonts w:hint="default" w:ascii="仿宋_GB2312" w:hAnsi="仿宋" w:eastAsia="仿宋_GB2312" w:cstheme="minorBidi"/>
                <w:b/>
                <w:kern w:val="2"/>
                <w:sz w:val="24"/>
                <w:szCs w:val="24"/>
                <w:lang w:val="en-US" w:eastAsia="zh-CN" w:bidi="ar-SA"/>
              </w:rPr>
              <w:t>H48E019007</w:t>
            </w:r>
            <w:r>
              <w:rPr>
                <w:rFonts w:hint="eastAsia" w:ascii="仿宋_GB2312" w:hAnsi="仿宋" w:eastAsia="仿宋_GB2312" w:cstheme="minorBidi"/>
                <w:b/>
                <w:kern w:val="2"/>
                <w:sz w:val="24"/>
                <w:szCs w:val="24"/>
                <w:lang w:val="en-US" w:eastAsia="zh-CN" w:bidi="ar-SA"/>
              </w:rPr>
              <w:t>)、沐川(</w:t>
            </w:r>
            <w:r>
              <w:rPr>
                <w:rFonts w:hint="default" w:ascii="仿宋_GB2312" w:hAnsi="仿宋" w:eastAsia="仿宋_GB2312" w:cstheme="minorBidi"/>
                <w:b/>
                <w:kern w:val="2"/>
                <w:sz w:val="24"/>
                <w:szCs w:val="24"/>
                <w:lang w:val="en-US" w:eastAsia="zh-CN" w:bidi="ar-SA"/>
              </w:rPr>
              <w:t>H48E019008</w:t>
            </w:r>
            <w:r>
              <w:rPr>
                <w:rFonts w:hint="eastAsia" w:ascii="仿宋_GB2312" w:hAnsi="仿宋" w:eastAsia="仿宋_GB2312" w:cstheme="minorBidi"/>
                <w:b/>
                <w:kern w:val="2"/>
                <w:sz w:val="24"/>
                <w:szCs w:val="24"/>
                <w:lang w:val="en-US" w:eastAsia="zh-CN" w:bidi="ar-SA"/>
              </w:rPr>
              <w:t>)</w:t>
            </w:r>
            <w:r>
              <w:rPr>
                <w:rFonts w:hint="default" w:ascii="仿宋_GB2312" w:hAnsi="仿宋" w:eastAsia="仿宋_GB2312" w:cstheme="minorBidi"/>
                <w:b/>
                <w:kern w:val="2"/>
                <w:sz w:val="24"/>
                <w:szCs w:val="24"/>
                <w:lang w:val="en-US" w:eastAsia="zh-CN" w:bidi="ar-SA"/>
              </w:rPr>
              <w:t>县等2幅1:50000矿产地质调查。</w:t>
            </w:r>
            <w:r>
              <w:rPr>
                <w:rFonts w:hint="default" w:ascii="仿宋_GB2312" w:hAnsi="仿宋" w:eastAsia="仿宋_GB2312" w:cstheme="minorBidi"/>
                <w:b w:val="0"/>
                <w:bCs/>
                <w:kern w:val="2"/>
                <w:sz w:val="24"/>
                <w:szCs w:val="24"/>
                <w:lang w:val="en-US" w:eastAsia="zh-CN" w:bidi="ar-SA"/>
              </w:rPr>
              <w:t>面积872平方千米，主攻矿种为铜矿。圈定找矿靶区2</w:t>
            </w:r>
            <w:r>
              <w:rPr>
                <w:rFonts w:hint="eastAsia" w:ascii="仿宋_GB2312" w:hAnsi="仿宋" w:eastAsia="仿宋_GB2312" w:cstheme="minorBidi"/>
                <w:b w:val="0"/>
                <w:bCs/>
                <w:kern w:val="2"/>
                <w:sz w:val="24"/>
                <w:szCs w:val="24"/>
                <w:lang w:val="en-US" w:eastAsia="zh-CN" w:bidi="ar-SA"/>
              </w:rPr>
              <w:t>-</w:t>
            </w:r>
            <w:r>
              <w:rPr>
                <w:rFonts w:hint="default" w:ascii="仿宋_GB2312" w:hAnsi="仿宋" w:eastAsia="仿宋_GB2312" w:cstheme="minorBidi"/>
                <w:b w:val="0"/>
                <w:bCs/>
                <w:kern w:val="2"/>
                <w:sz w:val="24"/>
                <w:szCs w:val="24"/>
                <w:lang w:val="en-US" w:eastAsia="zh-CN" w:bidi="ar-SA"/>
              </w:rPr>
              <w:t>3处，其中A类找矿靶区1处。</w:t>
            </w:r>
          </w:p>
          <w:p w14:paraId="2DC0F9A5">
            <w:pPr>
              <w:pStyle w:val="34"/>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0" w:firstLineChars="0"/>
              <w:textAlignment w:val="auto"/>
              <w:rPr>
                <w:rFonts w:hint="eastAsia" w:ascii="仿宋_GB2312" w:hAnsi="仿宋" w:eastAsia="仿宋_GB2312"/>
                <w:b/>
                <w:sz w:val="24"/>
                <w:szCs w:val="24"/>
              </w:rPr>
            </w:pPr>
            <w:r>
              <w:rPr>
                <w:rFonts w:hint="default" w:ascii="仿宋_GB2312" w:hAnsi="仿宋" w:eastAsia="仿宋_GB2312" w:cstheme="minorBidi"/>
                <w:b/>
                <w:kern w:val="2"/>
                <w:sz w:val="24"/>
                <w:szCs w:val="24"/>
                <w:lang w:val="en-US" w:eastAsia="zh-CN" w:bidi="ar-SA"/>
              </w:rPr>
              <w:t>2.2.四川省靛兰坝等2幅（H48E020007、H48E020008）1:50000矿产地质调查。</w:t>
            </w:r>
            <w:r>
              <w:rPr>
                <w:rFonts w:hint="default" w:ascii="仿宋_GB2312" w:hAnsi="仿宋" w:eastAsia="仿宋_GB2312" w:cstheme="minorBidi"/>
                <w:b w:val="0"/>
                <w:bCs/>
                <w:kern w:val="2"/>
                <w:sz w:val="24"/>
                <w:szCs w:val="24"/>
                <w:lang w:val="en-US" w:eastAsia="zh-CN" w:bidi="ar-SA"/>
              </w:rPr>
              <w:t>面积888.55平方千米，主攻矿种为铜矿。规划期间投入省级财政资金474万元，圈定找矿靶区2</w:t>
            </w:r>
            <w:r>
              <w:rPr>
                <w:rFonts w:hint="eastAsia" w:ascii="仿宋_GB2312" w:hAnsi="仿宋" w:eastAsia="仿宋_GB2312" w:cstheme="minorBidi"/>
                <w:b w:val="0"/>
                <w:bCs/>
                <w:kern w:val="2"/>
                <w:sz w:val="24"/>
                <w:szCs w:val="24"/>
                <w:lang w:val="en-US" w:eastAsia="zh-CN" w:bidi="ar-SA"/>
              </w:rPr>
              <w:t>-</w:t>
            </w:r>
            <w:r>
              <w:rPr>
                <w:rFonts w:hint="default" w:ascii="仿宋_GB2312" w:hAnsi="仿宋" w:eastAsia="仿宋_GB2312" w:cstheme="minorBidi"/>
                <w:b w:val="0"/>
                <w:bCs/>
                <w:kern w:val="2"/>
                <w:sz w:val="24"/>
                <w:szCs w:val="24"/>
                <w:lang w:val="en-US" w:eastAsia="zh-CN" w:bidi="ar-SA"/>
              </w:rPr>
              <w:t>3处</w:t>
            </w:r>
            <w:r>
              <w:rPr>
                <w:rFonts w:hint="eastAsia" w:ascii="仿宋_GB2312" w:hAnsi="仿宋" w:eastAsia="仿宋_GB2312"/>
                <w:b w:val="0"/>
                <w:bCs/>
                <w:sz w:val="24"/>
                <w:szCs w:val="24"/>
                <w:lang w:val="en-US" w:eastAsia="zh-CN"/>
              </w:rPr>
              <w:t>。</w:t>
            </w:r>
          </w:p>
          <w:p w14:paraId="2B844115">
            <w:pPr>
              <w:keepNext w:val="0"/>
              <w:keepLines w:val="0"/>
              <w:pageBreakBefore w:val="0"/>
              <w:widowControl/>
              <w:kinsoku/>
              <w:wordWrap/>
              <w:overflowPunct/>
              <w:topLinePunct w:val="0"/>
              <w:autoSpaceDE/>
              <w:autoSpaceDN/>
              <w:bidi w:val="0"/>
              <w:adjustRightInd/>
              <w:snapToGrid/>
              <w:spacing w:line="400" w:lineRule="exact"/>
              <w:ind w:firstLine="0" w:firstLineChars="0"/>
              <w:jc w:val="left"/>
              <w:textAlignment w:val="center"/>
              <w:rPr>
                <w:rFonts w:ascii="仿宋_GB2312" w:hAnsi="仿宋" w:eastAsia="仿宋_GB2312"/>
                <w:sz w:val="24"/>
                <w:szCs w:val="24"/>
              </w:rPr>
            </w:pPr>
            <w:r>
              <w:rPr>
                <w:rFonts w:hint="eastAsia" w:ascii="仿宋_GB2312" w:hAnsi="仿宋" w:eastAsia="仿宋_GB2312" w:cstheme="minorBidi"/>
                <w:b/>
                <w:kern w:val="2"/>
                <w:sz w:val="24"/>
                <w:szCs w:val="24"/>
                <w:lang w:val="en-US" w:eastAsia="zh-CN" w:bidi="ar-SA"/>
              </w:rPr>
              <w:t>3.四川省三河口幅（H48E019006）1:50000区域矿产地质调查。</w:t>
            </w:r>
            <w:r>
              <w:rPr>
                <w:rFonts w:hint="eastAsia" w:ascii="仿宋_GB2312" w:hAnsi="仿宋" w:eastAsia="仿宋_GB2312" w:cstheme="minorBidi"/>
                <w:b w:val="0"/>
                <w:bCs/>
                <w:kern w:val="2"/>
                <w:sz w:val="24"/>
                <w:szCs w:val="24"/>
                <w:lang w:val="en-US" w:eastAsia="zh-CN" w:bidi="ar-SA"/>
              </w:rPr>
              <w:t>面积450平方千米，主攻矿种为磷、铜。规划期间投入财政资金500万元，圈定找矿靶区1处，提交勘查区块1处。</w:t>
            </w:r>
          </w:p>
        </w:tc>
      </w:tr>
    </w:tbl>
    <w:p w14:paraId="6A37BD54">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7" w:name="_Toc14257"/>
      <w:r>
        <w:rPr>
          <w:rFonts w:hint="eastAsia" w:ascii="黑体" w:hAnsi="黑体" w:eastAsia="黑体" w:cs="黑体"/>
          <w:b w:val="0"/>
          <w:bCs w:val="0"/>
          <w:lang w:val="en-US" w:eastAsia="zh-CN"/>
        </w:rPr>
        <w:t>（二）落实区域重点勘查布局</w:t>
      </w:r>
      <w:bookmarkEnd w:id="7"/>
    </w:p>
    <w:p w14:paraId="462301F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Cambria" w:eastAsia="仿宋_GB2312" w:cs="Times New Roman"/>
          <w:b w:val="0"/>
          <w:bCs w:val="0"/>
          <w:color w:val="auto"/>
          <w:sz w:val="32"/>
          <w:szCs w:val="32"/>
        </w:rPr>
      </w:pPr>
      <w:r>
        <w:rPr>
          <w:rFonts w:hint="eastAsia" w:ascii="仿宋_GB2312" w:hAnsi="Cambria" w:eastAsia="仿宋_GB2312" w:cs="Times New Roman"/>
          <w:b/>
          <w:bCs/>
          <w:color w:val="auto"/>
          <w:sz w:val="32"/>
          <w:szCs w:val="32"/>
          <w:lang w:val="en-US" w:eastAsia="zh-CN"/>
        </w:rPr>
        <w:t>落实</w:t>
      </w:r>
      <w:r>
        <w:rPr>
          <w:rFonts w:hint="eastAsia" w:ascii="仿宋_GB2312" w:hAnsi="Cambria" w:eastAsia="仿宋_GB2312" w:cs="Times New Roman"/>
          <w:b/>
          <w:bCs/>
          <w:color w:val="auto"/>
          <w:sz w:val="32"/>
          <w:szCs w:val="32"/>
        </w:rPr>
        <w:t>推进区域重点勘查。</w:t>
      </w:r>
      <w:r>
        <w:rPr>
          <w:rFonts w:hint="eastAsia" w:ascii="仿宋_GB2312" w:hAnsi="Cambria" w:eastAsia="仿宋_GB2312" w:cs="Times New Roman"/>
          <w:b w:val="0"/>
          <w:bCs w:val="0"/>
          <w:color w:val="auto"/>
          <w:sz w:val="32"/>
          <w:szCs w:val="32"/>
          <w:lang w:val="en-US" w:eastAsia="zh-CN"/>
        </w:rPr>
        <w:t>围绕马边磷矿，鼓励引导各级财政资金优先投入重点勘查区开展矿产勘查，降低找矿风险，为加快矿业权出让提供基础。支持矿业权人加大勘查投入，加快已有探矿权勘查以及重要矿山深边部勘查。</w:t>
      </w:r>
    </w:p>
    <w:p w14:paraId="2DF3DA17">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Cambria" w:eastAsia="仿宋_GB2312" w:cs="Times New Roman"/>
          <w:b w:val="0"/>
          <w:bCs w:val="0"/>
          <w:color w:val="auto"/>
          <w:sz w:val="32"/>
          <w:szCs w:val="32"/>
        </w:rPr>
      </w:pPr>
      <w:r>
        <w:rPr>
          <w:rFonts w:hint="eastAsia" w:ascii="仿宋" w:hAnsi="仿宋" w:eastAsia="仿宋" w:cs="仿宋"/>
          <w:b/>
          <w:bCs w:val="0"/>
          <w:snapToGrid w:val="0"/>
          <w:kern w:val="0"/>
          <w:sz w:val="24"/>
          <w:szCs w:val="24"/>
        </w:rPr>
        <w:t>专栏</w:t>
      </w:r>
      <w:r>
        <w:rPr>
          <w:rFonts w:hint="eastAsia" w:ascii="仿宋" w:hAnsi="仿宋" w:cs="仿宋"/>
          <w:b/>
          <w:bCs w:val="0"/>
          <w:snapToGrid w:val="0"/>
          <w:kern w:val="0"/>
          <w:sz w:val="24"/>
          <w:szCs w:val="24"/>
          <w:lang w:val="en-US" w:eastAsia="zh-CN"/>
        </w:rPr>
        <w:t>四</w:t>
      </w:r>
      <w:r>
        <w:rPr>
          <w:rFonts w:hint="eastAsia" w:ascii="仿宋" w:hAnsi="仿宋" w:eastAsia="仿宋" w:cs="仿宋"/>
          <w:b/>
          <w:bCs w:val="0"/>
          <w:snapToGrid w:val="0"/>
          <w:kern w:val="0"/>
          <w:sz w:val="24"/>
          <w:szCs w:val="24"/>
        </w:rPr>
        <w:t>　</w:t>
      </w:r>
      <w:r>
        <w:rPr>
          <w:rFonts w:hint="eastAsia" w:ascii="仿宋" w:hAnsi="仿宋" w:cs="仿宋"/>
          <w:b/>
          <w:bCs w:val="0"/>
          <w:snapToGrid w:val="0"/>
          <w:kern w:val="0"/>
          <w:sz w:val="24"/>
          <w:szCs w:val="24"/>
          <w:lang w:val="en-US" w:eastAsia="zh-CN"/>
        </w:rPr>
        <w:t>马边。县</w:t>
      </w:r>
      <w:r>
        <w:rPr>
          <w:rFonts w:hint="eastAsia" w:ascii="仿宋" w:hAnsi="仿宋" w:eastAsia="仿宋" w:cs="仿宋"/>
          <w:b/>
          <w:bCs w:val="0"/>
          <w:snapToGrid w:val="0"/>
          <w:kern w:val="0"/>
          <w:sz w:val="24"/>
          <w:szCs w:val="24"/>
        </w:rPr>
        <w:t>重点勘查区</w:t>
      </w:r>
    </w:p>
    <w:tbl>
      <w:tblPr>
        <w:tblStyle w:val="17"/>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754"/>
      </w:tblGrid>
      <w:tr w14:paraId="79090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0" w:hRule="atLeast"/>
        </w:trPr>
        <w:tc>
          <w:tcPr>
            <w:tcW w:w="5000" w:type="pct"/>
            <w:shd w:val="clear" w:color="auto" w:fill="auto"/>
            <w:vAlign w:val="center"/>
          </w:tcPr>
          <w:p w14:paraId="28A72961">
            <w:pPr>
              <w:pStyle w:val="36"/>
              <w:keepNext w:val="0"/>
              <w:keepLines w:val="0"/>
              <w:pageBreakBefore w:val="0"/>
              <w:widowControl/>
              <w:kinsoku/>
              <w:wordWrap/>
              <w:overflowPunct/>
              <w:topLinePunct w:val="0"/>
              <w:autoSpaceDE/>
              <w:autoSpaceDN/>
              <w:bidi w:val="0"/>
              <w:adjustRightInd/>
              <w:snapToGrid/>
              <w:spacing w:line="440" w:lineRule="exact"/>
              <w:ind w:firstLine="482"/>
              <w:textAlignment w:val="auto"/>
              <w:rPr>
                <w:rFonts w:ascii="仿宋_GB2312" w:eastAsia="仿宋_GB2312"/>
                <w:b/>
                <w:bCs/>
                <w:color w:val="auto"/>
              </w:rPr>
            </w:pPr>
            <w:r>
              <w:rPr>
                <w:rFonts w:hint="eastAsia" w:ascii="仿宋_GB2312" w:hAnsi="仿宋" w:eastAsia="仿宋_GB2312" w:cs="宋体"/>
                <w:b/>
                <w:color w:val="auto"/>
                <w:kern w:val="0"/>
                <w:sz w:val="24"/>
                <w:szCs w:val="24"/>
              </w:rPr>
              <w:t>（一）</w:t>
            </w:r>
            <w:r>
              <w:rPr>
                <w:rFonts w:hint="eastAsia" w:ascii="仿宋_GB2312" w:eastAsia="仿宋_GB2312"/>
                <w:b/>
                <w:bCs/>
                <w:color w:val="auto"/>
              </w:rPr>
              <w:t>落实</w:t>
            </w:r>
            <w:r>
              <w:rPr>
                <w:rFonts w:hint="eastAsia" w:ascii="仿宋_GB2312" w:eastAsia="仿宋_GB2312"/>
                <w:b/>
                <w:bCs/>
                <w:color w:val="auto"/>
                <w:lang w:val="en-US" w:eastAsia="zh-CN"/>
              </w:rPr>
              <w:t>1</w:t>
            </w:r>
            <w:r>
              <w:rPr>
                <w:rFonts w:hint="eastAsia" w:ascii="仿宋_GB2312" w:eastAsia="仿宋_GB2312"/>
                <w:b/>
                <w:bCs/>
                <w:color w:val="auto"/>
              </w:rPr>
              <w:t>个省规划重点勘查区：</w:t>
            </w:r>
          </w:p>
          <w:p w14:paraId="68D83ABC">
            <w:pPr>
              <w:pStyle w:val="36"/>
              <w:keepNext w:val="0"/>
              <w:keepLines w:val="0"/>
              <w:pageBreakBefore w:val="0"/>
              <w:widowControl/>
              <w:kinsoku/>
              <w:wordWrap/>
              <w:overflowPunct/>
              <w:topLinePunct w:val="0"/>
              <w:autoSpaceDE/>
              <w:autoSpaceDN/>
              <w:bidi w:val="0"/>
              <w:adjustRightInd/>
              <w:snapToGrid/>
              <w:spacing w:line="400" w:lineRule="exact"/>
              <w:ind w:firstLine="482"/>
              <w:textAlignment w:val="auto"/>
              <w:rPr>
                <w:rFonts w:hint="default" w:ascii="仿宋_GB2312" w:eastAsia="仿宋_GB2312"/>
                <w:color w:val="auto"/>
                <w:sz w:val="24"/>
                <w:szCs w:val="24"/>
                <w:lang w:val="en-US" w:eastAsia="zh-CN"/>
              </w:rPr>
            </w:pPr>
            <w:r>
              <w:rPr>
                <w:rFonts w:hint="eastAsia" w:ascii="仿宋_GB2312" w:eastAsia="仿宋_GB2312"/>
                <w:b/>
                <w:bCs/>
                <w:color w:val="auto"/>
              </w:rPr>
              <w:t>四川马边</w:t>
            </w:r>
            <w:r>
              <w:rPr>
                <w:rFonts w:hint="eastAsia" w:ascii="仿宋_GB2312" w:eastAsia="仿宋_GB2312" w:cs="宋体"/>
                <w:b/>
                <w:bCs/>
                <w:color w:val="auto"/>
                <w:lang w:val="en-US" w:eastAsia="zh-CN"/>
              </w:rPr>
              <w:t>-</w:t>
            </w:r>
            <w:r>
              <w:rPr>
                <w:rFonts w:hint="eastAsia" w:ascii="仿宋_GB2312" w:eastAsia="仿宋_GB2312"/>
                <w:b/>
                <w:bCs/>
                <w:color w:val="auto"/>
              </w:rPr>
              <w:t>雷波磷矿重点勘查区</w:t>
            </w:r>
            <w:r>
              <w:rPr>
                <w:rFonts w:hint="eastAsia" w:ascii="仿宋_GB2312" w:eastAsia="仿宋_GB2312"/>
                <w:b/>
                <w:bCs/>
                <w:color w:val="auto"/>
                <w:lang w:eastAsia="zh-CN"/>
              </w:rPr>
              <w:t>（</w:t>
            </w:r>
            <w:r>
              <w:rPr>
                <w:rFonts w:hint="eastAsia" w:ascii="仿宋_GB2312" w:eastAsia="仿宋_GB2312"/>
                <w:b/>
                <w:bCs/>
                <w:color w:val="auto"/>
                <w:lang w:val="en-US" w:eastAsia="zh-CN"/>
              </w:rPr>
              <w:t>马边部分</w:t>
            </w:r>
            <w:r>
              <w:rPr>
                <w:rFonts w:hint="eastAsia" w:ascii="仿宋_GB2312" w:eastAsia="仿宋_GB2312"/>
                <w:b/>
                <w:bCs/>
                <w:color w:val="auto"/>
                <w:lang w:eastAsia="zh-CN"/>
              </w:rPr>
              <w:t>）。</w:t>
            </w:r>
            <w:r>
              <w:rPr>
                <w:rFonts w:hint="eastAsia" w:ascii="仿宋_GB2312" w:eastAsia="仿宋_GB2312"/>
                <w:color w:val="auto"/>
              </w:rPr>
              <w:t>面积1</w:t>
            </w:r>
            <w:r>
              <w:rPr>
                <w:rFonts w:hint="eastAsia" w:ascii="仿宋_GB2312" w:eastAsia="仿宋_GB2312"/>
                <w:color w:val="auto"/>
                <w:lang w:val="en-US" w:eastAsia="zh-CN"/>
              </w:rPr>
              <w:t>057</w:t>
            </w:r>
            <w:r>
              <w:rPr>
                <w:rFonts w:hint="eastAsia" w:ascii="仿宋_GB2312" w:eastAsia="仿宋_GB2312"/>
                <w:color w:val="auto"/>
              </w:rPr>
              <w:t>.</w:t>
            </w:r>
            <w:r>
              <w:rPr>
                <w:rFonts w:hint="eastAsia" w:ascii="仿宋_GB2312" w:eastAsia="仿宋_GB2312"/>
                <w:color w:val="auto"/>
                <w:lang w:val="en-US" w:eastAsia="zh-CN"/>
              </w:rPr>
              <w:t>49</w:t>
            </w:r>
            <w:r>
              <w:rPr>
                <w:rFonts w:hint="eastAsia" w:ascii="仿宋_GB2312" w:eastAsia="仿宋_GB2312"/>
                <w:color w:val="auto"/>
              </w:rPr>
              <w:t>km</w:t>
            </w:r>
            <w:r>
              <w:rPr>
                <w:rFonts w:ascii="仿宋_GB2312" w:eastAsia="仿宋_GB2312"/>
                <w:color w:val="auto"/>
                <w:vertAlign w:val="superscript"/>
              </w:rPr>
              <w:t>2</w:t>
            </w:r>
            <w:r>
              <w:rPr>
                <w:rFonts w:hint="eastAsia" w:ascii="仿宋_GB2312" w:eastAsia="仿宋_GB2312"/>
                <w:color w:val="auto"/>
              </w:rPr>
              <w:t>，</w:t>
            </w:r>
            <w:r>
              <w:rPr>
                <w:rFonts w:hint="eastAsia" w:ascii="仿宋_GB2312" w:eastAsia="仿宋_GB2312"/>
                <w:lang w:val="en-US" w:eastAsia="zh-CN"/>
              </w:rPr>
              <w:t>区内</w:t>
            </w:r>
            <w:r>
              <w:rPr>
                <w:rFonts w:hint="eastAsia" w:ascii="仿宋_GB2312" w:eastAsia="仿宋_GB2312"/>
                <w:color w:val="auto"/>
              </w:rPr>
              <w:t>现有探矿权</w:t>
            </w:r>
            <w:r>
              <w:rPr>
                <w:rFonts w:hint="eastAsia" w:ascii="仿宋_GB2312" w:eastAsia="仿宋_GB2312"/>
                <w:color w:val="auto"/>
                <w:lang w:val="en-US" w:eastAsia="zh-CN"/>
              </w:rPr>
              <w:t>1</w:t>
            </w:r>
            <w:r>
              <w:rPr>
                <w:rFonts w:hint="eastAsia" w:ascii="仿宋_GB2312" w:eastAsia="仿宋_GB2312"/>
                <w:color w:val="auto"/>
              </w:rPr>
              <w:t>个、采矿权</w:t>
            </w:r>
            <w:r>
              <w:rPr>
                <w:rFonts w:hint="eastAsia" w:ascii="仿宋_GB2312" w:eastAsia="仿宋_GB2312"/>
                <w:color w:val="auto"/>
                <w:lang w:val="en-US" w:eastAsia="zh-CN"/>
              </w:rPr>
              <w:t>17</w:t>
            </w:r>
            <w:r>
              <w:rPr>
                <w:rFonts w:hint="eastAsia" w:ascii="仿宋_GB2312" w:eastAsia="仿宋_GB2312"/>
                <w:color w:val="auto"/>
              </w:rPr>
              <w:t>个，规划新设勘查区块</w:t>
            </w:r>
            <w:r>
              <w:rPr>
                <w:rFonts w:hint="eastAsia" w:ascii="仿宋_GB2312" w:eastAsia="仿宋_GB2312"/>
                <w:color w:val="auto"/>
                <w:lang w:val="en-US" w:eastAsia="zh-CN"/>
              </w:rPr>
              <w:t>3</w:t>
            </w:r>
            <w:r>
              <w:rPr>
                <w:rFonts w:hint="eastAsia" w:ascii="仿宋_GB2312" w:eastAsia="仿宋_GB2312"/>
                <w:color w:val="auto"/>
              </w:rPr>
              <w:t>个</w:t>
            </w:r>
            <w:r>
              <w:rPr>
                <w:rFonts w:hint="eastAsia" w:ascii="仿宋_GB2312" w:eastAsia="仿宋_GB2312"/>
                <w:color w:val="auto"/>
                <w:lang w:val="en-US" w:eastAsia="zh-CN"/>
              </w:rPr>
              <w:t>。加快推进省级财政出资的马边县大院子磷矿普查项目，引导矿山企业开展矿区深部、边部勘查，助力矿产增储上产。勘查过程统筹兼顾铜、锌、萤石等共生伴生矿产，预计新增磷矿资源量2亿吨。</w:t>
            </w:r>
          </w:p>
        </w:tc>
      </w:tr>
    </w:tbl>
    <w:p w14:paraId="1814641F">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8" w:name="_Toc1999"/>
      <w:r>
        <w:rPr>
          <w:rFonts w:hint="eastAsia" w:ascii="黑体" w:hAnsi="黑体" w:eastAsia="黑体" w:cs="黑体"/>
          <w:b w:val="0"/>
          <w:bCs w:val="0"/>
          <w:lang w:val="en-US" w:eastAsia="zh-CN"/>
        </w:rPr>
        <w:t>（三）推动矿产资源勘查增储</w:t>
      </w:r>
      <w:bookmarkEnd w:id="8"/>
    </w:p>
    <w:p w14:paraId="1E8A7058">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 w:eastAsia="仿宋_GB2312" w:cs="Times New Roman"/>
          <w:b w:val="0"/>
          <w:bCs w:val="0"/>
          <w:kern w:val="0"/>
          <w:sz w:val="32"/>
          <w:szCs w:val="32"/>
          <w:lang w:val="en-US" w:eastAsia="zh-CN"/>
        </w:rPr>
      </w:pPr>
      <w:r>
        <w:rPr>
          <w:rFonts w:hint="eastAsia" w:ascii="仿宋_GB2312" w:hAnsi="仿宋" w:eastAsia="仿宋_GB2312" w:cs="Times New Roman"/>
          <w:b w:val="0"/>
          <w:bCs w:val="0"/>
          <w:kern w:val="0"/>
          <w:sz w:val="32"/>
          <w:szCs w:val="32"/>
          <w:lang w:val="en-US" w:eastAsia="zh-CN"/>
        </w:rPr>
        <w:t xml:space="preserve">  聚焦马边县磷矿重点成矿区域，引导矿山企业开展矿区深部、边部勘查，加快推进大院子磷矿勘查，加快麦子坪北矿区北矿段铅锌萤石矿生产勘探，加强磷矿中共伴生的铅锌和萤石资源综合勘查评价。鼓励已设磷矿探矿权人加大勘查投入，实施勘查活动，实现转采。围绕烟峰-雪口山玄武岩富集区，推动优质玄武岩资源勘查开发。</w:t>
      </w:r>
    </w:p>
    <w:p w14:paraId="4CFF6A5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仿宋" w:eastAsia="仿宋_GB2312" w:cs="Times New Roman"/>
          <w:b w:val="0"/>
          <w:bCs w:val="0"/>
          <w:kern w:val="0"/>
          <w:sz w:val="32"/>
          <w:szCs w:val="32"/>
          <w:lang w:val="en-US" w:eastAsia="zh-CN"/>
        </w:rPr>
      </w:pPr>
      <w:r>
        <w:rPr>
          <w:rFonts w:hint="eastAsia" w:ascii="仿宋_GB2312" w:hAnsi="Calibri" w:eastAsia="仿宋_GB2312" w:cs="Times New Roman"/>
          <w:b/>
          <w:bCs/>
          <w:sz w:val="24"/>
          <w:szCs w:val="24"/>
        </w:rPr>
        <w:t>专栏</w:t>
      </w:r>
      <w:r>
        <w:rPr>
          <w:rFonts w:hint="eastAsia" w:ascii="仿宋_GB2312" w:hAnsi="Calibri" w:eastAsia="仿宋_GB2312" w:cs="Times New Roman"/>
          <w:b/>
          <w:bCs/>
          <w:sz w:val="24"/>
          <w:szCs w:val="24"/>
          <w:lang w:val="en-US" w:eastAsia="zh-CN"/>
        </w:rPr>
        <w:t>七</w:t>
      </w:r>
      <w:r>
        <w:rPr>
          <w:rFonts w:hint="eastAsia" w:ascii="仿宋_GB2312" w:hAnsi="Calibri" w:eastAsia="仿宋_GB2312" w:cs="Times New Roman"/>
          <w:b/>
          <w:bCs/>
          <w:sz w:val="24"/>
          <w:szCs w:val="24"/>
        </w:rPr>
        <w:t>　</w:t>
      </w:r>
      <w:r>
        <w:rPr>
          <w:rFonts w:hint="eastAsia" w:ascii="仿宋_GB2312" w:hAnsi="Calibri" w:eastAsia="仿宋_GB2312" w:cs="Times New Roman"/>
          <w:b/>
          <w:bCs/>
          <w:sz w:val="24"/>
          <w:szCs w:val="24"/>
          <w:lang w:val="en-US" w:eastAsia="zh-CN"/>
        </w:rPr>
        <w:t>马边县重点勘查项目</w:t>
      </w:r>
    </w:p>
    <w:tbl>
      <w:tblPr>
        <w:tblStyle w:val="17"/>
        <w:tblW w:w="5000" w:type="pct"/>
        <w:tblInd w:w="0" w:type="dxa"/>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Layout w:type="autofit"/>
        <w:tblCellMar>
          <w:top w:w="0" w:type="dxa"/>
          <w:left w:w="57" w:type="dxa"/>
          <w:bottom w:w="0" w:type="dxa"/>
          <w:right w:w="57" w:type="dxa"/>
        </w:tblCellMar>
      </w:tblPr>
      <w:tblGrid>
        <w:gridCol w:w="8754"/>
      </w:tblGrid>
      <w:tr w14:paraId="3FFFA476">
        <w:tblPrEx>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PrEx>
        <w:tc>
          <w:tcPr>
            <w:tcW w:w="5000" w:type="pct"/>
            <w:shd w:val="clear" w:color="auto" w:fill="auto"/>
            <w:vAlign w:val="center"/>
          </w:tcPr>
          <w:p w14:paraId="76F5EE6E">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default" w:ascii="仿宋_GB2312" w:hAnsi="仿宋" w:eastAsia="仿宋_GB2312" w:cstheme="minorBidi"/>
                <w:b/>
                <w:kern w:val="2"/>
                <w:sz w:val="24"/>
                <w:szCs w:val="24"/>
                <w:lang w:val="en-US" w:eastAsia="zh-CN" w:bidi="ar-SA"/>
              </w:rPr>
            </w:pPr>
            <w:r>
              <w:rPr>
                <w:rFonts w:hint="default" w:ascii="仿宋_GB2312" w:hAnsi="仿宋" w:eastAsia="仿宋_GB2312" w:cstheme="minorBidi"/>
                <w:b/>
                <w:kern w:val="2"/>
                <w:sz w:val="24"/>
                <w:szCs w:val="24"/>
                <w:lang w:val="en-US" w:eastAsia="zh-CN" w:bidi="ar-SA"/>
              </w:rPr>
              <w:t>1</w:t>
            </w:r>
            <w:r>
              <w:rPr>
                <w:rFonts w:hint="eastAsia" w:ascii="仿宋_GB2312" w:hAnsi="仿宋" w:eastAsia="仿宋_GB2312" w:cstheme="minorBidi"/>
                <w:b/>
                <w:kern w:val="2"/>
                <w:sz w:val="24"/>
                <w:szCs w:val="24"/>
                <w:lang w:val="en-US" w:eastAsia="zh-CN" w:bidi="ar-SA"/>
              </w:rPr>
              <w:t>.四川省马边彝族自治县大院子磷矿勘查</w:t>
            </w:r>
            <w:r>
              <w:rPr>
                <w:rFonts w:hint="default" w:ascii="仿宋_GB2312" w:hAnsi="仿宋" w:eastAsia="仿宋_GB2312" w:cstheme="minorBidi"/>
                <w:b/>
                <w:kern w:val="2"/>
                <w:sz w:val="24"/>
                <w:szCs w:val="24"/>
                <w:lang w:val="en-US" w:eastAsia="zh-CN" w:bidi="ar-SA"/>
              </w:rPr>
              <w:t>。</w:t>
            </w:r>
            <w:r>
              <w:rPr>
                <w:rFonts w:hint="default" w:ascii="仿宋_GB2312" w:hAnsi="仿宋" w:eastAsia="仿宋_GB2312" w:cstheme="minorBidi"/>
                <w:b w:val="0"/>
                <w:bCs/>
                <w:kern w:val="2"/>
                <w:sz w:val="24"/>
                <w:szCs w:val="24"/>
                <w:lang w:val="en-US" w:eastAsia="zh-CN" w:bidi="ar-SA"/>
              </w:rPr>
              <w:t>位于马边县永红乡，面积20.2431平方千米，</w:t>
            </w:r>
            <w:r>
              <w:rPr>
                <w:rFonts w:hint="eastAsia" w:ascii="仿宋_GB2312" w:hAnsi="仿宋" w:eastAsia="仿宋_GB2312" w:cstheme="minorBidi"/>
                <w:b w:val="0"/>
                <w:bCs/>
                <w:kern w:val="2"/>
                <w:sz w:val="24"/>
                <w:szCs w:val="24"/>
                <w:lang w:val="en-US" w:eastAsia="zh-CN" w:bidi="ar-SA"/>
              </w:rPr>
              <w:t>勘查</w:t>
            </w:r>
            <w:r>
              <w:rPr>
                <w:rFonts w:hint="default" w:ascii="仿宋_GB2312" w:hAnsi="仿宋" w:eastAsia="仿宋_GB2312" w:cstheme="minorBidi"/>
                <w:b w:val="0"/>
                <w:bCs/>
                <w:kern w:val="2"/>
                <w:sz w:val="24"/>
                <w:szCs w:val="24"/>
                <w:lang w:val="en-US" w:eastAsia="zh-CN" w:bidi="ar-SA"/>
              </w:rPr>
              <w:t>矿种为磷矿。</w:t>
            </w:r>
            <w:r>
              <w:rPr>
                <w:rFonts w:hint="eastAsia" w:ascii="仿宋_GB2312" w:hAnsi="仿宋" w:eastAsia="仿宋_GB2312" w:cstheme="minorBidi"/>
                <w:b w:val="0"/>
                <w:bCs/>
                <w:kern w:val="2"/>
                <w:sz w:val="24"/>
                <w:szCs w:val="24"/>
                <w:lang w:val="en-US" w:eastAsia="zh-CN" w:bidi="ar-SA"/>
              </w:rPr>
              <w:t>为2024年度省地勘基金项目，投入经费2900万元，目前正在实施普查评价，预估新增磷矿资源量约2亿吨</w:t>
            </w:r>
            <w:r>
              <w:rPr>
                <w:rFonts w:hint="default" w:ascii="仿宋_GB2312" w:hAnsi="仿宋" w:eastAsia="仿宋_GB2312" w:cstheme="minorBidi"/>
                <w:b w:val="0"/>
                <w:bCs/>
                <w:kern w:val="2"/>
                <w:sz w:val="24"/>
                <w:szCs w:val="24"/>
                <w:lang w:val="en-US" w:eastAsia="zh-CN" w:bidi="ar-SA"/>
              </w:rPr>
              <w:t>。</w:t>
            </w:r>
          </w:p>
          <w:p w14:paraId="4E153A73">
            <w:pPr>
              <w:pStyle w:val="34"/>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ascii="仿宋_GB2312" w:hAnsi="仿宋" w:eastAsia="仿宋_GB2312"/>
                <w:sz w:val="24"/>
                <w:szCs w:val="24"/>
              </w:rPr>
            </w:pPr>
            <w:r>
              <w:rPr>
                <w:rFonts w:hint="eastAsia" w:ascii="仿宋_GB2312" w:hAnsi="仿宋" w:eastAsia="仿宋_GB2312" w:cstheme="minorBidi"/>
                <w:b/>
                <w:kern w:val="2"/>
                <w:sz w:val="24"/>
                <w:szCs w:val="24"/>
                <w:lang w:val="en-US" w:eastAsia="zh-CN" w:bidi="ar-SA"/>
              </w:rPr>
              <w:t>2.马边福马磷化有限公司麦子坪矿区北矿段铅锌萤石生产勘探。</w:t>
            </w:r>
            <w:r>
              <w:rPr>
                <w:rFonts w:hint="eastAsia" w:ascii="仿宋_GB2312" w:hAnsi="仿宋" w:eastAsia="仿宋_GB2312" w:cstheme="minorBidi"/>
                <w:b w:val="0"/>
                <w:bCs/>
                <w:kern w:val="2"/>
                <w:sz w:val="24"/>
                <w:szCs w:val="24"/>
                <w:lang w:val="en-US" w:eastAsia="zh-CN" w:bidi="ar-SA"/>
              </w:rPr>
              <w:t>位于马边县永红乡，面积2.6490平方千米，勘查矿种为铅锌、萤石。已投入社会资金约3000万元，正在开展勘查工作，预估新增锌金属量2万吨、萤石矿物量30万吨。</w:t>
            </w:r>
          </w:p>
        </w:tc>
      </w:tr>
    </w:tbl>
    <w:p w14:paraId="10652B61">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9" w:name="_Toc15"/>
      <w:r>
        <w:rPr>
          <w:rFonts w:hint="eastAsia"/>
          <w:sz w:val="36"/>
          <w:szCs w:val="36"/>
          <w:lang w:val="en-US" w:eastAsia="zh-CN"/>
        </w:rPr>
        <w:t>三、优化勘查开发利用与保护布局</w:t>
      </w:r>
      <w:bookmarkEnd w:id="9"/>
    </w:p>
    <w:p w14:paraId="40187D89">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0" w:name="_Toc13108"/>
      <w:r>
        <w:rPr>
          <w:rFonts w:hint="eastAsia" w:ascii="黑体" w:hAnsi="黑体" w:eastAsia="黑体" w:cs="黑体"/>
          <w:b w:val="0"/>
          <w:bCs w:val="0"/>
          <w:lang w:val="en-US" w:eastAsia="zh-CN"/>
        </w:rPr>
        <w:t>（一）优化矿产资源勘查开发</w:t>
      </w:r>
      <w:bookmarkEnd w:id="5"/>
      <w:r>
        <w:rPr>
          <w:rFonts w:hint="eastAsia" w:ascii="黑体" w:hAnsi="黑体" w:eastAsia="黑体" w:cs="黑体"/>
          <w:b w:val="0"/>
          <w:bCs w:val="0"/>
          <w:lang w:val="en-US" w:eastAsia="zh-CN"/>
        </w:rPr>
        <w:t>格局</w:t>
      </w:r>
      <w:bookmarkEnd w:id="6"/>
      <w:bookmarkEnd w:id="10"/>
    </w:p>
    <w:p w14:paraId="32307A7E">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Calibri" w:eastAsia="仿宋_GB2312" w:cs="仿宋_GB2312"/>
          <w:sz w:val="32"/>
          <w:szCs w:val="32"/>
          <w:lang w:val="en-US" w:eastAsia="zh-CN"/>
        </w:rPr>
      </w:pPr>
      <w:r>
        <w:rPr>
          <w:rFonts w:hint="eastAsia" w:ascii="仿宋_GB2312" w:hAnsi="Calibri" w:eastAsia="仿宋_GB2312" w:cs="仿宋_GB2312"/>
          <w:sz w:val="32"/>
          <w:szCs w:val="32"/>
          <w:lang w:val="en-US" w:eastAsia="zh-CN"/>
        </w:rPr>
        <w:t>立足马边县资源禀赋与高质量产业发展实际，科学优化矿业空间布局，统筹划定五大矿产重点功能区：劳动—荍坝页岩气能源资源区、雪口山—烟峰-永红磷、铅锌、萤石矿重点勘查开发区、三河口—梅林镇铜多金属矿重点勘查区、烟峰镇优质玄武岩勘查研究区、梅林-雪口山砂石资源生产供应区。实行分区施策、分类管控、集约高效开发，稳定保障重大项目落地和产业发展资源供给，加快矿业结构优化与转型升级，推动矿产资源开发、生态环境保护与县域现代化产业体系深度融合、协同发展。</w:t>
      </w:r>
    </w:p>
    <w:p w14:paraId="7FA48A22">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Calibri" w:eastAsia="仿宋_GB2312" w:cs="仿宋_GB2312"/>
          <w:sz w:val="32"/>
          <w:szCs w:val="32"/>
          <w:lang w:val="en-US" w:eastAsia="zh-CN"/>
        </w:rPr>
      </w:pPr>
      <w:r>
        <w:rPr>
          <w:rFonts w:hint="eastAsia" w:ascii="仿宋" w:hAnsi="仿宋"/>
          <w:b/>
          <w:bCs/>
          <w:snapToGrid w:val="0"/>
          <w:kern w:val="0"/>
          <w:sz w:val="24"/>
          <w:szCs w:val="24"/>
        </w:rPr>
        <w:t xml:space="preserve">专栏三  </w:t>
      </w:r>
      <w:r>
        <w:rPr>
          <w:rFonts w:hint="eastAsia" w:ascii="仿宋" w:hAnsi="仿宋"/>
          <w:b/>
          <w:bCs/>
          <w:snapToGrid w:val="0"/>
          <w:kern w:val="0"/>
          <w:sz w:val="24"/>
          <w:szCs w:val="24"/>
          <w:lang w:val="en-US" w:eastAsia="zh-CN"/>
        </w:rPr>
        <w:t>马边</w:t>
      </w:r>
      <w:r>
        <w:rPr>
          <w:rFonts w:hint="eastAsia" w:ascii="仿宋" w:hAnsi="仿宋"/>
          <w:b/>
          <w:bCs/>
          <w:snapToGrid w:val="0"/>
          <w:kern w:val="0"/>
          <w:sz w:val="24"/>
          <w:szCs w:val="24"/>
        </w:rPr>
        <w:t>县重点发展区域</w:t>
      </w:r>
    </w:p>
    <w:tbl>
      <w:tblPr>
        <w:tblStyle w:val="1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7E82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000" w:type="pct"/>
            <w:shd w:val="clear" w:color="auto" w:fill="auto"/>
          </w:tcPr>
          <w:p w14:paraId="51B560FB">
            <w:pPr>
              <w:keepNext w:val="0"/>
              <w:keepLines w:val="0"/>
              <w:pageBreakBefore w:val="0"/>
              <w:widowControl w:val="0"/>
              <w:kinsoku/>
              <w:wordWrap/>
              <w:overflowPunct/>
              <w:topLinePunct w:val="0"/>
              <w:autoSpaceDE/>
              <w:autoSpaceDN/>
              <w:bidi w:val="0"/>
              <w:adjustRightInd/>
              <w:snapToGrid/>
              <w:spacing w:line="440" w:lineRule="exact"/>
              <w:ind w:firstLine="562"/>
              <w:textAlignment w:val="auto"/>
              <w:rPr>
                <w:rFonts w:hint="eastAsia" w:ascii="仿宋_GB2312" w:hAnsi="Calibri" w:eastAsia="仿宋_GB2312" w:cs="仿宋_GB2312"/>
                <w:b w:val="0"/>
                <w:bCs/>
                <w:sz w:val="24"/>
                <w:szCs w:val="24"/>
              </w:rPr>
            </w:pPr>
            <w:r>
              <w:rPr>
                <w:rFonts w:hint="eastAsia" w:ascii="仿宋_GB2312" w:hAnsi="Calibri" w:eastAsia="仿宋_GB2312" w:cs="仿宋_GB2312"/>
                <w:b/>
                <w:sz w:val="24"/>
                <w:szCs w:val="24"/>
                <w:lang w:val="en-US" w:eastAsia="zh-CN"/>
              </w:rPr>
              <w:t>劳动—荍坝</w:t>
            </w:r>
            <w:r>
              <w:rPr>
                <w:rFonts w:hint="eastAsia" w:ascii="仿宋_GB2312" w:hAnsi="Calibri" w:eastAsia="仿宋_GB2312" w:cs="仿宋_GB2312"/>
                <w:b/>
                <w:sz w:val="24"/>
                <w:szCs w:val="24"/>
              </w:rPr>
              <w:t>页岩气能源资源区</w:t>
            </w:r>
            <w:r>
              <w:rPr>
                <w:rFonts w:ascii="仿宋_GB2312" w:hAnsi="Calibri" w:eastAsia="仿宋_GB2312" w:cs="仿宋_GB2312"/>
                <w:b/>
                <w:sz w:val="24"/>
                <w:szCs w:val="24"/>
              </w:rPr>
              <w:t>：</w:t>
            </w:r>
            <w:r>
              <w:rPr>
                <w:rFonts w:ascii="仿宋_GB2312" w:hAnsi="Calibri" w:eastAsia="仿宋_GB2312" w:cs="仿宋_GB2312"/>
                <w:b w:val="0"/>
                <w:bCs/>
                <w:sz w:val="24"/>
                <w:szCs w:val="24"/>
              </w:rPr>
              <w:t>持续推进评价井、示范井钻探稳产提质，有序</w:t>
            </w:r>
            <w:r>
              <w:rPr>
                <w:rFonts w:hint="eastAsia" w:ascii="仿宋_GB2312" w:hAnsi="Calibri" w:eastAsia="仿宋_GB2312" w:cs="仿宋_GB2312"/>
                <w:b w:val="0"/>
                <w:bCs/>
                <w:sz w:val="24"/>
                <w:szCs w:val="24"/>
                <w:lang w:val="en-US" w:eastAsia="zh-CN"/>
              </w:rPr>
              <w:t>推进</w:t>
            </w:r>
            <w:r>
              <w:rPr>
                <w:rFonts w:ascii="仿宋_GB2312" w:hAnsi="Calibri" w:eastAsia="仿宋_GB2312" w:cs="仿宋_GB2312"/>
                <w:b w:val="0"/>
                <w:bCs/>
                <w:sz w:val="24"/>
                <w:szCs w:val="24"/>
              </w:rPr>
              <w:t>探转采，稳步释放区块产气产能，建成屏山油气区块</w:t>
            </w:r>
            <w:r>
              <w:rPr>
                <w:rFonts w:hint="eastAsia" w:ascii="仿宋_GB2312" w:hAnsi="Calibri" w:eastAsia="仿宋_GB2312" w:cs="仿宋_GB2312"/>
                <w:b w:val="0"/>
                <w:bCs/>
                <w:sz w:val="24"/>
                <w:szCs w:val="24"/>
                <w:lang w:val="en-US" w:eastAsia="zh-CN"/>
              </w:rPr>
              <w:t>马边主要</w:t>
            </w:r>
            <w:r>
              <w:rPr>
                <w:rFonts w:ascii="仿宋_GB2312" w:hAnsi="Calibri" w:eastAsia="仿宋_GB2312" w:cs="仿宋_GB2312"/>
                <w:b w:val="0"/>
                <w:bCs/>
                <w:sz w:val="24"/>
                <w:szCs w:val="24"/>
              </w:rPr>
              <w:t>产气基地，赋能川西南油气产业发展。全面推行智能钻井、数字化气田管控模式，严控开采能耗与资源损耗，实现页岩气绿色高效开发。</w:t>
            </w:r>
          </w:p>
          <w:p w14:paraId="55AD101D">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eastAsia" w:ascii="仿宋_GB2312" w:hAnsi="Calibri" w:eastAsia="仿宋_GB2312" w:cs="仿宋_GB2312"/>
                <w:b/>
                <w:sz w:val="24"/>
                <w:szCs w:val="24"/>
              </w:rPr>
            </w:pPr>
            <w:r>
              <w:rPr>
                <w:rFonts w:hint="eastAsia" w:cs="Times New Roman"/>
                <w:b/>
                <w:sz w:val="24"/>
                <w:szCs w:val="24"/>
                <w:lang w:val="en-US" w:eastAsia="zh-CN"/>
              </w:rPr>
              <w:t>雪口山-烟峰-永红</w:t>
            </w:r>
            <w:r>
              <w:rPr>
                <w:rFonts w:hint="default" w:ascii="Times New Roman" w:hAnsi="Times New Roman" w:eastAsia="仿宋" w:cs="Times New Roman"/>
                <w:b/>
                <w:sz w:val="24"/>
                <w:szCs w:val="24"/>
              </w:rPr>
              <w:t>磷、铅锌、萤石矿重点勘查开发区：</w:t>
            </w:r>
            <w:r>
              <w:rPr>
                <w:rFonts w:hint="default" w:ascii="Times New Roman" w:hAnsi="Times New Roman" w:eastAsia="仿宋" w:cs="Times New Roman"/>
                <w:b w:val="0"/>
                <w:bCs/>
                <w:sz w:val="24"/>
                <w:szCs w:val="24"/>
                <w:lang w:val="en-US" w:eastAsia="zh-CN"/>
              </w:rPr>
              <w:t>依托能源资源基地建设，盘活现有矿业权，推进矿产规模化、集约化开发。</w:t>
            </w:r>
            <w:r>
              <w:rPr>
                <w:rFonts w:hint="eastAsia" w:ascii="仿宋_GB2312" w:hAnsi="仿宋" w:eastAsia="仿宋_GB2312"/>
                <w:color w:val="auto"/>
                <w:sz w:val="24"/>
                <w:szCs w:val="24"/>
              </w:rPr>
              <w:t>以磷矿为核心主攻矿种，加大共伴生</w:t>
            </w:r>
            <w:r>
              <w:rPr>
                <w:rFonts w:hint="eastAsia" w:ascii="仿宋_GB2312" w:hAnsi="仿宋" w:eastAsia="仿宋_GB2312"/>
                <w:color w:val="auto"/>
                <w:sz w:val="24"/>
                <w:szCs w:val="24"/>
                <w:lang w:val="en-US" w:eastAsia="zh-CN"/>
              </w:rPr>
              <w:t>铅锌、</w:t>
            </w:r>
            <w:r>
              <w:rPr>
                <w:rFonts w:hint="eastAsia" w:ascii="仿宋_GB2312" w:hAnsi="仿宋" w:eastAsia="仿宋_GB2312"/>
                <w:color w:val="auto"/>
                <w:sz w:val="24"/>
                <w:szCs w:val="24"/>
              </w:rPr>
              <w:t>萤石勘查开发力度，推</w:t>
            </w:r>
            <w:r>
              <w:rPr>
                <w:rFonts w:hint="eastAsia" w:ascii="仿宋_GB2312" w:hAnsi="仿宋" w:eastAsia="仿宋_GB2312"/>
                <w:color w:val="auto"/>
                <w:sz w:val="24"/>
                <w:szCs w:val="24"/>
                <w:lang w:val="en-US" w:eastAsia="zh-CN"/>
              </w:rPr>
              <w:t>动</w:t>
            </w:r>
            <w:r>
              <w:rPr>
                <w:rFonts w:hint="eastAsia" w:ascii="仿宋_GB2312" w:hAnsi="仿宋" w:eastAsia="仿宋_GB2312"/>
                <w:color w:val="auto"/>
                <w:sz w:val="24"/>
                <w:szCs w:val="24"/>
              </w:rPr>
              <w:t>低品位磷矿综合利用技术攻关，全面提升资源利用效率。有序推进矿产资源整合，形成以大中型矿山为主体的开发保护格局。依托</w:t>
            </w:r>
            <w:r>
              <w:rPr>
                <w:rFonts w:hint="eastAsia" w:ascii="仿宋_GB2312" w:hAnsi="仿宋" w:eastAsia="仿宋_GB2312"/>
                <w:color w:val="auto"/>
                <w:sz w:val="24"/>
                <w:szCs w:val="24"/>
                <w:lang w:eastAsia="zh-CN"/>
              </w:rPr>
              <w:t>“</w:t>
            </w:r>
            <w:r>
              <w:rPr>
                <w:rFonts w:hint="eastAsia" w:ascii="仿宋_GB2312" w:hAnsi="仿宋" w:eastAsia="仿宋_GB2312"/>
                <w:color w:val="auto"/>
                <w:sz w:val="24"/>
                <w:szCs w:val="24"/>
              </w:rPr>
              <w:t>飞地园区</w:t>
            </w:r>
            <w:r>
              <w:rPr>
                <w:rFonts w:hint="eastAsia" w:ascii="仿宋_GB2312" w:hAnsi="仿宋" w:eastAsia="仿宋_GB2312"/>
                <w:color w:val="auto"/>
                <w:sz w:val="24"/>
                <w:szCs w:val="24"/>
                <w:lang w:eastAsia="zh-CN"/>
              </w:rPr>
              <w:t>”</w:t>
            </w:r>
            <w:r>
              <w:rPr>
                <w:rFonts w:hint="eastAsia" w:ascii="仿宋_GB2312" w:hAnsi="仿宋" w:eastAsia="仿宋_GB2312"/>
                <w:color w:val="auto"/>
                <w:sz w:val="24"/>
                <w:szCs w:val="24"/>
              </w:rPr>
              <w:t>延伸产业链条，推动磷、氟产业</w:t>
            </w:r>
            <w:r>
              <w:rPr>
                <w:rFonts w:hint="eastAsia" w:ascii="仿宋_GB2312" w:hAnsi="仿宋" w:eastAsia="仿宋_GB2312"/>
                <w:color w:val="auto"/>
                <w:sz w:val="24"/>
                <w:szCs w:val="24"/>
                <w:lang w:val="en-US" w:eastAsia="zh-CN"/>
              </w:rPr>
              <w:t>协同</w:t>
            </w:r>
            <w:r>
              <w:rPr>
                <w:rFonts w:hint="eastAsia" w:ascii="仿宋_GB2312" w:hAnsi="仿宋" w:eastAsia="仿宋_GB2312"/>
                <w:color w:val="auto"/>
                <w:sz w:val="24"/>
                <w:szCs w:val="24"/>
              </w:rPr>
              <w:t>发展，积极融入全省绿色磷化工产业集群。</w:t>
            </w:r>
          </w:p>
          <w:p w14:paraId="3783DC74">
            <w:pPr>
              <w:keepNext w:val="0"/>
              <w:keepLines w:val="0"/>
              <w:pageBreakBefore w:val="0"/>
              <w:widowControl w:val="0"/>
              <w:kinsoku/>
              <w:wordWrap/>
              <w:overflowPunct/>
              <w:topLinePunct w:val="0"/>
              <w:autoSpaceDE/>
              <w:autoSpaceDN/>
              <w:bidi w:val="0"/>
              <w:adjustRightInd/>
              <w:snapToGrid/>
              <w:spacing w:line="440" w:lineRule="exact"/>
              <w:ind w:firstLine="562"/>
              <w:textAlignment w:val="auto"/>
              <w:rPr>
                <w:rFonts w:ascii="仿宋_GB2312" w:hAnsi="Calibri" w:eastAsia="仿宋_GB2312" w:cs="仿宋_GB2312"/>
                <w:b w:val="0"/>
                <w:bCs/>
                <w:sz w:val="24"/>
                <w:szCs w:val="24"/>
              </w:rPr>
            </w:pPr>
            <w:r>
              <w:rPr>
                <w:rFonts w:hint="eastAsia" w:ascii="仿宋_GB2312" w:hAnsi="Calibri" w:eastAsia="仿宋_GB2312" w:cs="仿宋_GB2312"/>
                <w:b/>
                <w:sz w:val="24"/>
                <w:szCs w:val="24"/>
                <w:lang w:val="en-US" w:eastAsia="zh-CN"/>
              </w:rPr>
              <w:t>三河口—梅林镇</w:t>
            </w:r>
            <w:r>
              <w:rPr>
                <w:rFonts w:hint="eastAsia" w:ascii="仿宋_GB2312" w:hAnsi="Calibri" w:eastAsia="仿宋_GB2312" w:cs="仿宋_GB2312"/>
                <w:b/>
                <w:sz w:val="24"/>
                <w:szCs w:val="24"/>
              </w:rPr>
              <w:t>铜多金属矿重点勘查区</w:t>
            </w:r>
            <w:r>
              <w:rPr>
                <w:rFonts w:ascii="仿宋_GB2312" w:hAnsi="Calibri" w:eastAsia="仿宋_GB2312" w:cs="仿宋_GB2312"/>
                <w:b/>
                <w:sz w:val="24"/>
                <w:szCs w:val="24"/>
              </w:rPr>
              <w:t>：</w:t>
            </w:r>
            <w:r>
              <w:rPr>
                <w:rFonts w:ascii="仿宋_GB2312" w:hAnsi="Calibri" w:eastAsia="仿宋_GB2312" w:cs="仿宋_GB2312"/>
                <w:b w:val="0"/>
                <w:bCs/>
                <w:sz w:val="24"/>
                <w:szCs w:val="24"/>
              </w:rPr>
              <w:t>紧扣新一轮找矿突破战略行动，加大</w:t>
            </w:r>
            <w:r>
              <w:rPr>
                <w:rFonts w:hint="eastAsia" w:ascii="仿宋_GB2312" w:hAnsi="Calibri" w:eastAsia="仿宋_GB2312" w:cs="仿宋_GB2312"/>
                <w:b w:val="0"/>
                <w:bCs/>
                <w:sz w:val="24"/>
                <w:szCs w:val="24"/>
                <w:lang w:val="en-US" w:eastAsia="zh-CN"/>
              </w:rPr>
              <w:t>三河口-梅林镇一带</w:t>
            </w:r>
            <w:r>
              <w:rPr>
                <w:rFonts w:ascii="仿宋_GB2312" w:hAnsi="Calibri" w:eastAsia="仿宋_GB2312" w:cs="仿宋_GB2312"/>
                <w:b w:val="0"/>
                <w:bCs/>
                <w:sz w:val="24"/>
                <w:szCs w:val="24"/>
              </w:rPr>
              <w:t>铜矿成矿带勘查力度，统筹争取各级财政资金、引入社会资本，强化要素保障推动勘查项目落地，</w:t>
            </w:r>
            <w:r>
              <w:rPr>
                <w:rFonts w:hint="eastAsia" w:ascii="仿宋_GB2312" w:hAnsi="Calibri" w:eastAsia="仿宋_GB2312" w:cs="仿宋_GB2312"/>
                <w:b w:val="0"/>
                <w:bCs/>
                <w:sz w:val="24"/>
                <w:szCs w:val="24"/>
                <w:lang w:val="en-US" w:eastAsia="zh-CN"/>
              </w:rPr>
              <w:t>力争</w:t>
            </w:r>
            <w:r>
              <w:rPr>
                <w:rFonts w:ascii="仿宋_GB2312" w:hAnsi="Calibri" w:eastAsia="仿宋_GB2312" w:cs="仿宋_GB2312"/>
                <w:b w:val="0"/>
                <w:bCs/>
                <w:sz w:val="24"/>
                <w:szCs w:val="24"/>
              </w:rPr>
              <w:t>实现找矿重大突破增储。</w:t>
            </w:r>
          </w:p>
          <w:p w14:paraId="7233B67C">
            <w:pPr>
              <w:spacing w:beforeLines="0" w:afterLines="0"/>
              <w:ind w:firstLine="480"/>
              <w:rPr>
                <w:rFonts w:hint="eastAsia" w:ascii="仿宋" w:hAnsi="仿宋" w:eastAsia="仿宋" w:cs="Times New Roman"/>
                <w:sz w:val="24"/>
                <w:szCs w:val="24"/>
              </w:rPr>
            </w:pPr>
            <w:r>
              <w:rPr>
                <w:rFonts w:hint="eastAsia" w:ascii="仿宋" w:hAnsi="仿宋" w:eastAsia="仿宋" w:cs="Times New Roman"/>
                <w:b/>
                <w:bCs/>
                <w:sz w:val="24"/>
                <w:szCs w:val="24"/>
              </w:rPr>
              <w:t>烟峰镇优质玄武岩勘查研究区</w:t>
            </w:r>
            <w:r>
              <w:rPr>
                <w:rFonts w:hint="eastAsia" w:ascii="仿宋" w:hAnsi="仿宋" w:eastAsia="仿宋" w:cs="Times New Roman"/>
                <w:sz w:val="24"/>
                <w:szCs w:val="24"/>
              </w:rPr>
              <w:t>：通过有效勘查和研究，力争在我县实现优质玄武岩的勘查和开发利用。</w:t>
            </w:r>
          </w:p>
          <w:p w14:paraId="1AE26CD4">
            <w:pPr>
              <w:keepNext w:val="0"/>
              <w:keepLines w:val="0"/>
              <w:pageBreakBefore w:val="0"/>
              <w:widowControl w:val="0"/>
              <w:kinsoku/>
              <w:wordWrap/>
              <w:overflowPunct/>
              <w:topLinePunct w:val="0"/>
              <w:autoSpaceDE/>
              <w:autoSpaceDN/>
              <w:bidi w:val="0"/>
              <w:adjustRightInd/>
              <w:snapToGrid/>
              <w:spacing w:line="440" w:lineRule="exact"/>
              <w:ind w:firstLine="562"/>
              <w:textAlignment w:val="auto"/>
              <w:rPr>
                <w:rFonts w:hint="eastAsia" w:ascii="仿宋_GB2312" w:hAnsi="仿宋" w:eastAsia="仿宋_GB2312"/>
                <w:sz w:val="24"/>
                <w:szCs w:val="24"/>
              </w:rPr>
            </w:pPr>
            <w:r>
              <w:rPr>
                <w:rFonts w:hint="eastAsia" w:ascii="仿宋" w:hAnsi="仿宋" w:eastAsia="仿宋" w:cs="Times New Roman"/>
                <w:b/>
                <w:bCs/>
                <w:sz w:val="24"/>
                <w:szCs w:val="24"/>
              </w:rPr>
              <w:t>梅林镇-雪口山砂石资源生产供应区</w:t>
            </w:r>
            <w:r>
              <w:rPr>
                <w:rFonts w:hint="eastAsia" w:ascii="仿宋" w:hAnsi="仿宋" w:eastAsia="仿宋" w:cs="Times New Roman"/>
                <w:sz w:val="24"/>
                <w:szCs w:val="24"/>
              </w:rPr>
              <w:t>：:统筹规划梅林镇、雪口山镇砂石资源生产供应，有力保障全县经济建设，严格控制采矿权数量和开采总量。</w:t>
            </w:r>
          </w:p>
        </w:tc>
      </w:tr>
    </w:tbl>
    <w:p w14:paraId="255EBDC0">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1" w:name="_Toc1291"/>
      <w:r>
        <w:rPr>
          <w:rFonts w:hint="eastAsia" w:ascii="黑体" w:hAnsi="黑体" w:eastAsia="黑体" w:cs="黑体"/>
          <w:b w:val="0"/>
          <w:bCs w:val="0"/>
          <w:lang w:val="en-US" w:eastAsia="zh-CN"/>
        </w:rPr>
        <w:t>（二）矿产资源勘查开采调控方向</w:t>
      </w:r>
      <w:bookmarkEnd w:id="11"/>
    </w:p>
    <w:p w14:paraId="297DB514">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cs="Times New Roman"/>
          <w:sz w:val="32"/>
          <w:szCs w:val="32"/>
          <w:lang w:eastAsia="zh-CN"/>
        </w:rPr>
      </w:pPr>
      <w:r>
        <w:rPr>
          <w:rFonts w:hint="eastAsia" w:ascii="仿宋_GB2312" w:hAnsi="仿宋" w:eastAsia="仿宋_GB2312" w:cs="Times New Roman"/>
          <w:b/>
          <w:sz w:val="32"/>
          <w:szCs w:val="32"/>
          <w:lang w:val="en-US" w:eastAsia="zh-CN"/>
        </w:rPr>
        <w:t>矿产</w:t>
      </w:r>
      <w:r>
        <w:rPr>
          <w:rFonts w:hint="eastAsia" w:ascii="仿宋_GB2312" w:hAnsi="仿宋" w:eastAsia="仿宋_GB2312" w:cs="Times New Roman"/>
          <w:b/>
          <w:sz w:val="32"/>
          <w:szCs w:val="32"/>
        </w:rPr>
        <w:t>勘查</w:t>
      </w:r>
      <w:r>
        <w:rPr>
          <w:rFonts w:hint="eastAsia" w:ascii="仿宋_GB2312" w:hAnsi="仿宋" w:eastAsia="仿宋_GB2312" w:cs="Times New Roman"/>
          <w:b/>
          <w:sz w:val="32"/>
          <w:szCs w:val="32"/>
          <w:lang w:val="en-US" w:eastAsia="zh-CN"/>
        </w:rPr>
        <w:t>方向</w:t>
      </w:r>
      <w:r>
        <w:rPr>
          <w:rFonts w:hint="eastAsia" w:ascii="仿宋_GB2312" w:hAnsi="仿宋" w:eastAsia="仿宋_GB2312" w:cs="Times New Roman"/>
          <w:b/>
          <w:sz w:val="32"/>
          <w:szCs w:val="32"/>
        </w:rPr>
        <w:t>：</w:t>
      </w:r>
      <w:r>
        <w:rPr>
          <w:rFonts w:hint="eastAsia" w:ascii="仿宋_GB2312" w:hAnsi="仿宋" w:eastAsia="仿宋_GB2312" w:cs="Times New Roman"/>
          <w:b w:val="0"/>
          <w:bCs/>
          <w:sz w:val="32"/>
          <w:szCs w:val="32"/>
        </w:rPr>
        <w:t>紧扣国家战略急需、区域产业紧缺导向，</w:t>
      </w:r>
      <w:r>
        <w:rPr>
          <w:rFonts w:hint="eastAsia" w:ascii="仿宋_GB2312" w:hAnsi="仿宋" w:eastAsia="仿宋_GB2312" w:cs="Times New Roman"/>
          <w:sz w:val="32"/>
          <w:szCs w:val="32"/>
          <w:lang w:val="en-US" w:eastAsia="zh-CN"/>
        </w:rPr>
        <w:t>加大</w:t>
      </w:r>
      <w:r>
        <w:rPr>
          <w:rFonts w:hint="eastAsia" w:ascii="仿宋_GB2312" w:hAnsi="Calibri" w:eastAsia="仿宋_GB2312" w:cs="仿宋_GB2312"/>
          <w:szCs w:val="32"/>
        </w:rPr>
        <w:t>天然气</w:t>
      </w:r>
      <w:r>
        <w:rPr>
          <w:rFonts w:hint="eastAsia" w:ascii="仿宋_GB2312" w:hAnsi="Calibri" w:eastAsia="仿宋_GB2312" w:cs="仿宋_GB2312"/>
          <w:szCs w:val="32"/>
          <w:lang w:eastAsia="zh-CN"/>
        </w:rPr>
        <w:t>、</w:t>
      </w:r>
      <w:r>
        <w:rPr>
          <w:rFonts w:hint="eastAsia" w:ascii="仿宋_GB2312" w:hAnsi="Calibri" w:eastAsia="仿宋_GB2312" w:cs="仿宋_GB2312"/>
          <w:szCs w:val="32"/>
        </w:rPr>
        <w:t>页岩气、</w:t>
      </w:r>
      <w:r>
        <w:rPr>
          <w:rFonts w:hint="eastAsia" w:ascii="仿宋_GB2312" w:hAnsi="Calibri" w:eastAsia="仿宋_GB2312" w:cs="仿宋_GB2312"/>
          <w:szCs w:val="32"/>
          <w:lang w:val="en-US" w:eastAsia="zh-CN"/>
        </w:rPr>
        <w:t>磷矿、</w:t>
      </w:r>
      <w:r>
        <w:rPr>
          <w:rFonts w:hint="eastAsia" w:ascii="仿宋_GB2312" w:hAnsi="仿宋" w:eastAsia="仿宋_GB2312" w:cs="Times New Roman"/>
          <w:sz w:val="32"/>
          <w:szCs w:val="32"/>
        </w:rPr>
        <w:t>铜</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萤石、铅锌等矿产的勘查工作</w:t>
      </w:r>
      <w:r>
        <w:rPr>
          <w:rFonts w:hint="eastAsia" w:ascii="仿宋_GB2312" w:hAnsi="仿宋" w:eastAsia="仿宋_GB2312" w:cs="Times New Roman"/>
          <w:sz w:val="32"/>
          <w:szCs w:val="32"/>
        </w:rPr>
        <w:t>，</w:t>
      </w:r>
      <w:r>
        <w:rPr>
          <w:rFonts w:hint="eastAsia" w:ascii="仿宋_GB2312" w:hAnsi="仿宋" w:eastAsia="仿宋_GB2312" w:cs="Times New Roman"/>
          <w:sz w:val="32"/>
          <w:szCs w:val="32"/>
          <w:lang w:val="en-US" w:eastAsia="zh-CN"/>
        </w:rPr>
        <w:t>围绕</w:t>
      </w:r>
      <w:r>
        <w:rPr>
          <w:rFonts w:hint="eastAsia" w:ascii="仿宋_GB2312" w:hAnsi="仿宋" w:eastAsia="仿宋_GB2312" w:cs="Times New Roman"/>
          <w:sz w:val="32"/>
          <w:szCs w:val="32"/>
        </w:rPr>
        <w:t>我</w:t>
      </w:r>
      <w:r>
        <w:rPr>
          <w:rFonts w:hint="eastAsia" w:ascii="仿宋_GB2312" w:hAnsi="仿宋" w:eastAsia="仿宋_GB2312" w:cs="Times New Roman"/>
          <w:sz w:val="32"/>
          <w:szCs w:val="32"/>
          <w:lang w:val="en-US" w:eastAsia="zh-CN"/>
        </w:rPr>
        <w:t>县产业发展、文旅发展及地方经济建设</w:t>
      </w:r>
      <w:r>
        <w:rPr>
          <w:rFonts w:hint="eastAsia" w:ascii="仿宋_GB2312" w:hAnsi="仿宋" w:eastAsia="仿宋_GB2312" w:cs="Times New Roman"/>
          <w:sz w:val="32"/>
          <w:szCs w:val="32"/>
          <w:lang w:eastAsia="zh-CN"/>
        </w:rPr>
        <w:t>，</w:t>
      </w:r>
      <w:r>
        <w:rPr>
          <w:rFonts w:hint="eastAsia" w:ascii="仿宋_GB2312" w:hAnsi="仿宋" w:eastAsia="仿宋_GB2312" w:cs="Times New Roman"/>
          <w:sz w:val="32"/>
          <w:szCs w:val="32"/>
          <w:lang w:val="en-US" w:eastAsia="zh-CN"/>
        </w:rPr>
        <w:t>重点开展玄武岩、</w:t>
      </w:r>
      <w:r>
        <w:rPr>
          <w:rFonts w:hint="eastAsia" w:ascii="仿宋_GB2312" w:hAnsi="仿宋" w:eastAsia="仿宋_GB2312" w:cs="Times New Roman"/>
          <w:sz w:val="32"/>
          <w:szCs w:val="32"/>
        </w:rPr>
        <w:t>石灰岩、</w:t>
      </w:r>
      <w:r>
        <w:rPr>
          <w:rFonts w:hint="eastAsia" w:ascii="仿宋_GB2312" w:hAnsi="仿宋" w:eastAsia="仿宋_GB2312" w:cs="Times New Roman"/>
          <w:sz w:val="32"/>
          <w:szCs w:val="32"/>
          <w:lang w:val="en-US" w:eastAsia="zh-CN"/>
        </w:rPr>
        <w:t>石英砂、地下水、石膏</w:t>
      </w:r>
      <w:r>
        <w:rPr>
          <w:rFonts w:hint="eastAsia" w:ascii="仿宋_GB2312" w:hAnsi="仿宋" w:eastAsia="仿宋_GB2312" w:cs="Times New Roman"/>
          <w:sz w:val="32"/>
          <w:szCs w:val="32"/>
        </w:rPr>
        <w:t>等</w:t>
      </w:r>
      <w:r>
        <w:rPr>
          <w:rFonts w:hint="eastAsia" w:ascii="仿宋_GB2312" w:hAnsi="仿宋" w:eastAsia="仿宋_GB2312" w:cs="Times New Roman"/>
          <w:sz w:val="32"/>
          <w:szCs w:val="32"/>
          <w:lang w:val="en-US" w:eastAsia="zh-CN"/>
        </w:rPr>
        <w:t>高附加值</w:t>
      </w:r>
      <w:r>
        <w:rPr>
          <w:rFonts w:hint="eastAsia" w:ascii="仿宋_GB2312" w:hAnsi="仿宋" w:eastAsia="仿宋_GB2312" w:cs="Times New Roman"/>
          <w:sz w:val="32"/>
          <w:szCs w:val="32"/>
        </w:rPr>
        <w:t>矿产</w:t>
      </w:r>
      <w:r>
        <w:rPr>
          <w:rFonts w:hint="eastAsia" w:ascii="仿宋_GB2312" w:hAnsi="仿宋" w:eastAsia="仿宋_GB2312" w:cs="Times New Roman"/>
          <w:sz w:val="32"/>
          <w:szCs w:val="32"/>
          <w:lang w:val="en-US" w:eastAsia="zh-CN"/>
        </w:rPr>
        <w:t>勘查</w:t>
      </w:r>
      <w:r>
        <w:rPr>
          <w:rFonts w:hint="eastAsia" w:ascii="仿宋_GB2312" w:hAnsi="仿宋" w:eastAsia="仿宋_GB2312" w:cs="Times New Roman"/>
          <w:sz w:val="32"/>
          <w:szCs w:val="32"/>
        </w:rPr>
        <w:t>。禁止湿地泥炭等生态敏感及政策严控矿产勘查，原则上不再新设相关勘查规划区块。</w:t>
      </w:r>
    </w:p>
    <w:p w14:paraId="19A27414">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Calibri" w:eastAsia="仿宋_GB2312" w:cs="仿宋_GB2312"/>
          <w:szCs w:val="32"/>
        </w:rPr>
      </w:pPr>
      <w:r>
        <w:rPr>
          <w:rFonts w:hint="eastAsia" w:ascii="仿宋_GB2312" w:hAnsi="仿宋" w:eastAsia="仿宋_GB2312" w:cs="Times New Roman"/>
          <w:b/>
          <w:sz w:val="32"/>
          <w:szCs w:val="32"/>
          <w:lang w:val="en-US" w:eastAsia="zh-CN"/>
        </w:rPr>
        <w:t>矿产</w:t>
      </w:r>
      <w:r>
        <w:rPr>
          <w:rFonts w:hint="eastAsia" w:ascii="仿宋_GB2312" w:hAnsi="仿宋" w:eastAsia="仿宋_GB2312" w:cs="Times New Roman"/>
          <w:b/>
          <w:sz w:val="32"/>
          <w:szCs w:val="32"/>
        </w:rPr>
        <w:t>开采</w:t>
      </w:r>
      <w:r>
        <w:rPr>
          <w:rFonts w:hint="eastAsia" w:ascii="仿宋_GB2312" w:hAnsi="仿宋" w:eastAsia="仿宋_GB2312" w:cs="Times New Roman"/>
          <w:b/>
          <w:sz w:val="32"/>
          <w:szCs w:val="32"/>
          <w:lang w:val="en-US" w:eastAsia="zh-CN"/>
        </w:rPr>
        <w:t>方向</w:t>
      </w:r>
      <w:r>
        <w:rPr>
          <w:rFonts w:hint="eastAsia" w:ascii="仿宋_GB2312" w:hAnsi="仿宋" w:eastAsia="仿宋_GB2312" w:cs="Times New Roman"/>
          <w:b/>
          <w:sz w:val="32"/>
          <w:szCs w:val="32"/>
        </w:rPr>
        <w:t>：</w:t>
      </w:r>
      <w:r>
        <w:rPr>
          <w:rFonts w:hint="eastAsia" w:ascii="仿宋_GB2312" w:hAnsi="仿宋" w:eastAsia="仿宋_GB2312" w:cs="Times New Roman"/>
          <w:b w:val="0"/>
          <w:bCs/>
          <w:sz w:val="32"/>
          <w:szCs w:val="32"/>
        </w:rPr>
        <w:t>立足国家战略、</w:t>
      </w:r>
      <w:r>
        <w:rPr>
          <w:rFonts w:hint="eastAsia" w:ascii="仿宋_GB2312" w:hAnsi="仿宋" w:eastAsia="仿宋_GB2312" w:cs="Times New Roman"/>
          <w:b w:val="0"/>
          <w:bCs/>
          <w:sz w:val="32"/>
          <w:szCs w:val="32"/>
          <w:lang w:val="en-US" w:eastAsia="zh-CN"/>
        </w:rPr>
        <w:t>县域</w:t>
      </w:r>
      <w:r>
        <w:rPr>
          <w:rFonts w:hint="eastAsia" w:ascii="仿宋_GB2312" w:hAnsi="仿宋" w:eastAsia="仿宋_GB2312" w:cs="Times New Roman"/>
          <w:b w:val="0"/>
          <w:bCs/>
          <w:sz w:val="32"/>
          <w:szCs w:val="32"/>
        </w:rPr>
        <w:t>资源禀赋与产业布局</w:t>
      </w:r>
      <w:r>
        <w:rPr>
          <w:rFonts w:hint="eastAsia" w:ascii="仿宋_GB2312" w:hAnsi="仿宋" w:eastAsia="仿宋_GB2312" w:cs="Times New Roman"/>
          <w:sz w:val="32"/>
          <w:szCs w:val="32"/>
          <w:lang w:val="en-US" w:eastAsia="zh-CN"/>
        </w:rPr>
        <w:t>优先规模化开发</w:t>
      </w:r>
      <w:r>
        <w:rPr>
          <w:rFonts w:hint="eastAsia" w:ascii="仿宋_GB2312" w:hAnsi="Calibri" w:eastAsia="仿宋_GB2312" w:cs="仿宋_GB2312"/>
          <w:szCs w:val="32"/>
        </w:rPr>
        <w:t>天然气</w:t>
      </w:r>
      <w:r>
        <w:rPr>
          <w:rFonts w:hint="eastAsia" w:ascii="仿宋_GB2312" w:hAnsi="Calibri" w:eastAsia="仿宋_GB2312" w:cs="仿宋_GB2312"/>
          <w:szCs w:val="32"/>
          <w:lang w:eastAsia="zh-CN"/>
        </w:rPr>
        <w:t>、</w:t>
      </w:r>
      <w:r>
        <w:rPr>
          <w:rFonts w:hint="eastAsia" w:ascii="仿宋_GB2312" w:hAnsi="Calibri" w:eastAsia="仿宋_GB2312" w:cs="仿宋_GB2312"/>
          <w:szCs w:val="32"/>
        </w:rPr>
        <w:t>页岩气、</w:t>
      </w:r>
      <w:r>
        <w:rPr>
          <w:rFonts w:hint="eastAsia" w:ascii="仿宋_GB2312" w:hAnsi="Calibri" w:eastAsia="仿宋_GB2312" w:cs="仿宋_GB2312"/>
          <w:szCs w:val="32"/>
          <w:lang w:val="en-US" w:eastAsia="zh-CN"/>
        </w:rPr>
        <w:t>磷矿、</w:t>
      </w:r>
      <w:r>
        <w:rPr>
          <w:rFonts w:hint="eastAsia" w:ascii="仿宋_GB2312" w:hAnsi="仿宋" w:eastAsia="仿宋_GB2312" w:cs="Times New Roman"/>
          <w:sz w:val="32"/>
          <w:szCs w:val="32"/>
          <w:lang w:val="en-US" w:eastAsia="zh-CN"/>
        </w:rPr>
        <w:t>萤石、铜等矿产，有序开发石灰岩、玄武岩、地下水</w:t>
      </w:r>
      <w:r>
        <w:rPr>
          <w:rFonts w:hint="eastAsia" w:ascii="仿宋_GB2312" w:hAnsi="Calibri" w:eastAsia="仿宋_GB2312" w:cs="仿宋_GB2312"/>
          <w:szCs w:val="32"/>
          <w:lang w:val="en-US" w:eastAsia="zh-CN"/>
        </w:rPr>
        <w:t>、石英砂岩、页岩</w:t>
      </w:r>
      <w:r>
        <w:rPr>
          <w:rFonts w:hint="eastAsia" w:ascii="仿宋_GB2312" w:hAnsi="仿宋" w:eastAsia="仿宋_GB2312" w:cs="Times New Roman"/>
          <w:sz w:val="32"/>
          <w:szCs w:val="32"/>
        </w:rPr>
        <w:t>等矿产。限制开采</w:t>
      </w:r>
      <w:r>
        <w:rPr>
          <w:rFonts w:hint="eastAsia" w:ascii="仿宋_GB2312" w:hAnsi="仿宋" w:eastAsia="仿宋_GB2312" w:cs="Times New Roman"/>
          <w:b w:val="0"/>
          <w:bCs/>
          <w:sz w:val="32"/>
          <w:szCs w:val="32"/>
          <w:lang w:val="en-US" w:eastAsia="zh-CN"/>
        </w:rPr>
        <w:t>高硫分、高灰分煤炭</w:t>
      </w:r>
      <w:r>
        <w:rPr>
          <w:rFonts w:hint="eastAsia" w:ascii="仿宋_GB2312" w:hAnsi="仿宋" w:eastAsia="仿宋_GB2312" w:cs="Times New Roman"/>
          <w:sz w:val="32"/>
          <w:szCs w:val="32"/>
        </w:rPr>
        <w:t>等矿产，确需新设规划区块的，必须从严论证生态环境影响或下游产业需求。禁止开采</w:t>
      </w:r>
      <w:r>
        <w:rPr>
          <w:rFonts w:hint="eastAsia" w:ascii="仿宋_GB2312" w:hAnsi="仿宋" w:eastAsia="仿宋_GB2312" w:cs="Times New Roman"/>
          <w:sz w:val="32"/>
          <w:szCs w:val="32"/>
          <w:lang w:val="en-US" w:eastAsia="zh-CN"/>
        </w:rPr>
        <w:t>含放射性和砷等有毒有害物质超过规定标准的煤炭、可长期稳定利用的耕地范围内的砖瓦用黏土，原则上不再新设矿业权</w:t>
      </w:r>
      <w:r>
        <w:rPr>
          <w:rFonts w:hint="eastAsia" w:ascii="仿宋_GB2312" w:hAnsi="仿宋" w:eastAsia="仿宋_GB2312" w:cs="Times New Roman"/>
          <w:sz w:val="32"/>
          <w:szCs w:val="32"/>
        </w:rPr>
        <w:t>。</w:t>
      </w:r>
    </w:p>
    <w:p w14:paraId="78114E06">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default" w:ascii="黑体" w:hAnsi="黑体" w:eastAsia="黑体" w:cs="黑体"/>
          <w:b w:val="0"/>
          <w:bCs w:val="0"/>
          <w:lang w:val="en-US" w:eastAsia="zh-CN"/>
        </w:rPr>
      </w:pPr>
      <w:bookmarkStart w:id="12" w:name="_Toc20704"/>
      <w:r>
        <w:rPr>
          <w:rFonts w:hint="eastAsia" w:ascii="黑体" w:hAnsi="黑体" w:eastAsia="黑体" w:cs="黑体"/>
          <w:b w:val="0"/>
          <w:bCs w:val="0"/>
          <w:lang w:val="en-US" w:eastAsia="zh-CN"/>
        </w:rPr>
        <w:t>（三）落实资源安全保障布局</w:t>
      </w:r>
      <w:bookmarkEnd w:id="12"/>
    </w:p>
    <w:p w14:paraId="27BC9697">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仿宋" w:eastAsia="仿宋_GB2312"/>
          <w:bCs/>
          <w:szCs w:val="32"/>
          <w:lang w:val="en-US" w:eastAsia="zh-CN"/>
        </w:rPr>
      </w:pPr>
      <w:r>
        <w:rPr>
          <w:rFonts w:hint="eastAsia" w:ascii="仿宋_GB2312" w:hAnsi="Cambria" w:eastAsia="仿宋_GB2312" w:cs="Times New Roman"/>
          <w:b/>
          <w:bCs/>
          <w:color w:val="auto"/>
          <w:sz w:val="32"/>
          <w:szCs w:val="32"/>
          <w:lang w:val="en-US" w:eastAsia="zh-CN"/>
        </w:rPr>
        <w:t>强化马边磷矿能源资源基地建设</w:t>
      </w:r>
      <w:r>
        <w:rPr>
          <w:rFonts w:hint="eastAsia" w:ascii="仿宋_GB2312" w:hAnsi="Cambria" w:eastAsia="仿宋_GB2312" w:cs="Times New Roman"/>
          <w:b/>
          <w:bCs/>
          <w:color w:val="auto"/>
          <w:sz w:val="32"/>
          <w:szCs w:val="32"/>
          <w:lang w:eastAsia="zh-CN"/>
        </w:rPr>
        <w:t>。</w:t>
      </w:r>
      <w:r>
        <w:rPr>
          <w:rFonts w:hint="eastAsia" w:ascii="仿宋_GB2312" w:hAnsi="Cambria" w:eastAsia="仿宋_GB2312" w:cs="Times New Roman"/>
          <w:b w:val="0"/>
          <w:bCs w:val="0"/>
          <w:color w:val="auto"/>
          <w:sz w:val="32"/>
          <w:szCs w:val="32"/>
        </w:rPr>
        <w:t>在矿业权配置、要素统筹、基础设施配套、重大项目谋划、产业布局及政策扶持上</w:t>
      </w:r>
      <w:r>
        <w:rPr>
          <w:rFonts w:hint="eastAsia" w:ascii="仿宋_GB2312" w:hAnsi="Cambria" w:eastAsia="仿宋_GB2312" w:cs="Times New Roman"/>
          <w:b w:val="0"/>
          <w:bCs w:val="0"/>
          <w:color w:val="auto"/>
          <w:sz w:val="32"/>
          <w:szCs w:val="32"/>
          <w:lang w:val="en-US" w:eastAsia="zh-CN"/>
        </w:rPr>
        <w:t>予以</w:t>
      </w:r>
      <w:r>
        <w:rPr>
          <w:rFonts w:hint="eastAsia" w:ascii="仿宋_GB2312" w:hAnsi="Cambria" w:eastAsia="仿宋_GB2312" w:cs="Times New Roman"/>
          <w:b w:val="0"/>
          <w:bCs w:val="0"/>
          <w:color w:val="auto"/>
          <w:sz w:val="32"/>
          <w:szCs w:val="32"/>
        </w:rPr>
        <w:t>倾斜，主动服务勘查开发主体，提速用地、用林审批流程，做实做细项目前期各项保障工作。</w:t>
      </w:r>
      <w:r>
        <w:rPr>
          <w:rFonts w:hint="eastAsia" w:ascii="仿宋_GB2312" w:hAnsi="Cambria" w:eastAsia="仿宋_GB2312" w:cs="Times New Roman"/>
          <w:b w:val="0"/>
          <w:bCs w:val="0"/>
          <w:color w:val="auto"/>
          <w:sz w:val="32"/>
          <w:szCs w:val="32"/>
          <w:lang w:val="en-US" w:eastAsia="zh-CN"/>
        </w:rPr>
        <w:t>引导</w:t>
      </w:r>
      <w:r>
        <w:rPr>
          <w:rFonts w:hint="eastAsia" w:ascii="仿宋_GB2312" w:hAnsi="Cambria" w:eastAsia="仿宋_GB2312" w:cs="Times New Roman"/>
          <w:b w:val="0"/>
          <w:bCs w:val="0"/>
          <w:color w:val="auto"/>
          <w:sz w:val="32"/>
          <w:szCs w:val="32"/>
        </w:rPr>
        <w:t>矿山企业开展低品位矿、共伴生矿综合利用技术研发攻关。</w:t>
      </w:r>
      <w:r>
        <w:rPr>
          <w:rFonts w:hint="eastAsia" w:ascii="仿宋_GB2312" w:hAnsi="Cambria" w:eastAsia="仿宋_GB2312" w:cs="Times New Roman"/>
          <w:b w:val="0"/>
          <w:bCs w:val="0"/>
          <w:color w:val="auto"/>
          <w:sz w:val="32"/>
          <w:szCs w:val="32"/>
          <w:lang w:val="en-US" w:eastAsia="zh-CN"/>
        </w:rPr>
        <w:t>以</w:t>
      </w:r>
      <w:r>
        <w:rPr>
          <w:rFonts w:hint="eastAsia" w:ascii="仿宋_GB2312" w:hAnsi="Cambria" w:eastAsia="仿宋_GB2312" w:cs="Times New Roman"/>
          <w:b w:val="0"/>
          <w:bCs w:val="0"/>
          <w:color w:val="auto"/>
          <w:sz w:val="32"/>
          <w:szCs w:val="32"/>
          <w:lang w:eastAsia="zh-CN"/>
        </w:rPr>
        <w:t>“</w:t>
      </w:r>
      <w:r>
        <w:rPr>
          <w:rFonts w:hint="eastAsia" w:ascii="仿宋_GB2312" w:hAnsi="Cambria" w:eastAsia="仿宋_GB2312" w:cs="Times New Roman"/>
          <w:b w:val="0"/>
          <w:bCs w:val="0"/>
          <w:color w:val="auto"/>
          <w:sz w:val="32"/>
          <w:szCs w:val="32"/>
        </w:rPr>
        <w:t>飞地园</w:t>
      </w:r>
      <w:r>
        <w:rPr>
          <w:rFonts w:hint="eastAsia" w:ascii="仿宋_GB2312" w:hAnsi="Cambria" w:eastAsia="仿宋_GB2312" w:cs="Times New Roman"/>
          <w:b w:val="0"/>
          <w:bCs w:val="0"/>
          <w:color w:val="auto"/>
          <w:sz w:val="32"/>
          <w:szCs w:val="32"/>
          <w:lang w:val="en-US" w:eastAsia="zh-CN"/>
        </w:rPr>
        <w:t>区</w:t>
      </w:r>
      <w:r>
        <w:rPr>
          <w:rFonts w:hint="eastAsia" w:ascii="仿宋_GB2312" w:hAnsi="Cambria" w:eastAsia="仿宋_GB2312" w:cs="Times New Roman"/>
          <w:b w:val="0"/>
          <w:bCs w:val="0"/>
          <w:color w:val="auto"/>
          <w:sz w:val="32"/>
          <w:szCs w:val="32"/>
          <w:lang w:eastAsia="zh-CN"/>
        </w:rPr>
        <w:t>”</w:t>
      </w:r>
      <w:r>
        <w:rPr>
          <w:rFonts w:hint="eastAsia" w:ascii="仿宋_GB2312" w:hAnsi="Cambria" w:eastAsia="仿宋_GB2312" w:cs="Times New Roman"/>
          <w:b w:val="0"/>
          <w:bCs w:val="0"/>
          <w:color w:val="auto"/>
          <w:sz w:val="32"/>
          <w:szCs w:val="32"/>
          <w:lang w:val="en-US" w:eastAsia="zh-CN"/>
        </w:rPr>
        <w:t>为载体</w:t>
      </w:r>
      <w:r>
        <w:rPr>
          <w:rFonts w:hint="eastAsia" w:ascii="仿宋_GB2312" w:hAnsi="Cambria" w:eastAsia="仿宋_GB2312" w:cs="Times New Roman"/>
          <w:b w:val="0"/>
          <w:bCs w:val="0"/>
          <w:color w:val="auto"/>
          <w:sz w:val="32"/>
          <w:szCs w:val="32"/>
        </w:rPr>
        <w:t>，贯通矿产采选、精深加工、成品制造全产业链，打造一体化产业体系，推动资源规模开发、产业集聚发展，持续提升资源就地转化效能。坚持优质矿产集约高效利用，着力建成供给接续有力、安全稳定的战略矿产保障区域。</w:t>
      </w:r>
    </w:p>
    <w:tbl>
      <w:tblPr>
        <w:tblStyle w:val="17"/>
        <w:tblW w:w="5000" w:type="pct"/>
        <w:tblInd w:w="0" w:type="dxa"/>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Layout w:type="autofit"/>
        <w:tblCellMar>
          <w:top w:w="0" w:type="dxa"/>
          <w:left w:w="57" w:type="dxa"/>
          <w:bottom w:w="0" w:type="dxa"/>
          <w:right w:w="57" w:type="dxa"/>
        </w:tblCellMar>
      </w:tblPr>
      <w:tblGrid>
        <w:gridCol w:w="8754"/>
      </w:tblGrid>
      <w:tr w14:paraId="5B41C505">
        <w:tblPrEx>
          <w:tblBorders>
            <w:top w:val="single" w:color="000000" w:sz="6" w:space="0"/>
            <w:left w:val="single" w:color="000000" w:sz="6" w:space="0"/>
            <w:bottom w:val="single" w:color="000000" w:sz="6" w:space="0"/>
            <w:right w:val="single" w:color="000000" w:sz="6" w:space="0"/>
            <w:insideH w:val="single" w:color="000000" w:sz="2" w:space="0"/>
            <w:insideV w:val="single" w:color="000000" w:sz="2" w:space="0"/>
          </w:tblBorders>
        </w:tblPrEx>
        <w:tc>
          <w:tcPr>
            <w:tcW w:w="5000" w:type="pct"/>
            <w:shd w:val="clear" w:color="auto" w:fill="auto"/>
            <w:vAlign w:val="center"/>
          </w:tcPr>
          <w:p w14:paraId="7A69802D">
            <w:pPr>
              <w:keepNext w:val="0"/>
              <w:keepLines w:val="0"/>
              <w:pageBreakBefore w:val="0"/>
              <w:widowControl/>
              <w:kinsoku/>
              <w:wordWrap/>
              <w:overflowPunct/>
              <w:topLinePunct w:val="0"/>
              <w:autoSpaceDE/>
              <w:autoSpaceDN/>
              <w:bidi w:val="0"/>
              <w:adjustRightInd/>
              <w:snapToGrid/>
              <w:spacing w:line="400" w:lineRule="exact"/>
              <w:ind w:firstLine="482" w:firstLineChars="200"/>
              <w:textAlignment w:val="auto"/>
              <w:rPr>
                <w:rFonts w:ascii="仿宋_GB2312" w:hAnsi="仿宋" w:eastAsia="仿宋_GB2312" w:cs="宋体"/>
                <w:b/>
                <w:color w:val="auto"/>
                <w:kern w:val="0"/>
                <w:sz w:val="24"/>
                <w:szCs w:val="24"/>
              </w:rPr>
            </w:pPr>
            <w:r>
              <w:rPr>
                <w:rFonts w:hint="eastAsia" w:ascii="仿宋_GB2312" w:hAnsi="仿宋" w:eastAsia="仿宋_GB2312" w:cs="宋体"/>
                <w:b/>
                <w:color w:val="auto"/>
                <w:kern w:val="0"/>
                <w:sz w:val="24"/>
                <w:szCs w:val="24"/>
              </w:rPr>
              <w:t>（一）落实</w:t>
            </w:r>
            <w:r>
              <w:rPr>
                <w:rFonts w:hint="eastAsia" w:ascii="仿宋_GB2312" w:hAnsi="仿宋" w:eastAsia="仿宋_GB2312" w:cs="宋体"/>
                <w:b/>
                <w:color w:val="auto"/>
                <w:kern w:val="0"/>
                <w:sz w:val="24"/>
                <w:szCs w:val="24"/>
                <w:lang w:val="en-US" w:eastAsia="zh-CN"/>
              </w:rPr>
              <w:t>1</w:t>
            </w:r>
            <w:r>
              <w:rPr>
                <w:rFonts w:hint="eastAsia" w:ascii="仿宋_GB2312" w:hAnsi="仿宋" w:eastAsia="仿宋_GB2312" w:cs="宋体"/>
                <w:b/>
                <w:color w:val="auto"/>
                <w:kern w:val="0"/>
                <w:sz w:val="24"/>
                <w:szCs w:val="24"/>
              </w:rPr>
              <w:t>个国家级能源资源基地：</w:t>
            </w:r>
          </w:p>
          <w:p w14:paraId="5B987770">
            <w:pPr>
              <w:keepNext w:val="0"/>
              <w:keepLines w:val="0"/>
              <w:pageBreakBefore w:val="0"/>
              <w:kinsoku/>
              <w:wordWrap/>
              <w:overflowPunct/>
              <w:topLinePunct w:val="0"/>
              <w:autoSpaceDE/>
              <w:autoSpaceDN/>
              <w:bidi w:val="0"/>
              <w:adjustRightInd/>
              <w:snapToGrid/>
              <w:spacing w:line="400" w:lineRule="exact"/>
              <w:ind w:firstLine="482" w:firstLineChars="200"/>
              <w:textAlignment w:val="auto"/>
              <w:rPr>
                <w:rFonts w:hint="eastAsia" w:ascii="仿宋_GB2312" w:hAnsi="仿宋" w:eastAsia="仿宋_GB2312"/>
                <w:color w:val="auto"/>
                <w:sz w:val="24"/>
                <w:szCs w:val="24"/>
                <w:lang w:eastAsia="zh-CN"/>
              </w:rPr>
            </w:pPr>
            <w:r>
              <w:rPr>
                <w:rFonts w:hint="eastAsia" w:ascii="仿宋_GB2312" w:hAnsi="仿宋" w:eastAsia="仿宋_GB2312"/>
                <w:b/>
                <w:bCs/>
                <w:color w:val="auto"/>
                <w:sz w:val="24"/>
                <w:szCs w:val="24"/>
                <w:lang w:val="en-US" w:eastAsia="zh-CN"/>
              </w:rPr>
              <w:t>1.</w:t>
            </w:r>
            <w:r>
              <w:rPr>
                <w:rFonts w:hint="eastAsia" w:ascii="仿宋_GB2312" w:hAnsi="仿宋" w:eastAsia="仿宋_GB2312"/>
                <w:b/>
                <w:color w:val="auto"/>
                <w:sz w:val="24"/>
                <w:szCs w:val="24"/>
              </w:rPr>
              <w:t>四川马边磷矿能源资源基地（马边部分）：</w:t>
            </w:r>
            <w:r>
              <w:rPr>
                <w:rFonts w:hint="eastAsia" w:ascii="仿宋" w:hAnsi="仿宋" w:eastAsia="仿宋" w:cs="Times New Roman"/>
                <w:sz w:val="24"/>
                <w:szCs w:val="24"/>
              </w:rPr>
              <w:t>包含马边拟可角磷矿区、六股水磷矿区、陈子岩磷矿区、老河坝磷矿区、黄家坪磷矿区、麦子坪磷矿区</w:t>
            </w:r>
            <w:r>
              <w:rPr>
                <w:rFonts w:hint="eastAsia" w:ascii="仿宋" w:hAnsi="仿宋" w:eastAsia="仿宋" w:cs="Times New Roman"/>
                <w:b/>
                <w:sz w:val="24"/>
                <w:szCs w:val="24"/>
              </w:rPr>
              <w:t>，</w:t>
            </w:r>
            <w:r>
              <w:rPr>
                <w:rFonts w:hint="eastAsia" w:ascii="仿宋" w:hAnsi="仿宋" w:eastAsia="仿宋" w:cs="Times New Roman"/>
                <w:sz w:val="24"/>
                <w:szCs w:val="24"/>
              </w:rPr>
              <w:t>面积约</w:t>
            </w:r>
            <w:r>
              <w:rPr>
                <w:rFonts w:hint="eastAsia" w:ascii="仿宋" w:hAnsi="仿宋" w:cs="Times New Roman"/>
                <w:sz w:val="24"/>
                <w:szCs w:val="24"/>
                <w:highlight w:val="none"/>
                <w:lang w:val="en-US" w:eastAsia="zh-CN"/>
              </w:rPr>
              <w:t>156.30</w:t>
            </w:r>
            <w:r>
              <w:rPr>
                <w:rFonts w:hint="eastAsia" w:ascii="仿宋" w:hAnsi="仿宋" w:eastAsia="仿宋" w:cs="Times New Roman"/>
                <w:sz w:val="24"/>
                <w:szCs w:val="24"/>
              </w:rPr>
              <w:t>km</w:t>
            </w:r>
            <w:r>
              <w:rPr>
                <w:rFonts w:hint="eastAsia" w:ascii="仿宋" w:hAnsi="仿宋" w:eastAsia="仿宋" w:cs="Times New Roman"/>
                <w:sz w:val="24"/>
                <w:szCs w:val="24"/>
                <w:vertAlign w:val="superscript"/>
              </w:rPr>
              <w:t>2</w:t>
            </w:r>
            <w:r>
              <w:rPr>
                <w:rFonts w:hint="eastAsia" w:ascii="仿宋" w:hAnsi="仿宋" w:eastAsia="仿宋" w:cs="Times New Roman"/>
                <w:sz w:val="24"/>
                <w:szCs w:val="24"/>
              </w:rPr>
              <w:t>，基地内已设探矿</w:t>
            </w:r>
            <w:r>
              <w:rPr>
                <w:rFonts w:hint="eastAsia" w:ascii="仿宋" w:hAnsi="仿宋" w:eastAsia="仿宋" w:cs="Times New Roman"/>
                <w:color w:val="000000"/>
                <w:sz w:val="24"/>
                <w:szCs w:val="24"/>
              </w:rPr>
              <w:t>权1个，采矿权17个，</w:t>
            </w:r>
            <w:r>
              <w:rPr>
                <w:rFonts w:hint="eastAsia" w:ascii="仿宋" w:hAnsi="仿宋" w:eastAsia="仿宋" w:cs="Times New Roman"/>
                <w:sz w:val="24"/>
                <w:szCs w:val="24"/>
              </w:rPr>
              <w:t>现保有磷矿资源量10.7亿吨，规划产能1380万吨/年</w:t>
            </w:r>
            <w:r>
              <w:rPr>
                <w:rFonts w:hint="eastAsia" w:ascii="仿宋_GB2312" w:hAnsi="仿宋" w:eastAsia="仿宋_GB2312"/>
                <w:color w:val="auto"/>
                <w:sz w:val="24"/>
                <w:szCs w:val="24"/>
              </w:rPr>
              <w:t>；以磷矿为核心主攻矿种，加大共伴生</w:t>
            </w:r>
            <w:r>
              <w:rPr>
                <w:rFonts w:hint="eastAsia" w:ascii="仿宋_GB2312" w:hAnsi="仿宋" w:eastAsia="仿宋_GB2312"/>
                <w:color w:val="auto"/>
                <w:sz w:val="24"/>
                <w:szCs w:val="24"/>
                <w:lang w:val="en-US" w:eastAsia="zh-CN"/>
              </w:rPr>
              <w:t>铅锌、</w:t>
            </w:r>
            <w:r>
              <w:rPr>
                <w:rFonts w:hint="eastAsia" w:ascii="仿宋_GB2312" w:hAnsi="仿宋" w:eastAsia="仿宋_GB2312"/>
                <w:color w:val="auto"/>
                <w:sz w:val="24"/>
                <w:szCs w:val="24"/>
              </w:rPr>
              <w:t>萤石勘查开发力度，推</w:t>
            </w:r>
            <w:r>
              <w:rPr>
                <w:rFonts w:hint="eastAsia" w:ascii="仿宋_GB2312" w:hAnsi="仿宋" w:eastAsia="仿宋_GB2312"/>
                <w:color w:val="auto"/>
                <w:sz w:val="24"/>
                <w:szCs w:val="24"/>
                <w:lang w:val="en-US" w:eastAsia="zh-CN"/>
              </w:rPr>
              <w:t>动</w:t>
            </w:r>
            <w:r>
              <w:rPr>
                <w:rFonts w:hint="eastAsia" w:ascii="仿宋_GB2312" w:hAnsi="仿宋" w:eastAsia="仿宋_GB2312"/>
                <w:color w:val="auto"/>
                <w:sz w:val="24"/>
                <w:szCs w:val="24"/>
              </w:rPr>
              <w:t>低品位磷矿综合利用技术攻关，全面提升资源利用效率。有序推进矿产资源整合，形成以大中型矿山为主体的开发保护格局。依托</w:t>
            </w:r>
            <w:r>
              <w:rPr>
                <w:rFonts w:hint="eastAsia" w:ascii="仿宋_GB2312" w:hAnsi="仿宋" w:eastAsia="仿宋_GB2312"/>
                <w:color w:val="auto"/>
                <w:sz w:val="24"/>
                <w:szCs w:val="24"/>
                <w:lang w:eastAsia="zh-CN"/>
              </w:rPr>
              <w:t>“</w:t>
            </w:r>
            <w:r>
              <w:rPr>
                <w:rFonts w:hint="eastAsia" w:ascii="仿宋_GB2312" w:hAnsi="仿宋" w:eastAsia="仿宋_GB2312"/>
                <w:color w:val="auto"/>
                <w:sz w:val="24"/>
                <w:szCs w:val="24"/>
              </w:rPr>
              <w:t>飞地园区</w:t>
            </w:r>
            <w:r>
              <w:rPr>
                <w:rFonts w:hint="eastAsia" w:ascii="仿宋_GB2312" w:hAnsi="仿宋" w:eastAsia="仿宋_GB2312"/>
                <w:color w:val="auto"/>
                <w:sz w:val="24"/>
                <w:szCs w:val="24"/>
                <w:lang w:eastAsia="zh-CN"/>
              </w:rPr>
              <w:t>”</w:t>
            </w:r>
            <w:r>
              <w:rPr>
                <w:rFonts w:hint="eastAsia" w:ascii="仿宋_GB2312" w:hAnsi="仿宋" w:eastAsia="仿宋_GB2312"/>
                <w:color w:val="auto"/>
                <w:sz w:val="24"/>
                <w:szCs w:val="24"/>
              </w:rPr>
              <w:t>延伸产业链条，推动磷、氟产业</w:t>
            </w:r>
            <w:r>
              <w:rPr>
                <w:rFonts w:hint="eastAsia" w:ascii="仿宋_GB2312" w:hAnsi="仿宋" w:eastAsia="仿宋_GB2312"/>
                <w:color w:val="auto"/>
                <w:sz w:val="24"/>
                <w:szCs w:val="24"/>
                <w:lang w:val="en-US" w:eastAsia="zh-CN"/>
              </w:rPr>
              <w:t>协同</w:t>
            </w:r>
            <w:r>
              <w:rPr>
                <w:rFonts w:hint="eastAsia" w:ascii="仿宋_GB2312" w:hAnsi="仿宋" w:eastAsia="仿宋_GB2312"/>
                <w:color w:val="auto"/>
                <w:sz w:val="24"/>
                <w:szCs w:val="24"/>
              </w:rPr>
              <w:t>发展，积极融入全省绿色磷化工产业集群。</w:t>
            </w:r>
          </w:p>
        </w:tc>
      </w:tr>
    </w:tbl>
    <w:p w14:paraId="0ABD67AF">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3" w:name="_Toc24514"/>
      <w:r>
        <w:rPr>
          <w:rFonts w:hint="eastAsia" w:ascii="黑体" w:hAnsi="黑体" w:eastAsia="黑体" w:cs="黑体"/>
          <w:b w:val="0"/>
          <w:bCs w:val="0"/>
          <w:lang w:val="en-US" w:eastAsia="zh-CN"/>
        </w:rPr>
        <w:t>（四）合理设置勘查开采规划区块</w:t>
      </w:r>
      <w:bookmarkEnd w:id="13"/>
    </w:p>
    <w:p w14:paraId="38D9CB63">
      <w:pPr>
        <w:pageBreakBefore w:val="0"/>
        <w:widowControl w:val="0"/>
        <w:kinsoku/>
        <w:wordWrap/>
        <w:overflowPunct/>
        <w:topLinePunct w:val="0"/>
        <w:autoSpaceDE/>
        <w:autoSpaceDN/>
        <w:bidi w:val="0"/>
        <w:adjustRightInd/>
        <w:snapToGrid/>
        <w:spacing w:line="560" w:lineRule="exact"/>
        <w:ind w:firstLine="640"/>
        <w:textAlignment w:val="auto"/>
        <w:rPr>
          <w:rFonts w:hint="eastAsia" w:ascii="仿宋_GB2312" w:hAnsi="Cambria" w:eastAsia="仿宋_GB2312" w:cs="Times New Roman"/>
          <w:b w:val="0"/>
          <w:bCs w:val="0"/>
          <w:color w:val="auto"/>
          <w:sz w:val="32"/>
          <w:szCs w:val="32"/>
        </w:rPr>
      </w:pPr>
      <w:r>
        <w:rPr>
          <w:rFonts w:hint="eastAsia" w:ascii="仿宋_GB2312" w:hAnsi="仿宋" w:eastAsia="仿宋_GB2312"/>
          <w:bCs/>
          <w:szCs w:val="32"/>
        </w:rPr>
        <w:t>根据</w:t>
      </w:r>
      <w:r>
        <w:rPr>
          <w:rFonts w:hint="eastAsia" w:ascii="仿宋_GB2312" w:hAnsi="仿宋" w:eastAsia="仿宋_GB2312"/>
          <w:bCs/>
          <w:szCs w:val="32"/>
          <w:lang w:val="en-US" w:eastAsia="zh-CN"/>
        </w:rPr>
        <w:t>马边</w:t>
      </w:r>
      <w:r>
        <w:rPr>
          <w:rFonts w:hint="eastAsia" w:ascii="仿宋_GB2312" w:hAnsi="仿宋" w:eastAsia="仿宋_GB2312"/>
          <w:bCs/>
          <w:szCs w:val="32"/>
        </w:rPr>
        <w:t>县经济社会发展对矿产资源的需求及相关产业空间布局，结合</w:t>
      </w:r>
      <w:r>
        <w:rPr>
          <w:rFonts w:hint="eastAsia" w:ascii="仿宋_GB2312" w:hAnsi="仿宋" w:eastAsia="仿宋_GB2312"/>
          <w:bCs/>
          <w:szCs w:val="32"/>
          <w:lang w:val="en-US" w:eastAsia="zh-CN"/>
        </w:rPr>
        <w:t>马边</w:t>
      </w:r>
      <w:r>
        <w:rPr>
          <w:rFonts w:hint="eastAsia" w:ascii="仿宋_GB2312" w:hAnsi="仿宋" w:eastAsia="仿宋_GB2312"/>
          <w:bCs/>
          <w:szCs w:val="32"/>
        </w:rPr>
        <w:t>县境内成矿地质条件，依据已知的勘查开采信息、地质勘查程度、自然地理条件、已知矿业权的影响和政府各机构规划布局要求的基础上划定矿产资源勘查开采区块。本次</w:t>
      </w:r>
      <w:r>
        <w:rPr>
          <w:rFonts w:hint="eastAsia" w:ascii="仿宋_GB2312" w:hAnsi="仿宋" w:eastAsia="仿宋_GB2312"/>
          <w:bCs/>
          <w:szCs w:val="32"/>
          <w:lang w:val="en-US" w:eastAsia="zh-CN"/>
        </w:rPr>
        <w:t>落实省、市级规划区块7个，涉及磷、铜、玄武岩、石膏和地下水等矿种，其中勘查规划区块7个</w:t>
      </w:r>
      <w:r>
        <w:rPr>
          <w:rFonts w:hint="eastAsia" w:ascii="仿宋_GB2312" w:hAnsi="仿宋" w:eastAsia="仿宋_GB2312"/>
          <w:bCs/>
          <w:szCs w:val="32"/>
        </w:rPr>
        <w:t>。</w:t>
      </w:r>
      <w:r>
        <w:rPr>
          <w:rFonts w:hint="eastAsia" w:ascii="仿宋_GB2312" w:hAnsi="Cambria" w:eastAsia="仿宋_GB2312" w:cs="Times New Roman"/>
          <w:b w:val="0"/>
          <w:bCs w:val="0"/>
          <w:color w:val="auto"/>
          <w:sz w:val="32"/>
          <w:szCs w:val="32"/>
          <w:lang w:val="en-US" w:eastAsia="zh-CN"/>
        </w:rPr>
        <w:t>已设探矿权转采矿权、以协议方式出让探矿权或采矿权的，视同符合勘查开采规划区块要求。</w:t>
      </w:r>
    </w:p>
    <w:p w14:paraId="53BAFE20">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color w:val="000000"/>
          <w:sz w:val="24"/>
          <w:szCs w:val="24"/>
        </w:rPr>
      </w:pPr>
    </w:p>
    <w:p w14:paraId="2AC4FD85">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color w:val="000000"/>
          <w:sz w:val="24"/>
          <w:szCs w:val="24"/>
        </w:rPr>
      </w:pPr>
    </w:p>
    <w:p w14:paraId="3B316792">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eastAsia="仿宋_GB2312"/>
          <w:b/>
          <w:color w:val="000000"/>
          <w:sz w:val="24"/>
          <w:szCs w:val="24"/>
        </w:rPr>
      </w:pPr>
    </w:p>
    <w:p w14:paraId="131AF20F">
      <w:pPr>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仿宋_GB2312" w:hAnsi="Cambria" w:eastAsia="仿宋_GB2312" w:cs="Times New Roman"/>
          <w:b w:val="0"/>
          <w:bCs w:val="0"/>
          <w:color w:val="auto"/>
          <w:sz w:val="32"/>
          <w:szCs w:val="32"/>
        </w:rPr>
      </w:pPr>
      <w:r>
        <w:rPr>
          <w:rFonts w:hint="eastAsia" w:ascii="仿宋_GB2312" w:eastAsia="仿宋_GB2312"/>
          <w:b/>
          <w:color w:val="000000"/>
          <w:sz w:val="24"/>
          <w:szCs w:val="24"/>
        </w:rPr>
        <w:t>专栏</w:t>
      </w:r>
      <w:r>
        <w:rPr>
          <w:rFonts w:hint="eastAsia" w:ascii="仿宋_GB2312" w:eastAsia="仿宋_GB2312"/>
          <w:b/>
          <w:color w:val="000000"/>
          <w:sz w:val="24"/>
          <w:szCs w:val="24"/>
          <w:lang w:val="en-US" w:eastAsia="zh-CN"/>
        </w:rPr>
        <w:t>五</w:t>
      </w:r>
      <w:r>
        <w:rPr>
          <w:rFonts w:hint="eastAsia" w:ascii="仿宋_GB2312" w:eastAsia="仿宋_GB2312"/>
          <w:b/>
          <w:color w:val="000000"/>
          <w:sz w:val="24"/>
          <w:szCs w:val="24"/>
        </w:rPr>
        <w:t xml:space="preserve"> </w:t>
      </w:r>
      <w:r>
        <w:rPr>
          <w:rFonts w:ascii="仿宋_GB2312" w:eastAsia="仿宋_GB2312"/>
          <w:b/>
          <w:color w:val="000000"/>
          <w:sz w:val="24"/>
          <w:szCs w:val="24"/>
        </w:rPr>
        <w:t xml:space="preserve">  </w:t>
      </w:r>
      <w:r>
        <w:rPr>
          <w:rFonts w:hint="eastAsia" w:ascii="仿宋_GB2312" w:eastAsia="仿宋_GB2312"/>
          <w:b/>
          <w:color w:val="000000"/>
          <w:sz w:val="24"/>
          <w:szCs w:val="24"/>
          <w:lang w:val="en-US" w:eastAsia="zh-CN"/>
        </w:rPr>
        <w:t>合理设置</w:t>
      </w:r>
      <w:r>
        <w:rPr>
          <w:rFonts w:hint="eastAsia" w:ascii="仿宋_GB2312" w:eastAsia="仿宋_GB2312"/>
          <w:b/>
          <w:color w:val="000000"/>
          <w:sz w:val="24"/>
          <w:szCs w:val="24"/>
        </w:rPr>
        <w:t>规划区块</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56"/>
      </w:tblGrid>
      <w:tr w14:paraId="7F4DA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3" w:hRule="atLeast"/>
          <w:jc w:val="center"/>
        </w:trPr>
        <w:tc>
          <w:tcPr>
            <w:tcW w:w="5000" w:type="pct"/>
          </w:tcPr>
          <w:p w14:paraId="6AB4B0F1">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仿宋_GB2312" w:eastAsia="仿宋_GB2312"/>
                <w:b/>
                <w:kern w:val="0"/>
                <w:sz w:val="24"/>
                <w:szCs w:val="24"/>
                <w:lang w:val="en-US" w:eastAsia="zh-CN"/>
              </w:rPr>
            </w:pPr>
            <w:r>
              <w:rPr>
                <w:rFonts w:hint="eastAsia" w:ascii="仿宋_GB2312" w:hAnsi="仿宋" w:eastAsia="仿宋_GB2312" w:cs="宋体"/>
                <w:b/>
                <w:color w:val="auto"/>
                <w:kern w:val="0"/>
                <w:sz w:val="24"/>
                <w:szCs w:val="24"/>
              </w:rPr>
              <w:t>（一）</w:t>
            </w:r>
            <w:r>
              <w:rPr>
                <w:rFonts w:hint="eastAsia" w:ascii="仿宋_GB2312" w:eastAsia="仿宋_GB2312"/>
                <w:b/>
                <w:kern w:val="0"/>
                <w:sz w:val="24"/>
                <w:szCs w:val="24"/>
                <w:lang w:val="en-US" w:eastAsia="zh-CN"/>
              </w:rPr>
              <w:t>落实4个省级规划区块：</w:t>
            </w:r>
          </w:p>
          <w:p w14:paraId="73AD34B0">
            <w:pPr>
              <w:keepNext w:val="0"/>
              <w:keepLines w:val="0"/>
              <w:pageBreakBefore w:val="0"/>
              <w:widowControl w:val="0"/>
              <w:kinsoku/>
              <w:wordWrap/>
              <w:overflowPunct/>
              <w:topLinePunct w:val="0"/>
              <w:autoSpaceDE/>
              <w:autoSpaceDN/>
              <w:bidi w:val="0"/>
              <w:adjustRightInd/>
              <w:snapToGrid/>
              <w:spacing w:line="400" w:lineRule="exact"/>
              <w:ind w:firstLine="641"/>
              <w:textAlignment w:val="auto"/>
              <w:rPr>
                <w:rFonts w:hint="default" w:ascii="仿宋_GB2312" w:hAnsi="仿宋" w:eastAsia="仿宋_GB2312" w:cstheme="minorBidi"/>
                <w:b/>
                <w:kern w:val="2"/>
                <w:sz w:val="24"/>
                <w:szCs w:val="24"/>
                <w:lang w:val="en-US" w:eastAsia="zh-CN" w:bidi="ar-SA"/>
              </w:rPr>
            </w:pPr>
            <w:r>
              <w:rPr>
                <w:rFonts w:hint="eastAsia" w:ascii="仿宋_GB2312" w:eastAsia="仿宋_GB2312"/>
                <w:b/>
                <w:kern w:val="0"/>
                <w:sz w:val="24"/>
                <w:szCs w:val="24"/>
                <w:lang w:val="en-US" w:eastAsia="zh-CN"/>
              </w:rPr>
              <w:t>1.</w:t>
            </w:r>
            <w:r>
              <w:rPr>
                <w:rFonts w:hint="eastAsia" w:ascii="仿宋_GB2312" w:eastAsia="仿宋_GB2312"/>
                <w:b/>
                <w:kern w:val="0"/>
                <w:sz w:val="24"/>
                <w:szCs w:val="24"/>
              </w:rPr>
              <w:t>四川省马边彝族自治县大院子磷矿详查：</w:t>
            </w:r>
            <w:r>
              <w:rPr>
                <w:rFonts w:hint="default" w:ascii="仿宋_GB2312" w:hAnsi="仿宋" w:eastAsia="仿宋_GB2312" w:cstheme="minorBidi"/>
                <w:b w:val="0"/>
                <w:bCs/>
                <w:kern w:val="2"/>
                <w:sz w:val="24"/>
                <w:szCs w:val="24"/>
                <w:lang w:val="en-US" w:eastAsia="zh-CN" w:bidi="ar-SA"/>
              </w:rPr>
              <w:t>位于马边县永红乡，面积20.2431平方千米，</w:t>
            </w:r>
            <w:r>
              <w:rPr>
                <w:rFonts w:hint="eastAsia" w:ascii="仿宋_GB2312" w:hAnsi="仿宋" w:eastAsia="仿宋_GB2312" w:cstheme="minorBidi"/>
                <w:b w:val="0"/>
                <w:bCs/>
                <w:kern w:val="2"/>
                <w:sz w:val="24"/>
                <w:szCs w:val="24"/>
                <w:lang w:val="en-US" w:eastAsia="zh-CN" w:bidi="ar-SA"/>
              </w:rPr>
              <w:t>勘查</w:t>
            </w:r>
            <w:r>
              <w:rPr>
                <w:rFonts w:hint="default" w:ascii="仿宋_GB2312" w:hAnsi="仿宋" w:eastAsia="仿宋_GB2312" w:cstheme="minorBidi"/>
                <w:b w:val="0"/>
                <w:bCs/>
                <w:kern w:val="2"/>
                <w:sz w:val="24"/>
                <w:szCs w:val="24"/>
                <w:lang w:val="en-US" w:eastAsia="zh-CN" w:bidi="ar-SA"/>
              </w:rPr>
              <w:t>矿种为磷矿。</w:t>
            </w:r>
            <w:r>
              <w:rPr>
                <w:rFonts w:hint="eastAsia" w:ascii="仿宋_GB2312" w:hAnsi="仿宋" w:eastAsia="仿宋_GB2312" w:cstheme="minorBidi"/>
                <w:b w:val="0"/>
                <w:bCs/>
                <w:kern w:val="2"/>
                <w:sz w:val="24"/>
                <w:szCs w:val="24"/>
                <w:lang w:val="en-US" w:eastAsia="zh-CN" w:bidi="ar-SA"/>
              </w:rPr>
              <w:t>为2024年度省地勘基金项目，投入经费2900万元，目前正在实施普查评价，预估新增磷矿资源量约2亿吨</w:t>
            </w:r>
            <w:r>
              <w:rPr>
                <w:rFonts w:hint="default" w:ascii="仿宋_GB2312" w:hAnsi="仿宋" w:eastAsia="仿宋_GB2312" w:cstheme="minorBidi"/>
                <w:b w:val="0"/>
                <w:bCs/>
                <w:kern w:val="2"/>
                <w:sz w:val="24"/>
                <w:szCs w:val="24"/>
                <w:lang w:val="en-US" w:eastAsia="zh-CN" w:bidi="ar-SA"/>
              </w:rPr>
              <w:t>。</w:t>
            </w:r>
          </w:p>
          <w:p w14:paraId="1421B448">
            <w:pPr>
              <w:adjustRightInd w:val="0"/>
              <w:snapToGrid w:val="0"/>
              <w:ind w:firstLine="562"/>
              <w:rPr>
                <w:rFonts w:hint="eastAsia" w:ascii="仿宋_GB2312" w:eastAsia="仿宋_GB2312"/>
                <w:kern w:val="0"/>
                <w:sz w:val="24"/>
                <w:szCs w:val="24"/>
              </w:rPr>
            </w:pPr>
            <w:r>
              <w:rPr>
                <w:rFonts w:hint="eastAsia" w:ascii="仿宋_GB2312" w:eastAsia="仿宋_GB2312"/>
                <w:b/>
                <w:kern w:val="0"/>
                <w:sz w:val="24"/>
                <w:szCs w:val="24"/>
                <w:lang w:val="en-US" w:eastAsia="zh-CN"/>
              </w:rPr>
              <w:t>2.</w:t>
            </w:r>
            <w:r>
              <w:rPr>
                <w:rFonts w:hint="eastAsia" w:ascii="仿宋_GB2312" w:eastAsia="仿宋_GB2312"/>
                <w:b/>
                <w:kern w:val="0"/>
                <w:sz w:val="24"/>
                <w:szCs w:val="24"/>
              </w:rPr>
              <w:t>四川省马边彝族自治县瓦吉乃峨磷矿详查：</w:t>
            </w:r>
            <w:r>
              <w:rPr>
                <w:rFonts w:hint="eastAsia" w:ascii="仿宋_GB2312" w:eastAsia="仿宋_GB2312"/>
                <w:kern w:val="0"/>
                <w:sz w:val="24"/>
                <w:szCs w:val="24"/>
              </w:rPr>
              <w:t>位于马边彝族自治县烟峰镇，</w:t>
            </w:r>
            <w:r>
              <w:rPr>
                <w:rFonts w:hint="eastAsia" w:ascii="仿宋_GB2312" w:eastAsia="仿宋_GB2312" w:cs="Times New Roman"/>
                <w:kern w:val="0"/>
                <w:sz w:val="24"/>
                <w:szCs w:val="24"/>
              </w:rPr>
              <w:t>勘查矿种为磷矿，面积1.39平方千米，该区块地质勘查程度已达到普查，经初步预测，区块范围内预计可探获磷矿矿石量约5400万吨</w:t>
            </w:r>
            <w:r>
              <w:rPr>
                <w:rFonts w:hint="eastAsia" w:ascii="仿宋_GB2312" w:eastAsia="仿宋_GB2312"/>
                <w:kern w:val="0"/>
                <w:sz w:val="24"/>
                <w:szCs w:val="24"/>
              </w:rPr>
              <w:t>。</w:t>
            </w:r>
          </w:p>
          <w:p w14:paraId="6972E8F6">
            <w:pPr>
              <w:adjustRightInd w:val="0"/>
              <w:snapToGrid w:val="0"/>
              <w:ind w:firstLine="562"/>
              <w:rPr>
                <w:rFonts w:hint="eastAsia" w:ascii="仿宋_GB2312" w:eastAsia="仿宋_GB2312"/>
                <w:kern w:val="0"/>
                <w:sz w:val="24"/>
                <w:szCs w:val="24"/>
              </w:rPr>
            </w:pPr>
            <w:r>
              <w:rPr>
                <w:rFonts w:hint="eastAsia" w:ascii="仿宋_GB2312" w:eastAsia="仿宋_GB2312"/>
                <w:b/>
                <w:kern w:val="0"/>
                <w:sz w:val="24"/>
                <w:szCs w:val="24"/>
                <w:lang w:val="en-US" w:eastAsia="zh-CN"/>
              </w:rPr>
              <w:t>3.</w:t>
            </w:r>
            <w:r>
              <w:rPr>
                <w:rFonts w:hint="eastAsia" w:ascii="仿宋_GB2312" w:eastAsia="仿宋_GB2312"/>
                <w:b/>
                <w:kern w:val="0"/>
                <w:sz w:val="24"/>
                <w:szCs w:val="24"/>
              </w:rPr>
              <w:t>四川省马边彝族自治县老虎堡磷普查：</w:t>
            </w:r>
            <w:r>
              <w:rPr>
                <w:rFonts w:hint="eastAsia" w:ascii="仿宋_GB2312" w:eastAsia="仿宋_GB2312"/>
                <w:kern w:val="0"/>
                <w:sz w:val="24"/>
                <w:szCs w:val="24"/>
              </w:rPr>
              <w:t>位于马边彝族自治县雪口山镇，</w:t>
            </w:r>
            <w:r>
              <w:rPr>
                <w:rFonts w:hint="eastAsia" w:ascii="仿宋_GB2312" w:eastAsia="仿宋_GB2312" w:cs="Times New Roman"/>
                <w:kern w:val="0"/>
                <w:sz w:val="24"/>
                <w:szCs w:val="24"/>
              </w:rPr>
              <w:t>勘查矿种为磷矿，面积10.36平方千米，该区块位于大地拟可角磷铅锌矿南部矿体延伸部分，经初步预测，区块范围内预计可探获磷矿矿石量约4300万吨</w:t>
            </w:r>
            <w:r>
              <w:rPr>
                <w:rFonts w:hint="eastAsia" w:ascii="仿宋_GB2312" w:eastAsia="仿宋_GB2312"/>
                <w:kern w:val="0"/>
                <w:sz w:val="24"/>
                <w:szCs w:val="24"/>
              </w:rPr>
              <w:t>。</w:t>
            </w:r>
          </w:p>
          <w:p w14:paraId="150883A4">
            <w:pPr>
              <w:adjustRightInd w:val="0"/>
              <w:snapToGrid w:val="0"/>
              <w:ind w:firstLine="560"/>
              <w:rPr>
                <w:rFonts w:hint="eastAsia" w:ascii="仿宋_GB2312" w:eastAsia="仿宋_GB2312" w:cs="Times New Roman"/>
                <w:kern w:val="0"/>
                <w:sz w:val="24"/>
                <w:szCs w:val="24"/>
              </w:rPr>
            </w:pPr>
            <w:r>
              <w:rPr>
                <w:rFonts w:hint="eastAsia" w:ascii="仿宋_GB2312" w:eastAsia="仿宋_GB2312" w:cs="Times New Roman"/>
                <w:kern w:val="0"/>
                <w:sz w:val="24"/>
                <w:szCs w:val="24"/>
              </w:rPr>
              <w:t>3个磷矿规划区块均位于</w:t>
            </w:r>
            <w:r>
              <w:rPr>
                <w:rFonts w:hint="eastAsia" w:ascii="仿宋_GB2312" w:eastAsia="仿宋_GB2312" w:cs="Times New Roman"/>
                <w:kern w:val="0"/>
                <w:sz w:val="24"/>
                <w:szCs w:val="24"/>
                <w:lang w:val="en-US" w:eastAsia="zh-CN"/>
              </w:rPr>
              <w:t>四川省</w:t>
            </w:r>
            <w:r>
              <w:rPr>
                <w:rFonts w:hint="eastAsia" w:ascii="仿宋_GB2312" w:eastAsia="仿宋_GB2312" w:cs="Times New Roman"/>
                <w:kern w:val="0"/>
                <w:sz w:val="24"/>
                <w:szCs w:val="24"/>
              </w:rPr>
              <w:t>马边</w:t>
            </w:r>
            <w:r>
              <w:rPr>
                <w:rFonts w:hint="eastAsia" w:ascii="仿宋_GB2312" w:eastAsia="仿宋_GB2312" w:cs="Times New Roman"/>
                <w:kern w:val="0"/>
                <w:sz w:val="24"/>
                <w:szCs w:val="24"/>
                <w:lang w:val="en-US" w:eastAsia="zh-CN"/>
              </w:rPr>
              <w:t>-雷波</w:t>
            </w:r>
            <w:r>
              <w:rPr>
                <w:rFonts w:hint="eastAsia" w:ascii="仿宋_GB2312" w:eastAsia="仿宋_GB2312" w:cs="Times New Roman"/>
                <w:kern w:val="0"/>
                <w:sz w:val="24"/>
                <w:szCs w:val="24"/>
              </w:rPr>
              <w:t>磷矿重点勘查区内，位于</w:t>
            </w:r>
            <w:r>
              <w:rPr>
                <w:rFonts w:hint="eastAsia" w:ascii="仿宋_GB2312" w:hAnsi="仿宋" w:eastAsia="仿宋_GB2312"/>
                <w:b w:val="0"/>
                <w:bCs/>
                <w:color w:val="auto"/>
                <w:sz w:val="24"/>
                <w:szCs w:val="24"/>
              </w:rPr>
              <w:t>四川马边磷矿能源资源基地</w:t>
            </w:r>
            <w:r>
              <w:rPr>
                <w:rFonts w:hint="eastAsia" w:ascii="仿宋_GB2312" w:eastAsia="仿宋_GB2312" w:cs="Times New Roman"/>
                <w:kern w:val="0"/>
                <w:sz w:val="24"/>
                <w:szCs w:val="24"/>
              </w:rPr>
              <w:t>范围内，具有较好的找矿潜力，可助力新一轮战略性找矿突破，有利支撑我县优势矿产资源磷矿的增储上产，为区域磷产业发展提供资源安全保障。</w:t>
            </w:r>
          </w:p>
          <w:p w14:paraId="56D2CE8B">
            <w:pPr>
              <w:adjustRightInd w:val="0"/>
              <w:snapToGrid w:val="0"/>
              <w:ind w:firstLine="562"/>
              <w:rPr>
                <w:rFonts w:hint="eastAsia" w:ascii="仿宋_GB2312" w:eastAsia="仿宋_GB2312"/>
                <w:kern w:val="0"/>
                <w:sz w:val="24"/>
                <w:szCs w:val="24"/>
              </w:rPr>
            </w:pPr>
            <w:r>
              <w:rPr>
                <w:rFonts w:hint="eastAsia" w:ascii="仿宋_GB2312" w:eastAsia="仿宋_GB2312"/>
                <w:b/>
                <w:kern w:val="0"/>
                <w:sz w:val="24"/>
                <w:szCs w:val="24"/>
                <w:lang w:val="en-US" w:eastAsia="zh-CN"/>
              </w:rPr>
              <w:t>4.</w:t>
            </w:r>
            <w:r>
              <w:rPr>
                <w:rFonts w:hint="eastAsia" w:ascii="仿宋_GB2312" w:eastAsia="仿宋_GB2312"/>
                <w:b/>
                <w:kern w:val="0"/>
                <w:sz w:val="24"/>
                <w:szCs w:val="24"/>
              </w:rPr>
              <w:t>四川省马边县金家沟铜多金属矿普查：</w:t>
            </w:r>
            <w:r>
              <w:rPr>
                <w:rFonts w:hint="eastAsia" w:ascii="仿宋_GB2312" w:eastAsia="仿宋_GB2312"/>
                <w:kern w:val="0"/>
                <w:sz w:val="24"/>
                <w:szCs w:val="24"/>
              </w:rPr>
              <w:t>位于马边县三河口镇，</w:t>
            </w:r>
            <w:r>
              <w:rPr>
                <w:rFonts w:hint="eastAsia" w:ascii="仿宋_GB2312" w:eastAsia="仿宋_GB2312" w:cs="Times New Roman"/>
                <w:kern w:val="0"/>
                <w:sz w:val="24"/>
                <w:szCs w:val="24"/>
              </w:rPr>
              <w:t>勘查矿种为铜矿，面积16.9007平方千米。经初步预测，区块范围内预计可探获铜金属量9.7万吨以上</w:t>
            </w:r>
            <w:r>
              <w:rPr>
                <w:rFonts w:hint="eastAsia" w:ascii="仿宋_GB2312" w:eastAsia="仿宋_GB2312"/>
                <w:kern w:val="0"/>
                <w:sz w:val="24"/>
                <w:szCs w:val="24"/>
              </w:rPr>
              <w:t>。</w:t>
            </w:r>
          </w:p>
          <w:p w14:paraId="3327660D">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eastAsia" w:ascii="仿宋_GB2312" w:eastAsia="仿宋_GB2312"/>
                <w:b/>
                <w:kern w:val="0"/>
                <w:sz w:val="24"/>
                <w:szCs w:val="24"/>
                <w:lang w:val="en-US" w:eastAsia="zh-CN"/>
              </w:rPr>
            </w:pPr>
            <w:r>
              <w:rPr>
                <w:rFonts w:hint="eastAsia" w:ascii="仿宋_GB2312" w:hAnsi="仿宋" w:eastAsia="仿宋_GB2312" w:cs="宋体"/>
                <w:b/>
                <w:color w:val="auto"/>
                <w:kern w:val="0"/>
                <w:sz w:val="24"/>
                <w:szCs w:val="24"/>
              </w:rPr>
              <w:t>（</w:t>
            </w:r>
            <w:r>
              <w:rPr>
                <w:rFonts w:hint="eastAsia" w:ascii="仿宋_GB2312" w:hAnsi="仿宋" w:eastAsia="仿宋_GB2312" w:cs="宋体"/>
                <w:b/>
                <w:color w:val="auto"/>
                <w:kern w:val="0"/>
                <w:sz w:val="24"/>
                <w:szCs w:val="24"/>
                <w:lang w:val="en-US" w:eastAsia="zh-CN"/>
              </w:rPr>
              <w:t>二</w:t>
            </w:r>
            <w:r>
              <w:rPr>
                <w:rFonts w:hint="eastAsia" w:ascii="仿宋_GB2312" w:hAnsi="仿宋" w:eastAsia="仿宋_GB2312" w:cs="宋体"/>
                <w:b/>
                <w:color w:val="auto"/>
                <w:kern w:val="0"/>
                <w:sz w:val="24"/>
                <w:szCs w:val="24"/>
              </w:rPr>
              <w:t>）</w:t>
            </w:r>
            <w:r>
              <w:rPr>
                <w:rFonts w:hint="eastAsia" w:ascii="仿宋_GB2312" w:eastAsia="仿宋_GB2312"/>
                <w:b/>
                <w:kern w:val="0"/>
                <w:sz w:val="24"/>
                <w:szCs w:val="24"/>
                <w:lang w:val="en-US" w:eastAsia="zh-CN"/>
              </w:rPr>
              <w:t>落实3个市级规划区块：</w:t>
            </w:r>
          </w:p>
          <w:p w14:paraId="225DD207">
            <w:pPr>
              <w:keepNext w:val="0"/>
              <w:keepLines w:val="0"/>
              <w:pageBreakBefore w:val="0"/>
              <w:widowControl w:val="0"/>
              <w:kinsoku/>
              <w:wordWrap/>
              <w:overflowPunct/>
              <w:topLinePunct w:val="0"/>
              <w:autoSpaceDE/>
              <w:autoSpaceDN/>
              <w:bidi w:val="0"/>
              <w:snapToGrid/>
              <w:spacing w:line="400" w:lineRule="exact"/>
              <w:ind w:firstLine="641" w:firstLineChars="0"/>
              <w:textAlignment w:val="auto"/>
              <w:rPr>
                <w:rFonts w:hint="eastAsia" w:ascii="仿宋_GB2312" w:hAnsi="仿宋" w:eastAsia="仿宋_GB2312" w:cstheme="minorBidi"/>
                <w:b/>
                <w:bCs w:val="0"/>
                <w:color w:val="auto"/>
                <w:kern w:val="2"/>
                <w:sz w:val="24"/>
                <w:szCs w:val="24"/>
                <w:lang w:val="en-US" w:eastAsia="zh-CN"/>
              </w:rPr>
            </w:pPr>
            <w:r>
              <w:rPr>
                <w:rFonts w:hint="eastAsia" w:ascii="仿宋_GB2312" w:hAnsi="仿宋" w:eastAsia="仿宋_GB2312" w:cstheme="minorBidi"/>
                <w:b/>
                <w:bCs w:val="0"/>
                <w:color w:val="auto"/>
                <w:kern w:val="2"/>
                <w:sz w:val="24"/>
                <w:szCs w:val="24"/>
                <w:lang w:val="en-US" w:eastAsia="zh-CN"/>
              </w:rPr>
              <w:t>1.四川省马边彝族自治县瓦嘎乃拖玄武岩勘查。</w:t>
            </w:r>
            <w:r>
              <w:rPr>
                <w:rFonts w:hint="eastAsia" w:ascii="仿宋_GB2312" w:eastAsia="仿宋_GB2312"/>
                <w:bCs/>
                <w:kern w:val="0"/>
                <w:sz w:val="24"/>
                <w:szCs w:val="24"/>
                <w:lang w:val="en-US" w:eastAsia="zh-CN"/>
              </w:rPr>
              <w:t>为保留上一轮规划区块。</w:t>
            </w:r>
            <w:r>
              <w:rPr>
                <w:rFonts w:hint="eastAsia" w:ascii="仿宋_GB2312" w:hAnsi="仿宋" w:eastAsia="仿宋_GB2312" w:cstheme="minorBidi"/>
                <w:b w:val="0"/>
                <w:bCs/>
                <w:color w:val="auto"/>
                <w:kern w:val="2"/>
                <w:sz w:val="24"/>
                <w:szCs w:val="24"/>
                <w:lang w:val="en-US" w:eastAsia="zh-CN"/>
              </w:rPr>
              <w:t>位于马边县烟峰镇梅子湾村，面积5.9956平方千米，勘查矿种为玄武岩，规划期</w:t>
            </w:r>
            <w:r>
              <w:rPr>
                <w:rFonts w:hint="eastAsia" w:ascii="仿宋_GB2312" w:hAnsi="仿宋" w:eastAsia="仿宋_GB2312" w:cstheme="minorBidi"/>
                <w:b w:val="0"/>
                <w:bCs/>
                <w:kern w:val="2"/>
                <w:sz w:val="24"/>
                <w:szCs w:val="24"/>
                <w:lang w:val="en-US" w:eastAsia="zh-CN"/>
              </w:rPr>
              <w:t>预计</w:t>
            </w:r>
            <w:r>
              <w:rPr>
                <w:rFonts w:hint="eastAsia" w:ascii="仿宋_GB2312" w:hAnsi="仿宋" w:eastAsia="仿宋_GB2312" w:cstheme="minorBidi"/>
                <w:b w:val="0"/>
                <w:bCs/>
                <w:color w:val="auto"/>
                <w:kern w:val="2"/>
                <w:sz w:val="24"/>
                <w:szCs w:val="24"/>
                <w:lang w:val="en-US" w:eastAsia="zh-CN"/>
              </w:rPr>
              <w:t>投</w:t>
            </w:r>
            <w:r>
              <w:rPr>
                <w:rFonts w:hint="eastAsia" w:ascii="仿宋_GB2312" w:hAnsi="仿宋" w:eastAsia="仿宋_GB2312" w:cstheme="minorBidi"/>
                <w:b w:val="0"/>
                <w:bCs/>
                <w:kern w:val="2"/>
                <w:sz w:val="24"/>
                <w:szCs w:val="24"/>
                <w:lang w:val="en-US" w:eastAsia="zh-CN"/>
              </w:rPr>
              <w:t>入勘查资金</w:t>
            </w:r>
            <w:r>
              <w:rPr>
                <w:rFonts w:hint="eastAsia" w:ascii="仿宋_GB2312" w:hAnsi="仿宋" w:eastAsia="仿宋_GB2312" w:cstheme="minorBidi"/>
                <w:b w:val="0"/>
                <w:bCs/>
                <w:color w:val="auto"/>
                <w:kern w:val="2"/>
                <w:sz w:val="24"/>
                <w:szCs w:val="24"/>
                <w:lang w:val="en-US" w:eastAsia="zh-CN"/>
              </w:rPr>
              <w:t>1000万元，预估新增纤维用玄武岩6000万吨以上。</w:t>
            </w:r>
          </w:p>
          <w:p w14:paraId="4E71AD20">
            <w:pPr>
              <w:ind w:firstLine="562"/>
              <w:rPr>
                <w:rFonts w:hint="eastAsia" w:ascii="仿宋" w:hAnsi="仿宋" w:eastAsia="仿宋" w:cs="Times New Roman"/>
                <w:sz w:val="24"/>
                <w:szCs w:val="24"/>
              </w:rPr>
            </w:pPr>
            <w:r>
              <w:rPr>
                <w:rFonts w:hint="eastAsia" w:ascii="仿宋_GB2312" w:eastAsia="仿宋_GB2312"/>
                <w:b/>
                <w:kern w:val="0"/>
                <w:sz w:val="24"/>
                <w:szCs w:val="24"/>
                <w:lang w:val="en-US" w:eastAsia="zh-CN"/>
              </w:rPr>
              <w:t>2.</w:t>
            </w:r>
            <w:r>
              <w:rPr>
                <w:rFonts w:hint="eastAsia" w:ascii="仿宋_GB2312" w:eastAsia="仿宋_GB2312"/>
                <w:b/>
                <w:kern w:val="0"/>
                <w:sz w:val="24"/>
                <w:szCs w:val="24"/>
              </w:rPr>
              <w:t>四川省马边彝族自治县民建地热普查</w:t>
            </w:r>
            <w:r>
              <w:rPr>
                <w:rFonts w:hint="eastAsia" w:ascii="仿宋" w:hAnsi="仿宋" w:eastAsia="仿宋" w:cs="Times New Roman"/>
                <w:sz w:val="24"/>
                <w:szCs w:val="24"/>
              </w:rPr>
              <w:t>：勘查地热。</w:t>
            </w:r>
            <w:r>
              <w:rPr>
                <w:rFonts w:hint="eastAsia" w:ascii="仿宋_GB2312" w:eastAsia="仿宋_GB2312"/>
                <w:bCs/>
                <w:kern w:val="0"/>
                <w:sz w:val="24"/>
                <w:szCs w:val="24"/>
                <w:lang w:val="en-US" w:eastAsia="zh-CN"/>
              </w:rPr>
              <w:t>为保留上一轮规划区块。</w:t>
            </w:r>
          </w:p>
          <w:p w14:paraId="0CFA87D6">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仿宋_GB2312" w:eastAsia="仿宋_GB2312"/>
                <w:bCs/>
                <w:kern w:val="0"/>
                <w:sz w:val="21"/>
                <w:szCs w:val="21"/>
                <w:lang w:val="en-US" w:eastAsia="zh-CN"/>
              </w:rPr>
            </w:pPr>
            <w:r>
              <w:rPr>
                <w:rFonts w:hint="eastAsia" w:ascii="仿宋_GB2312" w:eastAsia="仿宋_GB2312"/>
                <w:b/>
                <w:kern w:val="0"/>
                <w:sz w:val="24"/>
                <w:szCs w:val="24"/>
                <w:lang w:val="en-US" w:eastAsia="zh-CN"/>
              </w:rPr>
              <w:t>3、</w:t>
            </w:r>
            <w:r>
              <w:rPr>
                <w:rFonts w:hint="eastAsia" w:ascii="仿宋_GB2312" w:eastAsia="仿宋_GB2312"/>
                <w:b/>
                <w:kern w:val="0"/>
                <w:sz w:val="24"/>
                <w:szCs w:val="24"/>
              </w:rPr>
              <w:t>四川省马边彝族自治县石灰溪-黄泥槽石膏矿普查：</w:t>
            </w:r>
            <w:r>
              <w:rPr>
                <w:rFonts w:hint="eastAsia" w:ascii="仿宋" w:hAnsi="仿宋" w:eastAsia="仿宋" w:cs="Times New Roman"/>
                <w:sz w:val="24"/>
                <w:szCs w:val="24"/>
              </w:rPr>
              <w:t>勘查石膏矿。</w:t>
            </w:r>
            <w:r>
              <w:rPr>
                <w:rFonts w:hint="eastAsia" w:ascii="仿宋_GB2312" w:eastAsia="仿宋_GB2312"/>
                <w:bCs/>
                <w:kern w:val="0"/>
                <w:sz w:val="24"/>
                <w:szCs w:val="24"/>
                <w:lang w:val="en-US" w:eastAsia="zh-CN"/>
              </w:rPr>
              <w:t>为保留上一轮规划区块。</w:t>
            </w:r>
          </w:p>
        </w:tc>
      </w:tr>
    </w:tbl>
    <w:p w14:paraId="16FCF7C9">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14" w:name="_Toc7130"/>
      <w:bookmarkStart w:id="15" w:name="_Toc30893"/>
      <w:r>
        <w:rPr>
          <w:rFonts w:hint="eastAsia"/>
          <w:sz w:val="36"/>
          <w:szCs w:val="36"/>
          <w:lang w:val="en-US" w:eastAsia="zh-CN"/>
        </w:rPr>
        <w:t>四、</w:t>
      </w:r>
      <w:bookmarkEnd w:id="14"/>
      <w:r>
        <w:rPr>
          <w:rFonts w:hint="eastAsia"/>
          <w:sz w:val="36"/>
          <w:szCs w:val="36"/>
          <w:lang w:val="en-US" w:eastAsia="zh-CN"/>
        </w:rPr>
        <w:t>强化矿产资源勘查开发管控</w:t>
      </w:r>
      <w:bookmarkEnd w:id="15"/>
    </w:p>
    <w:p w14:paraId="70F20358">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6" w:name="_Toc18216"/>
      <w:r>
        <w:rPr>
          <w:rFonts w:hint="eastAsia" w:ascii="黑体" w:hAnsi="黑体" w:eastAsia="黑体" w:cs="黑体"/>
          <w:b w:val="0"/>
          <w:bCs w:val="0"/>
          <w:lang w:val="en-US" w:eastAsia="zh-CN"/>
        </w:rPr>
        <w:t>（一）合理确定开发强度</w:t>
      </w:r>
      <w:bookmarkEnd w:id="16"/>
    </w:p>
    <w:p w14:paraId="6B714892">
      <w:pPr>
        <w:pageBreakBefore w:val="0"/>
        <w:widowControl w:val="0"/>
        <w:kinsoku/>
        <w:wordWrap/>
        <w:overflowPunct/>
        <w:topLinePunct w:val="0"/>
        <w:autoSpaceDE/>
        <w:autoSpaceDN/>
        <w:bidi w:val="0"/>
        <w:adjustRightInd/>
        <w:snapToGrid/>
        <w:spacing w:line="560" w:lineRule="exact"/>
        <w:ind w:firstLine="640"/>
        <w:jc w:val="left"/>
        <w:textAlignment w:val="auto"/>
        <w:rPr>
          <w:rFonts w:ascii="仿宋_GB2312" w:hAnsi="仿宋" w:eastAsia="仿宋_GB2312"/>
          <w:kern w:val="0"/>
          <w:szCs w:val="32"/>
        </w:rPr>
      </w:pPr>
      <w:r>
        <w:rPr>
          <w:rFonts w:hint="eastAsia" w:ascii="仿宋_GB2312" w:hAnsi="仿宋" w:eastAsia="仿宋_GB2312"/>
          <w:b/>
          <w:bCs/>
          <w:kern w:val="0"/>
          <w:szCs w:val="32"/>
        </w:rPr>
        <w:t>能源矿产：</w:t>
      </w:r>
      <w:r>
        <w:rPr>
          <w:rFonts w:hint="eastAsia" w:ascii="仿宋_GB2312" w:hAnsi="仿宋" w:eastAsia="仿宋_GB2312"/>
          <w:kern w:val="0"/>
          <w:szCs w:val="32"/>
        </w:rPr>
        <w:t>大力支持</w:t>
      </w:r>
      <w:r>
        <w:rPr>
          <w:rFonts w:hint="eastAsia" w:ascii="仿宋_GB2312" w:hAnsi="仿宋" w:eastAsia="仿宋_GB2312"/>
          <w:kern w:val="0"/>
          <w:szCs w:val="32"/>
          <w:lang w:val="en-US" w:eastAsia="zh-CN"/>
        </w:rPr>
        <w:t>县域内天然气、页岩气</w:t>
      </w:r>
      <w:r>
        <w:rPr>
          <w:rFonts w:hint="eastAsia" w:ascii="仿宋_GB2312" w:hAnsi="仿宋" w:eastAsia="仿宋_GB2312"/>
          <w:kern w:val="0"/>
          <w:szCs w:val="32"/>
        </w:rPr>
        <w:t>规模化开发，</w:t>
      </w:r>
      <w:r>
        <w:rPr>
          <w:rFonts w:hint="eastAsia" w:ascii="仿宋_GB2312" w:hAnsi="仿宋" w:eastAsia="仿宋_GB2312"/>
          <w:kern w:val="0"/>
          <w:szCs w:val="32"/>
          <w:lang w:val="en-US" w:eastAsia="zh-CN"/>
        </w:rPr>
        <w:t>积极</w:t>
      </w:r>
      <w:r>
        <w:rPr>
          <w:rFonts w:hint="eastAsia" w:ascii="仿宋_GB2312" w:hAnsi="仿宋" w:eastAsia="仿宋_GB2312"/>
          <w:kern w:val="0"/>
          <w:szCs w:val="32"/>
        </w:rPr>
        <w:t>推动</w:t>
      </w:r>
      <w:r>
        <w:rPr>
          <w:rFonts w:hint="eastAsia" w:ascii="仿宋_GB2312" w:hAnsi="仿宋" w:eastAsia="仿宋_GB2312"/>
          <w:kern w:val="0"/>
          <w:szCs w:val="32"/>
          <w:lang w:val="en-US" w:eastAsia="zh-CN"/>
        </w:rPr>
        <w:t>天然气（页岩气）</w:t>
      </w:r>
      <w:r>
        <w:rPr>
          <w:rFonts w:hint="eastAsia" w:ascii="仿宋_GB2312" w:hAnsi="仿宋" w:eastAsia="仿宋_GB2312"/>
          <w:kern w:val="0"/>
          <w:szCs w:val="32"/>
        </w:rPr>
        <w:t>项目有序落地</w:t>
      </w:r>
      <w:r>
        <w:rPr>
          <w:rFonts w:hint="eastAsia" w:ascii="仿宋_GB2312" w:hAnsi="仿宋" w:eastAsia="仿宋_GB2312"/>
          <w:kern w:val="0"/>
          <w:szCs w:val="32"/>
          <w:lang w:eastAsia="zh-CN"/>
        </w:rPr>
        <w:t>，为县域能源结构优化提供支撑</w:t>
      </w:r>
      <w:r>
        <w:rPr>
          <w:rFonts w:hint="eastAsia" w:ascii="仿宋_GB2312" w:hAnsi="仿宋" w:eastAsia="仿宋_GB2312"/>
          <w:kern w:val="0"/>
          <w:szCs w:val="32"/>
        </w:rPr>
        <w:t>。</w:t>
      </w:r>
    </w:p>
    <w:p w14:paraId="73FA04F8">
      <w:pPr>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 w:eastAsia="仿宋_GB2312"/>
          <w:kern w:val="0"/>
          <w:szCs w:val="32"/>
        </w:rPr>
      </w:pPr>
      <w:r>
        <w:rPr>
          <w:rFonts w:hint="eastAsia" w:ascii="仿宋_GB2312" w:hAnsi="仿宋" w:eastAsia="仿宋_GB2312"/>
          <w:b/>
          <w:bCs/>
          <w:kern w:val="0"/>
          <w:szCs w:val="32"/>
        </w:rPr>
        <w:t>铜矿</w:t>
      </w:r>
      <w:r>
        <w:rPr>
          <w:rFonts w:hint="eastAsia" w:ascii="仿宋_GB2312" w:hAnsi="仿宋" w:eastAsia="仿宋_GB2312"/>
          <w:b/>
          <w:bCs/>
          <w:kern w:val="0"/>
          <w:szCs w:val="32"/>
          <w:lang w:eastAsia="zh-CN"/>
        </w:rPr>
        <w:t>：</w:t>
      </w:r>
      <w:r>
        <w:rPr>
          <w:rFonts w:hint="eastAsia" w:ascii="仿宋_GB2312" w:hAnsi="仿宋" w:eastAsia="仿宋_GB2312"/>
          <w:kern w:val="0"/>
          <w:szCs w:val="32"/>
        </w:rPr>
        <w:t>依托财政和社会资金，提高矿产勘查投入，提升金属矿产在境内矿业经济的占比，</w:t>
      </w:r>
      <w:r>
        <w:rPr>
          <w:rFonts w:hint="eastAsia" w:ascii="仿宋_GB2312" w:hAnsi="仿宋" w:eastAsia="仿宋_GB2312"/>
          <w:kern w:val="0"/>
          <w:szCs w:val="32"/>
          <w:lang w:val="en-US" w:eastAsia="zh-CN"/>
        </w:rPr>
        <w:t>力争县域内铜矿找矿突破</w:t>
      </w:r>
      <w:r>
        <w:rPr>
          <w:rFonts w:hint="eastAsia" w:ascii="仿宋_GB2312" w:hAnsi="仿宋" w:eastAsia="仿宋_GB2312"/>
          <w:kern w:val="0"/>
          <w:szCs w:val="32"/>
        </w:rPr>
        <w:t>。</w:t>
      </w:r>
    </w:p>
    <w:p w14:paraId="01471063">
      <w:pPr>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 w:eastAsia="仿宋_GB2312"/>
          <w:kern w:val="0"/>
          <w:szCs w:val="32"/>
        </w:rPr>
      </w:pPr>
    </w:p>
    <w:p w14:paraId="73EBB691">
      <w:pPr>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_GB2312" w:hAnsi="仿宋" w:eastAsia="仿宋_GB2312"/>
          <w:kern w:val="0"/>
          <w:szCs w:val="32"/>
        </w:rPr>
      </w:pPr>
      <w:r>
        <w:rPr>
          <w:rFonts w:hint="eastAsia" w:ascii="仿宋_GB2312" w:hAnsi="仿宋" w:eastAsia="仿宋_GB2312" w:cs="Times New Roman"/>
          <w:b/>
          <w:bCs/>
          <w:kern w:val="0"/>
          <w:sz w:val="32"/>
          <w:szCs w:val="32"/>
        </w:rPr>
        <w:t>化工非金属矿产：</w:t>
      </w:r>
      <w:r>
        <w:rPr>
          <w:rFonts w:hint="eastAsia" w:ascii="仿宋_GB2312" w:hAnsi="仿宋" w:eastAsia="仿宋_GB2312" w:cs="Times New Roman"/>
          <w:b w:val="0"/>
          <w:bCs w:val="0"/>
          <w:kern w:val="0"/>
          <w:sz w:val="32"/>
          <w:szCs w:val="32"/>
          <w:lang w:val="en-US" w:eastAsia="zh-CN"/>
        </w:rPr>
        <w:t>支持具备“采选加”一体化能力的大型磷化工优势企业，按市场化原则获取矿业权，支持相邻、50万吨/年以下的中小型磷矿优化整合，加强中低品位磷矿及伴生萤石资源综合利用，到2030年，磷矿石年产能控制在2000万吨以内。统筹推进萤石、铅锌等共伴生矿产综合勘查与开发。</w:t>
      </w:r>
    </w:p>
    <w:p w14:paraId="072D52FD">
      <w:pPr>
        <w:pageBreakBefore w:val="0"/>
        <w:widowControl w:val="0"/>
        <w:kinsoku/>
        <w:wordWrap/>
        <w:overflowPunct/>
        <w:topLinePunct w:val="0"/>
        <w:autoSpaceDE/>
        <w:autoSpaceDN/>
        <w:bidi w:val="0"/>
        <w:adjustRightInd/>
        <w:snapToGrid/>
        <w:spacing w:line="560" w:lineRule="exact"/>
        <w:ind w:firstLine="640"/>
        <w:jc w:val="left"/>
        <w:textAlignment w:val="auto"/>
        <w:rPr>
          <w:rFonts w:ascii="仿宋_GB2312" w:hAnsi="仿宋" w:eastAsia="仿宋_GB2312"/>
          <w:kern w:val="0"/>
          <w:szCs w:val="32"/>
        </w:rPr>
      </w:pPr>
      <w:r>
        <w:rPr>
          <w:rFonts w:hint="eastAsia" w:ascii="仿宋_GB2312" w:hAnsi="仿宋" w:eastAsia="仿宋_GB2312" w:cs="Times New Roman"/>
          <w:b/>
          <w:bCs/>
          <w:kern w:val="0"/>
          <w:sz w:val="32"/>
          <w:szCs w:val="32"/>
        </w:rPr>
        <w:t>建材非金属矿产：</w:t>
      </w:r>
      <w:r>
        <w:rPr>
          <w:rFonts w:hint="eastAsia" w:ascii="仿宋_GB2312" w:hAnsi="仿宋" w:eastAsia="仿宋_GB2312" w:cs="Times New Roman"/>
          <w:kern w:val="0"/>
          <w:sz w:val="32"/>
          <w:szCs w:val="32"/>
          <w:lang w:val="en-US" w:eastAsia="zh-CN"/>
        </w:rPr>
        <w:t>加快推进纤维用玄武岩的勘查开发，优化化肥用砂岩等传统矿产开发结构，升级砂岩开采与精深提纯工艺，重点培育压裂石英砂、高纯石英砂等高附加值产品，推行规模化、集约化开采模式。严格控制建筑用砂石开采总量和规模。到2030年，建筑用砂石年产量控制在500万吨以内</w:t>
      </w:r>
      <w:r>
        <w:rPr>
          <w:rFonts w:hint="eastAsia" w:ascii="仿宋_GB2312" w:hAnsi="仿宋" w:eastAsia="仿宋_GB2312"/>
          <w:kern w:val="0"/>
          <w:szCs w:val="32"/>
        </w:rPr>
        <w:t>。</w:t>
      </w:r>
    </w:p>
    <w:p w14:paraId="0BC4E3AE">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7" w:name="_Toc4662"/>
      <w:r>
        <w:rPr>
          <w:rFonts w:hint="eastAsia" w:ascii="黑体" w:hAnsi="黑体" w:eastAsia="黑体" w:cs="黑体"/>
          <w:b w:val="0"/>
          <w:bCs w:val="0"/>
          <w:lang w:val="en-US" w:eastAsia="zh-CN"/>
        </w:rPr>
        <w:t>（二）优化开发利用结构</w:t>
      </w:r>
      <w:bookmarkEnd w:id="17"/>
    </w:p>
    <w:p w14:paraId="089A41C4">
      <w:pPr>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 w:eastAsia="仿宋_GB2312" w:cs="Times New Roman"/>
          <w:b/>
          <w:bCs/>
          <w:kern w:val="0"/>
          <w:sz w:val="32"/>
          <w:szCs w:val="32"/>
          <w:lang w:val="en-US" w:eastAsia="zh-CN"/>
        </w:rPr>
      </w:pPr>
      <w:r>
        <w:rPr>
          <w:rFonts w:hint="eastAsia" w:ascii="仿宋_GB2312" w:hAnsi="仿宋" w:eastAsia="仿宋_GB2312" w:cs="Times New Roman"/>
          <w:b/>
          <w:bCs/>
          <w:kern w:val="0"/>
          <w:sz w:val="32"/>
          <w:szCs w:val="32"/>
          <w:lang w:val="en-US" w:eastAsia="zh-CN"/>
        </w:rPr>
        <w:t>合理控制采矿权总数</w:t>
      </w:r>
      <w:r>
        <w:rPr>
          <w:rFonts w:hint="eastAsia" w:ascii="仿宋_GB2312" w:hAnsi="仿宋" w:eastAsia="仿宋_GB2312" w:cs="Times New Roman"/>
          <w:b/>
          <w:bCs/>
          <w:kern w:val="0"/>
          <w:sz w:val="32"/>
          <w:szCs w:val="32"/>
        </w:rPr>
        <w:t>：</w:t>
      </w:r>
      <w:r>
        <w:rPr>
          <w:rFonts w:hint="eastAsia" w:ascii="仿宋_GB2312" w:hAnsi="仿宋" w:eastAsia="仿宋_GB2312" w:cs="Times New Roman"/>
          <w:b w:val="0"/>
          <w:bCs w:val="0"/>
          <w:color w:val="auto"/>
          <w:kern w:val="0"/>
          <w:sz w:val="32"/>
          <w:szCs w:val="32"/>
          <w:lang w:val="en-US" w:eastAsia="zh-CN"/>
        </w:rPr>
        <w:t>严格落实采矿权总量管控要求，不断优化矿业产业布局与资源开发结构，全面提升资源集约利用水平。鼓励综合实力较强的大型矿业企业兼并重组、整合存量资源，推行集中连片、规模化开采模式，切实做到矿山数量做减法、开采规模做加法。统筹矿产资源配置，优先保障战略性矿产、乡村振兴以及重大产业、基建项目的用矿需求，全力推动全县矿山开发模式转型升级，加快构建规模适度、集约高效、生态绿色的现代矿业发展格局。至2030年，力争全县采矿权总数稳定在32宗左右，大中型矿山占比提升至70%以上。</w:t>
      </w:r>
    </w:p>
    <w:p w14:paraId="4A4CAF51">
      <w:pPr>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 w:eastAsia="仿宋_GB2312" w:cs="Times New Roman"/>
          <w:kern w:val="0"/>
          <w:sz w:val="32"/>
          <w:szCs w:val="32"/>
          <w:lang w:val="en-US" w:eastAsia="zh-CN"/>
        </w:rPr>
      </w:pPr>
      <w:r>
        <w:rPr>
          <w:rFonts w:hint="eastAsia" w:ascii="仿宋_GB2312" w:hAnsi="仿宋" w:eastAsia="仿宋_GB2312" w:cs="Times New Roman"/>
          <w:b/>
          <w:bCs/>
          <w:kern w:val="0"/>
          <w:sz w:val="32"/>
          <w:szCs w:val="32"/>
          <w:lang w:val="en-US" w:eastAsia="zh-CN"/>
        </w:rPr>
        <w:t>科学开发地热资源</w:t>
      </w:r>
      <w:r>
        <w:rPr>
          <w:rFonts w:hint="eastAsia" w:ascii="仿宋_GB2312" w:hAnsi="仿宋" w:eastAsia="仿宋_GB2312" w:cs="Times New Roman"/>
          <w:b/>
          <w:bCs/>
          <w:kern w:val="0"/>
          <w:sz w:val="32"/>
          <w:szCs w:val="32"/>
        </w:rPr>
        <w:t>：</w:t>
      </w:r>
      <w:r>
        <w:rPr>
          <w:rFonts w:hint="eastAsia" w:ascii="仿宋_GB2312" w:hAnsi="仿宋" w:eastAsia="仿宋_GB2312" w:cs="Times New Roman"/>
          <w:b w:val="0"/>
          <w:bCs w:val="0"/>
          <w:color w:val="auto"/>
          <w:kern w:val="0"/>
          <w:sz w:val="32"/>
          <w:szCs w:val="32"/>
          <w:lang w:val="en-US" w:eastAsia="zh-CN"/>
        </w:rPr>
        <w:t>依托我县文旅发展思路，推进民建地热资源勘查，助力打造文旅康养旅居目的地‌。</w:t>
      </w:r>
    </w:p>
    <w:p w14:paraId="7C4AEE70">
      <w:pPr>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Times New Roman"/>
          <w:kern w:val="0"/>
          <w:sz w:val="32"/>
          <w:szCs w:val="32"/>
        </w:rPr>
      </w:pPr>
      <w:r>
        <w:rPr>
          <w:rFonts w:hint="eastAsia" w:ascii="Times New Roman" w:hAnsi="Times New Roman" w:eastAsia="仿宋_GB2312" w:cs="Times New Roman"/>
          <w:b/>
          <w:bCs/>
          <w:kern w:val="0"/>
          <w:sz w:val="32"/>
          <w:szCs w:val="32"/>
          <w:lang w:val="en-US" w:eastAsia="zh-CN"/>
        </w:rPr>
        <w:t>科学管控</w:t>
      </w:r>
      <w:r>
        <w:rPr>
          <w:rFonts w:hint="eastAsia" w:ascii="Times New Roman" w:hAnsi="Times New Roman" w:eastAsia="仿宋_GB2312" w:cs="Times New Roman"/>
          <w:b/>
          <w:bCs/>
          <w:kern w:val="0"/>
          <w:sz w:val="32"/>
          <w:szCs w:val="32"/>
        </w:rPr>
        <w:t>砂石</w:t>
      </w:r>
      <w:r>
        <w:rPr>
          <w:rFonts w:hint="eastAsia" w:ascii="Times New Roman" w:hAnsi="Times New Roman" w:eastAsia="仿宋_GB2312" w:cs="Times New Roman"/>
          <w:b/>
          <w:bCs/>
          <w:kern w:val="0"/>
          <w:sz w:val="32"/>
          <w:szCs w:val="32"/>
          <w:lang w:val="en-US" w:eastAsia="zh-CN"/>
        </w:rPr>
        <w:t>资源开发</w:t>
      </w:r>
      <w:r>
        <w:rPr>
          <w:rFonts w:hint="eastAsia" w:ascii="Times New Roman" w:hAnsi="Times New Roman" w:eastAsia="仿宋_GB2312" w:cs="Times New Roman"/>
          <w:b/>
          <w:bCs/>
          <w:kern w:val="0"/>
          <w:sz w:val="32"/>
          <w:szCs w:val="32"/>
        </w:rPr>
        <w:t>：</w:t>
      </w:r>
      <w:r>
        <w:rPr>
          <w:rFonts w:hint="eastAsia" w:ascii="Times New Roman" w:hAnsi="Times New Roman" w:eastAsia="仿宋_GB2312" w:cs="Times New Roman"/>
          <w:kern w:val="0"/>
          <w:sz w:val="32"/>
          <w:szCs w:val="32"/>
        </w:rPr>
        <w:t>科学控制砂石采矿权</w:t>
      </w:r>
      <w:r>
        <w:rPr>
          <w:rFonts w:hint="eastAsia" w:ascii="Times New Roman" w:hAnsi="Times New Roman" w:eastAsia="仿宋_GB2312" w:cs="Times New Roman"/>
          <w:kern w:val="0"/>
          <w:sz w:val="32"/>
          <w:szCs w:val="32"/>
          <w:lang w:val="en-US" w:eastAsia="zh-CN"/>
        </w:rPr>
        <w:t>总数</w:t>
      </w:r>
      <w:r>
        <w:rPr>
          <w:rFonts w:hint="eastAsia" w:ascii="Times New Roman" w:hAnsi="Times New Roman" w:eastAsia="仿宋_GB2312" w:cs="Times New Roman"/>
          <w:kern w:val="0"/>
          <w:sz w:val="32"/>
          <w:szCs w:val="32"/>
        </w:rPr>
        <w:t>，鼓励公路、水利等基础设施、线性工程建设项目就地消纳工程开挖自产砂石，优先用于本项目施工用料；大力推进尾矿、废石、矿渣固废资源化加工砂石骨料，</w:t>
      </w:r>
      <w:r>
        <w:rPr>
          <w:rFonts w:hint="eastAsia" w:eastAsia="仿宋_GB2312" w:cs="Times New Roman"/>
          <w:kern w:val="0"/>
          <w:sz w:val="32"/>
          <w:szCs w:val="32"/>
          <w:lang w:val="en-US" w:eastAsia="zh-CN"/>
        </w:rPr>
        <w:t>有序推进</w:t>
      </w:r>
      <w:r>
        <w:rPr>
          <w:rFonts w:hint="eastAsia" w:ascii="Times New Roman" w:hAnsi="Times New Roman" w:eastAsia="仿宋_GB2312" w:cs="Times New Roman"/>
          <w:kern w:val="0"/>
          <w:sz w:val="32"/>
          <w:szCs w:val="32"/>
        </w:rPr>
        <w:t>山脊矿和小型矿山</w:t>
      </w:r>
      <w:r>
        <w:rPr>
          <w:rFonts w:hint="eastAsia" w:eastAsia="仿宋_GB2312" w:cs="Times New Roman"/>
          <w:kern w:val="0"/>
          <w:sz w:val="32"/>
          <w:szCs w:val="32"/>
          <w:lang w:val="en-US" w:eastAsia="zh-CN"/>
        </w:rPr>
        <w:t>整合</w:t>
      </w:r>
      <w:r>
        <w:rPr>
          <w:rFonts w:hint="eastAsia" w:ascii="Times New Roman" w:hAnsi="Times New Roman" w:eastAsia="仿宋_GB2312" w:cs="Times New Roman"/>
          <w:kern w:val="0"/>
          <w:sz w:val="32"/>
          <w:szCs w:val="32"/>
        </w:rPr>
        <w:t>，推动产能升级，及时引导资源枯竭又无增储可能、长期停工停产、灾害严重的矿山有序退出。在保障</w:t>
      </w:r>
      <w:r>
        <w:rPr>
          <w:rFonts w:hint="eastAsia" w:ascii="Times New Roman" w:hAnsi="Times New Roman" w:eastAsia="仿宋_GB2312" w:cs="Times New Roman"/>
          <w:kern w:val="0"/>
          <w:sz w:val="32"/>
          <w:szCs w:val="32"/>
          <w:lang w:val="en-US" w:eastAsia="zh-CN"/>
        </w:rPr>
        <w:t>我县</w:t>
      </w:r>
      <w:r>
        <w:rPr>
          <w:rFonts w:hint="eastAsia" w:ascii="Times New Roman" w:hAnsi="Times New Roman" w:eastAsia="仿宋_GB2312" w:cs="Times New Roman"/>
          <w:kern w:val="0"/>
          <w:sz w:val="32"/>
          <w:szCs w:val="32"/>
        </w:rPr>
        <w:t>重大项目需求的同时，采矿权数量原则上不突破规划控制指标。到2030年，</w:t>
      </w:r>
      <w:r>
        <w:rPr>
          <w:rFonts w:hint="eastAsia" w:ascii="仿宋_GB2312" w:hAnsi="仿宋" w:eastAsia="仿宋_GB2312" w:cs="Times New Roman"/>
          <w:sz w:val="32"/>
          <w:szCs w:val="32"/>
        </w:rPr>
        <w:t>全</w:t>
      </w:r>
      <w:r>
        <w:rPr>
          <w:rFonts w:hint="eastAsia" w:ascii="仿宋_GB2312" w:hAnsi="仿宋" w:eastAsia="仿宋_GB2312" w:cs="Times New Roman"/>
          <w:sz w:val="32"/>
          <w:szCs w:val="32"/>
          <w:lang w:val="en-US" w:eastAsia="zh-CN"/>
        </w:rPr>
        <w:t>县</w:t>
      </w:r>
      <w:r>
        <w:rPr>
          <w:rFonts w:hint="eastAsia" w:ascii="仿宋_GB2312" w:hAnsi="仿宋" w:eastAsia="仿宋_GB2312" w:cs="Times New Roman"/>
          <w:sz w:val="32"/>
          <w:szCs w:val="32"/>
        </w:rPr>
        <w:t>建筑用砂石和砖瓦用建材矿山总数分别控制在</w:t>
      </w:r>
      <w:r>
        <w:rPr>
          <w:rFonts w:hint="eastAsia" w:ascii="仿宋_GB2312" w:hAnsi="仿宋" w:eastAsia="仿宋_GB2312" w:cs="Times New Roman"/>
          <w:sz w:val="32"/>
          <w:szCs w:val="32"/>
          <w:lang w:val="en-US" w:eastAsia="zh-CN"/>
        </w:rPr>
        <w:t>3</w:t>
      </w:r>
      <w:r>
        <w:rPr>
          <w:rFonts w:hint="eastAsia" w:ascii="仿宋_GB2312" w:hAnsi="仿宋" w:eastAsia="仿宋_GB2312" w:cs="Times New Roman"/>
          <w:sz w:val="32"/>
          <w:szCs w:val="32"/>
        </w:rPr>
        <w:t>个、</w:t>
      </w:r>
      <w:r>
        <w:rPr>
          <w:rFonts w:hint="eastAsia" w:ascii="仿宋_GB2312" w:hAnsi="仿宋" w:eastAsia="仿宋_GB2312" w:cs="Times New Roman"/>
          <w:sz w:val="32"/>
          <w:szCs w:val="32"/>
          <w:lang w:val="en-US" w:eastAsia="zh-CN"/>
        </w:rPr>
        <w:t>4</w:t>
      </w:r>
      <w:r>
        <w:rPr>
          <w:rFonts w:hint="eastAsia" w:ascii="仿宋_GB2312" w:hAnsi="仿宋" w:eastAsia="仿宋_GB2312" w:cs="Times New Roman"/>
          <w:sz w:val="32"/>
          <w:szCs w:val="32"/>
        </w:rPr>
        <w:t>个以内</w:t>
      </w:r>
      <w:r>
        <w:rPr>
          <w:rFonts w:hint="eastAsia" w:ascii="Times New Roman" w:hAnsi="Times New Roman" w:eastAsia="仿宋_GB2312" w:cs="Times New Roman"/>
          <w:kern w:val="0"/>
          <w:sz w:val="32"/>
          <w:szCs w:val="32"/>
        </w:rPr>
        <w:t>。</w:t>
      </w:r>
    </w:p>
    <w:p w14:paraId="6B346C1D">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18" w:name="_Toc5899"/>
      <w:bookmarkStart w:id="19" w:name="_Toc18172"/>
      <w:bookmarkStart w:id="20" w:name="_Toc26743"/>
      <w:r>
        <w:rPr>
          <w:rFonts w:hint="eastAsia" w:ascii="黑体" w:hAnsi="黑体" w:eastAsia="黑体" w:cs="黑体"/>
          <w:b w:val="0"/>
          <w:bCs w:val="0"/>
          <w:lang w:val="en-US" w:eastAsia="zh-CN"/>
        </w:rPr>
        <w:t>（三）落实加强规划准入管理</w:t>
      </w:r>
      <w:bookmarkEnd w:id="18"/>
      <w:bookmarkEnd w:id="19"/>
      <w:bookmarkEnd w:id="20"/>
    </w:p>
    <w:p w14:paraId="69FE7242">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sz w:val="32"/>
          <w:szCs w:val="32"/>
        </w:rPr>
      </w:pPr>
      <w:r>
        <w:rPr>
          <w:rFonts w:hint="eastAsia" w:ascii="仿宋_GB2312" w:hAnsi="仿宋" w:eastAsia="仿宋_GB2312"/>
          <w:b/>
          <w:sz w:val="32"/>
          <w:szCs w:val="32"/>
        </w:rPr>
        <w:t>严格落实矿山最低开采规模准入。</w:t>
      </w:r>
      <w:r>
        <w:rPr>
          <w:rFonts w:hint="eastAsia" w:ascii="仿宋_GB2312" w:hAnsi="仿宋" w:eastAsia="仿宋_GB2312"/>
          <w:b w:val="0"/>
          <w:bCs/>
          <w:sz w:val="32"/>
          <w:szCs w:val="32"/>
        </w:rPr>
        <w:t>严格落实部省</w:t>
      </w:r>
      <w:r>
        <w:rPr>
          <w:rFonts w:hint="eastAsia" w:ascii="仿宋_GB2312" w:hAnsi="仿宋" w:eastAsia="仿宋_GB2312"/>
          <w:b w:val="0"/>
          <w:bCs/>
          <w:sz w:val="32"/>
          <w:szCs w:val="32"/>
          <w:lang w:val="en-US" w:eastAsia="zh-CN"/>
        </w:rPr>
        <w:t>市</w:t>
      </w:r>
      <w:r>
        <w:rPr>
          <w:rFonts w:hint="eastAsia" w:ascii="仿宋_GB2312" w:hAnsi="仿宋" w:eastAsia="仿宋_GB2312"/>
          <w:b w:val="0"/>
          <w:bCs/>
          <w:sz w:val="32"/>
          <w:szCs w:val="32"/>
        </w:rPr>
        <w:t>规划提出的重点矿种矿山最低开采规模要求，合理确定</w:t>
      </w:r>
      <w:r>
        <w:rPr>
          <w:rFonts w:hint="eastAsia" w:ascii="仿宋_GB2312" w:hAnsi="仿宋" w:eastAsia="仿宋_GB2312"/>
          <w:b w:val="0"/>
          <w:bCs/>
          <w:sz w:val="32"/>
          <w:szCs w:val="32"/>
          <w:lang w:eastAsia="zh-CN"/>
        </w:rPr>
        <w:t>我</w:t>
      </w:r>
      <w:r>
        <w:rPr>
          <w:rFonts w:hint="eastAsia" w:ascii="仿宋_GB2312" w:hAnsi="仿宋" w:eastAsia="仿宋_GB2312"/>
          <w:b w:val="0"/>
          <w:bCs/>
          <w:sz w:val="32"/>
          <w:szCs w:val="32"/>
        </w:rPr>
        <w:t>县特色矿产资源开发准入</w:t>
      </w:r>
      <w:r>
        <w:rPr>
          <w:rFonts w:hint="eastAsia" w:ascii="仿宋_GB2312" w:hAnsi="仿宋" w:eastAsia="仿宋_GB2312"/>
          <w:b w:val="0"/>
          <w:bCs/>
          <w:sz w:val="32"/>
          <w:szCs w:val="32"/>
          <w:lang w:val="en-US" w:eastAsia="zh-CN"/>
        </w:rPr>
        <w:t>标准</w:t>
      </w:r>
      <w:r>
        <w:rPr>
          <w:rFonts w:hint="eastAsia" w:ascii="仿宋_GB2312" w:hAnsi="仿宋" w:eastAsia="仿宋_GB2312"/>
          <w:b w:val="0"/>
          <w:bCs/>
          <w:sz w:val="32"/>
          <w:szCs w:val="32"/>
        </w:rPr>
        <w:t>，实施不同开采方式、不同矿种的差别化管理，严格新建露天矿山项目相关政策要求。坚持规模开采、集约利用，矿山生产规模与储量规模相适应原则，进一步优化新建矿山最低开采规模准入标准。</w:t>
      </w:r>
    </w:p>
    <w:p w14:paraId="25C20456">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sz w:val="32"/>
          <w:szCs w:val="32"/>
        </w:rPr>
      </w:pPr>
      <w:r>
        <w:rPr>
          <w:rFonts w:hint="eastAsia" w:ascii="仿宋_GB2312" w:hAnsi="仿宋" w:eastAsia="仿宋_GB2312"/>
          <w:b/>
          <w:bCs w:val="0"/>
          <w:sz w:val="32"/>
          <w:szCs w:val="32"/>
        </w:rPr>
        <w:t>严格落实国土空间规划管控。</w:t>
      </w:r>
      <w:r>
        <w:rPr>
          <w:rFonts w:hint="eastAsia" w:ascii="仿宋_GB2312" w:hAnsi="仿宋" w:eastAsia="仿宋_GB2312"/>
          <w:b w:val="0"/>
          <w:bCs/>
          <w:sz w:val="32"/>
          <w:szCs w:val="32"/>
        </w:rPr>
        <w:t>落实主体功能区战略，构建</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一核引领、四片协同、生态屏障支撑</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的空间发展格局，加强矿产资源勘查开发活动与</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三区三线</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和</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三线一单</w:t>
      </w:r>
      <w:r>
        <w:rPr>
          <w:rFonts w:hint="eastAsia" w:ascii="仿宋_GB2312" w:hAnsi="仿宋" w:eastAsia="仿宋_GB2312"/>
          <w:b w:val="0"/>
          <w:bCs/>
          <w:sz w:val="32"/>
          <w:szCs w:val="32"/>
          <w:lang w:eastAsia="zh-CN"/>
        </w:rPr>
        <w:t>”</w:t>
      </w:r>
      <w:r>
        <w:rPr>
          <w:rFonts w:hint="eastAsia" w:ascii="仿宋_GB2312" w:hAnsi="仿宋" w:eastAsia="仿宋_GB2312"/>
          <w:b w:val="0"/>
          <w:bCs/>
          <w:sz w:val="32"/>
          <w:szCs w:val="32"/>
        </w:rPr>
        <w:t>衔接。加强空间约束管控，严格矿产资源勘查开发环境准入要求，区分战略性矿产和非战略性矿产、探矿权和采矿权、已设矿业权和新设矿业权、地下开采和露天开采、固体矿产和液体矿产，对矿业权准入进行差异化管控。</w:t>
      </w:r>
    </w:p>
    <w:p w14:paraId="67D6B01E">
      <w:pPr>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val="0"/>
          <w:bCs/>
          <w:sz w:val="32"/>
          <w:szCs w:val="32"/>
        </w:rPr>
      </w:pPr>
      <w:r>
        <w:rPr>
          <w:rFonts w:hint="eastAsia" w:ascii="仿宋_GB2312" w:hAnsi="仿宋" w:eastAsia="仿宋_GB2312"/>
          <w:b/>
          <w:bCs w:val="0"/>
          <w:sz w:val="32"/>
          <w:szCs w:val="32"/>
        </w:rPr>
        <w:t>严格规划区块</w:t>
      </w:r>
      <w:r>
        <w:rPr>
          <w:rFonts w:hint="eastAsia" w:ascii="仿宋_GB2312" w:hAnsi="仿宋" w:eastAsia="仿宋_GB2312"/>
          <w:b/>
          <w:bCs w:val="0"/>
          <w:sz w:val="32"/>
          <w:szCs w:val="32"/>
          <w:lang w:val="en-US" w:eastAsia="zh-CN"/>
        </w:rPr>
        <w:t>准入</w:t>
      </w:r>
      <w:r>
        <w:rPr>
          <w:rFonts w:hint="eastAsia" w:ascii="仿宋_GB2312" w:hAnsi="仿宋" w:eastAsia="仿宋_GB2312"/>
          <w:b/>
          <w:bCs w:val="0"/>
          <w:sz w:val="32"/>
          <w:szCs w:val="32"/>
        </w:rPr>
        <w:t>要求。</w:t>
      </w:r>
      <w:r>
        <w:rPr>
          <w:rFonts w:hint="eastAsia" w:ascii="仿宋_GB2312" w:hAnsi="仿宋" w:eastAsia="仿宋_GB2312"/>
          <w:b w:val="0"/>
          <w:bCs/>
          <w:sz w:val="32"/>
          <w:szCs w:val="32"/>
        </w:rPr>
        <w:t>一个勘查开采规划区块原则上只设一个勘查开采主体。支持划定战略性矿产资源规划区块，涉及矿业权的，应兼顾矿业权人利益。普通建筑用砂石土原则上只设置集中开采区，明确区内矿山数量、开采总量、最低开采规模及矿区生态修复等准入条件。山高坡陡、交通不便地区，经论证可适量设置砂石土矿开采规划区块，区块严禁以山脊划界，严禁与非油气矿业权重叠，严禁在原始地形为平地的区域划定。</w:t>
      </w:r>
      <w:r>
        <w:rPr>
          <w:rFonts w:hint="eastAsia" w:ascii="仿宋_GB2312" w:hAnsi="仿宋" w:eastAsia="仿宋_GB2312"/>
          <w:b w:val="0"/>
          <w:bCs/>
          <w:sz w:val="32"/>
          <w:szCs w:val="32"/>
          <w:lang w:val="en-US" w:eastAsia="zh-CN"/>
        </w:rPr>
        <w:t>新设非金属矿业权（地下水</w:t>
      </w:r>
      <w:r>
        <w:rPr>
          <w:rFonts w:hint="eastAsia" w:ascii="仿宋_GB2312" w:hAnsi="仿宋" w:eastAsia="仿宋_GB2312"/>
          <w:b w:val="0"/>
          <w:bCs/>
          <w:sz w:val="32"/>
          <w:szCs w:val="32"/>
        </w:rPr>
        <w:t>、</w:t>
      </w:r>
      <w:r>
        <w:rPr>
          <w:rFonts w:hint="eastAsia" w:ascii="仿宋_GB2312" w:hAnsi="仿宋" w:eastAsia="仿宋_GB2312"/>
          <w:b w:val="0"/>
          <w:bCs/>
          <w:sz w:val="32"/>
          <w:szCs w:val="32"/>
          <w:lang w:val="en-US" w:eastAsia="zh-CN"/>
        </w:rPr>
        <w:t>天然</w:t>
      </w:r>
      <w:r>
        <w:rPr>
          <w:rFonts w:hint="eastAsia" w:ascii="仿宋_GB2312" w:hAnsi="仿宋" w:eastAsia="仿宋_GB2312"/>
          <w:b w:val="0"/>
          <w:bCs/>
          <w:sz w:val="32"/>
          <w:szCs w:val="32"/>
        </w:rPr>
        <w:t>矿泉水</w:t>
      </w:r>
      <w:r>
        <w:rPr>
          <w:rFonts w:hint="eastAsia" w:ascii="仿宋_GB2312" w:hAnsi="仿宋" w:eastAsia="仿宋_GB2312"/>
          <w:b w:val="0"/>
          <w:bCs/>
          <w:sz w:val="32"/>
          <w:szCs w:val="32"/>
          <w:lang w:val="en-US" w:eastAsia="zh-CN"/>
        </w:rPr>
        <w:t>除外）范围原则上不得小于0.1平方公里，特殊</w:t>
      </w:r>
      <w:r>
        <w:rPr>
          <w:rFonts w:hint="eastAsia" w:ascii="仿宋_GB2312" w:hAnsi="Calibri" w:eastAsia="仿宋_GB2312" w:cs="Times New Roman"/>
          <w:b w:val="0"/>
          <w:bCs/>
          <w:sz w:val="32"/>
          <w:szCs w:val="32"/>
          <w:lang w:val="en-US" w:eastAsia="zh-CN"/>
        </w:rPr>
        <w:t>情况需进行充分论证</w:t>
      </w:r>
      <w:r>
        <w:rPr>
          <w:rFonts w:hint="eastAsia" w:ascii="仿宋_GB2312" w:hAnsi="仿宋" w:eastAsia="仿宋_GB2312"/>
          <w:b w:val="0"/>
          <w:bCs/>
          <w:sz w:val="32"/>
          <w:szCs w:val="32"/>
          <w:lang w:val="en-US" w:eastAsia="zh-CN"/>
        </w:rPr>
        <w:t>。地下水</w:t>
      </w:r>
      <w:r>
        <w:rPr>
          <w:rFonts w:hint="eastAsia" w:ascii="仿宋_GB2312" w:hAnsi="仿宋" w:eastAsia="仿宋_GB2312"/>
          <w:b w:val="0"/>
          <w:bCs/>
          <w:sz w:val="32"/>
          <w:szCs w:val="32"/>
        </w:rPr>
        <w:t>、</w:t>
      </w:r>
      <w:r>
        <w:rPr>
          <w:rFonts w:hint="eastAsia" w:ascii="仿宋_GB2312" w:hAnsi="仿宋" w:eastAsia="仿宋_GB2312"/>
          <w:b w:val="0"/>
          <w:bCs/>
          <w:sz w:val="32"/>
          <w:szCs w:val="32"/>
          <w:lang w:val="en-US" w:eastAsia="zh-CN"/>
        </w:rPr>
        <w:t>天然</w:t>
      </w:r>
      <w:r>
        <w:rPr>
          <w:rFonts w:hint="eastAsia" w:ascii="仿宋_GB2312" w:hAnsi="仿宋" w:eastAsia="仿宋_GB2312"/>
          <w:b w:val="0"/>
          <w:bCs/>
          <w:sz w:val="32"/>
          <w:szCs w:val="32"/>
        </w:rPr>
        <w:t>矿泉水规划区块严格论证是否与相邻液体矿产矿业权或规划区块存在相互影响。除已设探矿权转采矿权、</w:t>
      </w:r>
      <w:r>
        <w:rPr>
          <w:rFonts w:hint="eastAsia" w:ascii="仿宋_GB2312" w:hAnsi="仿宋" w:eastAsia="仿宋_GB2312"/>
          <w:b w:val="0"/>
          <w:bCs/>
          <w:sz w:val="32"/>
          <w:szCs w:val="32"/>
          <w:lang w:val="en-US" w:eastAsia="zh-CN"/>
        </w:rPr>
        <w:t>地下水</w:t>
      </w:r>
      <w:r>
        <w:rPr>
          <w:rFonts w:hint="eastAsia" w:ascii="仿宋_GB2312" w:hAnsi="仿宋" w:eastAsia="仿宋_GB2312"/>
          <w:b w:val="0"/>
          <w:bCs/>
          <w:sz w:val="32"/>
          <w:szCs w:val="32"/>
        </w:rPr>
        <w:t>、</w:t>
      </w:r>
      <w:r>
        <w:rPr>
          <w:rFonts w:hint="eastAsia" w:ascii="仿宋_GB2312" w:hAnsi="仿宋" w:eastAsia="仿宋_GB2312"/>
          <w:b w:val="0"/>
          <w:bCs/>
          <w:sz w:val="32"/>
          <w:szCs w:val="32"/>
          <w:lang w:val="en-US" w:eastAsia="zh-CN"/>
        </w:rPr>
        <w:t>天然</w:t>
      </w:r>
      <w:r>
        <w:rPr>
          <w:rFonts w:hint="eastAsia" w:ascii="仿宋_GB2312" w:hAnsi="仿宋" w:eastAsia="仿宋_GB2312"/>
          <w:b w:val="0"/>
          <w:bCs/>
          <w:sz w:val="32"/>
          <w:szCs w:val="32"/>
        </w:rPr>
        <w:t>矿泉水以及国省重点建设项目所需矿产资源外，</w:t>
      </w:r>
      <w:r>
        <w:rPr>
          <w:rFonts w:hint="eastAsia" w:ascii="仿宋_GB2312" w:hAnsi="仿宋" w:eastAsia="仿宋_GB2312" w:cs="Times New Roman"/>
          <w:sz w:val="32"/>
          <w:szCs w:val="32"/>
        </w:rPr>
        <w:t>长江主要支流（大渡河）两岸</w:t>
      </w:r>
      <w:r>
        <w:rPr>
          <w:rFonts w:hint="eastAsia" w:ascii="仿宋_GB2312" w:hAnsi="仿宋" w:eastAsia="仿宋_GB2312"/>
          <w:b w:val="0"/>
          <w:bCs/>
          <w:sz w:val="32"/>
          <w:szCs w:val="32"/>
        </w:rPr>
        <w:t>1千米范围内原则上不新设非战略性矿产规划区块。</w:t>
      </w:r>
    </w:p>
    <w:p w14:paraId="443BD622">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21" w:name="_Toc25606"/>
      <w:bookmarkStart w:id="22" w:name="_Toc31368"/>
      <w:bookmarkStart w:id="23" w:name="_Toc20461"/>
      <w:r>
        <w:rPr>
          <w:rFonts w:hint="eastAsia" w:ascii="黑体" w:hAnsi="黑体" w:eastAsia="黑体" w:cs="黑体"/>
          <w:b w:val="0"/>
          <w:bCs w:val="0"/>
          <w:lang w:val="en-US" w:eastAsia="zh-CN"/>
        </w:rPr>
        <w:t>（四）巩固矿山安全生产</w:t>
      </w:r>
      <w:bookmarkEnd w:id="21"/>
      <w:bookmarkEnd w:id="22"/>
      <w:bookmarkEnd w:id="23"/>
    </w:p>
    <w:p w14:paraId="6C3EDB91">
      <w:pPr>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sz w:val="32"/>
          <w:szCs w:val="32"/>
        </w:rPr>
      </w:pPr>
      <w:r>
        <w:rPr>
          <w:rFonts w:hint="eastAsia" w:ascii="仿宋_GB2312" w:hAnsi="仿宋" w:eastAsia="仿宋_GB2312"/>
          <w:b w:val="0"/>
          <w:bCs/>
          <w:sz w:val="32"/>
          <w:szCs w:val="32"/>
          <w:lang w:val="en-US" w:eastAsia="zh-CN"/>
        </w:rPr>
        <w:t>健全完善矿山安全风险监测预警体系，统筹推进6S系统建设升级，深入开展“半边山、一面墙”专项整治，全面规范矿产资源勘查开采行为。露天矿山要边开采、边复绿，强化边坡管理；地下开采矿山原则上采用充填法采矿。强化高陡边坡露天矿等重点矿山以及生产现场安全管理，从严打击非法采矿等违法行为，严防违法采矿引发安全事故，切实维护矿产资源开发利用良好秩序。</w:t>
      </w:r>
    </w:p>
    <w:p w14:paraId="696C5D81">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24" w:name="_Toc25947"/>
      <w:bookmarkStart w:id="25" w:name="_Toc32031"/>
      <w:bookmarkStart w:id="26" w:name="_Toc28478"/>
      <w:r>
        <w:rPr>
          <w:rFonts w:hint="eastAsia"/>
          <w:sz w:val="36"/>
          <w:szCs w:val="36"/>
          <w:lang w:val="en-US" w:eastAsia="zh-CN"/>
        </w:rPr>
        <w:t>五、助力产业</w:t>
      </w:r>
      <w:bookmarkEnd w:id="24"/>
      <w:r>
        <w:rPr>
          <w:rFonts w:hint="eastAsia"/>
          <w:sz w:val="36"/>
          <w:szCs w:val="36"/>
          <w:lang w:val="en-US" w:eastAsia="zh-CN"/>
        </w:rPr>
        <w:t>高质量发展</w:t>
      </w:r>
      <w:bookmarkEnd w:id="25"/>
      <w:bookmarkEnd w:id="26"/>
    </w:p>
    <w:p w14:paraId="1A4CC1BA">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27" w:name="_Toc5180"/>
      <w:r>
        <w:rPr>
          <w:rFonts w:hint="eastAsia" w:ascii="黑体" w:hAnsi="黑体" w:eastAsia="黑体" w:cs="黑体"/>
          <w:b w:val="0"/>
          <w:bCs w:val="0"/>
          <w:lang w:val="en-US" w:eastAsia="zh-CN"/>
        </w:rPr>
        <w:t>（一）助推优势产业延链补链强链</w:t>
      </w:r>
      <w:bookmarkEnd w:id="27"/>
    </w:p>
    <w:p w14:paraId="21D4BEAB">
      <w:pPr>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sz w:val="32"/>
          <w:szCs w:val="32"/>
          <w:lang w:val="en-US" w:eastAsia="zh-CN"/>
        </w:rPr>
      </w:pPr>
      <w:r>
        <w:rPr>
          <w:rFonts w:hint="eastAsia" w:ascii="仿宋_GB2312" w:hAnsi="仿宋" w:eastAsia="仿宋_GB2312"/>
          <w:b w:val="0"/>
          <w:bCs/>
          <w:sz w:val="32"/>
          <w:szCs w:val="32"/>
          <w:lang w:val="en-US" w:eastAsia="zh-CN"/>
        </w:rPr>
        <w:t>依托马边磷矿、萤石等资源优势，以五通桥、犍为-马边等化工园区为载体，坚持绿色低碳、循环高效导向，推动磷矿资源集约开采、精深加工与综合利用一体化发展，重点培育发展磷化工、氟硅材料、新能源材料等高附加值精深加工产业，构建“链主引领、链条协同”的矿业产业发展格局，促进资源优势转化为产业胜势，聚力打造千亿级绿色化工产业集群，助力全市工业高质量转型发展。</w:t>
      </w:r>
    </w:p>
    <w:p w14:paraId="4EF06CEB">
      <w:pPr>
        <w:pageBreakBefore w:val="0"/>
        <w:widowControl/>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b w:val="0"/>
          <w:bCs/>
          <w:kern w:val="0"/>
          <w:szCs w:val="32"/>
          <w:lang w:val="en-US" w:eastAsia="zh-CN"/>
        </w:rPr>
      </w:pPr>
      <w:r>
        <w:rPr>
          <w:rFonts w:hint="eastAsia" w:ascii="仿宋_GB2312" w:hAnsi="仿宋" w:eastAsia="仿宋_GB2312"/>
          <w:b w:val="0"/>
          <w:bCs/>
          <w:kern w:val="0"/>
          <w:szCs w:val="32"/>
          <w:lang w:val="en-US" w:eastAsia="zh-CN"/>
        </w:rPr>
        <w:t>统筹推进铅锌、萤石等共伴生矿产综合勘查与开发。有序开展纤维用玄武岩资源勘查开发利用研究，推动本地优质玄武岩资源落地转化、规模化应用。</w:t>
      </w:r>
    </w:p>
    <w:p w14:paraId="5A09BCEC">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28" w:name="_Toc18514"/>
      <w:r>
        <w:rPr>
          <w:rFonts w:hint="eastAsia" w:ascii="黑体" w:hAnsi="黑体" w:eastAsia="黑体" w:cs="黑体"/>
          <w:b w:val="0"/>
          <w:bCs w:val="0"/>
          <w:lang w:val="en-US" w:eastAsia="zh-CN"/>
        </w:rPr>
        <w:t>（二）推动区域矿业开放合作</w:t>
      </w:r>
      <w:bookmarkEnd w:id="28"/>
    </w:p>
    <w:p w14:paraId="337DD139">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仿宋_GB2312" w:hAnsi="仿宋" w:eastAsia="仿宋_GB2312"/>
          <w:b w:val="0"/>
          <w:bCs/>
          <w:sz w:val="32"/>
          <w:szCs w:val="32"/>
          <w:lang w:val="en-US" w:eastAsia="zh-CN"/>
        </w:rPr>
      </w:pPr>
      <w:r>
        <w:rPr>
          <w:rFonts w:hint="eastAsia" w:ascii="仿宋_GB2312" w:hAnsi="仿宋" w:eastAsia="仿宋_GB2312"/>
          <w:b/>
          <w:bCs w:val="0"/>
          <w:sz w:val="32"/>
          <w:szCs w:val="32"/>
          <w:lang w:val="en-US" w:eastAsia="zh-CN"/>
        </w:rPr>
        <w:t>加强飞地园区合作。</w:t>
      </w:r>
      <w:r>
        <w:rPr>
          <w:rFonts w:hint="eastAsia" w:ascii="仿宋_GB2312" w:hAnsi="仿宋" w:eastAsia="仿宋_GB2312"/>
          <w:b w:val="0"/>
          <w:bCs/>
          <w:sz w:val="32"/>
          <w:szCs w:val="32"/>
          <w:lang w:val="en-US" w:eastAsia="zh-CN"/>
        </w:rPr>
        <w:t>依托马边磷矿资源禀赋，</w:t>
      </w:r>
      <w:r>
        <w:rPr>
          <w:rFonts w:hint="eastAsia" w:ascii="仿宋_GB2312" w:hAnsi="仿宋" w:eastAsia="仿宋_GB2312"/>
          <w:b w:val="0"/>
          <w:bCs/>
          <w:kern w:val="0"/>
          <w:szCs w:val="32"/>
          <w:lang w:val="en-US" w:eastAsia="zh-CN"/>
        </w:rPr>
        <w:t>推动资源、产业、资金等要素跨区域优化配置，</w:t>
      </w:r>
      <w:r>
        <w:rPr>
          <w:rFonts w:hint="eastAsia" w:ascii="仿宋_GB2312" w:hAnsi="仿宋" w:eastAsia="仿宋_GB2312"/>
          <w:b w:val="0"/>
          <w:bCs/>
          <w:sz w:val="32"/>
          <w:szCs w:val="32"/>
          <w:lang w:val="en-US" w:eastAsia="zh-CN"/>
        </w:rPr>
        <w:t>联动犍为经开区共建飞地产业园。统筹资源开采与异地精深加工布局，破解本地产业承载短板，延伸新能源磷化工等高附加值产业链，以飞地模式补齐加工短板，带动欠发达地区矿业延链增值。</w:t>
      </w:r>
    </w:p>
    <w:p w14:paraId="37BA9CDC">
      <w:pPr>
        <w:pageBreakBefore w:val="0"/>
        <w:widowControl w:val="0"/>
        <w:kinsoku/>
        <w:wordWrap/>
        <w:overflowPunct/>
        <w:topLinePunct w:val="0"/>
        <w:autoSpaceDE/>
        <w:autoSpaceDN/>
        <w:bidi w:val="0"/>
        <w:adjustRightInd/>
        <w:snapToGrid/>
        <w:spacing w:line="560" w:lineRule="exact"/>
        <w:ind w:firstLine="643"/>
        <w:textAlignment w:val="auto"/>
        <w:rPr>
          <w:rFonts w:hint="eastAsia" w:ascii="仿宋_GB2312" w:hAnsi="仿宋" w:eastAsia="仿宋_GB2312"/>
          <w:b w:val="0"/>
          <w:bCs/>
          <w:kern w:val="0"/>
          <w:szCs w:val="32"/>
          <w:lang w:val="en-US" w:eastAsia="zh-CN"/>
        </w:rPr>
      </w:pPr>
      <w:r>
        <w:rPr>
          <w:rFonts w:hint="eastAsia" w:ascii="仿宋_GB2312" w:hAnsi="仿宋" w:eastAsia="仿宋_GB2312"/>
          <w:b w:val="0"/>
          <w:bCs/>
          <w:kern w:val="0"/>
          <w:szCs w:val="32"/>
          <w:lang w:val="en-US" w:eastAsia="zh-CN"/>
        </w:rPr>
        <w:t>加强与宜宾屏山县跨界区域矿业协同，重点推进马边-屏山、马边-沐川交界页岩气区块联合开发，妥善处理跨行政区矿权边界、资源开发矛盾。积极对接成渝双城经济圈新材料、新能源产业需求，围绕新能源材料、绿色化工、玄武岩纤维、页岩气综合利用开展产业招商合作。引进成渝地区科研院所、矿业龙头企业落地勘查开发、尾矿综合利用、矿山固废资源化项目。</w:t>
      </w:r>
    </w:p>
    <w:p w14:paraId="0B32B48D">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eastAsia"/>
          <w:sz w:val="36"/>
          <w:szCs w:val="36"/>
          <w:lang w:val="en-US" w:eastAsia="zh-CN"/>
        </w:rPr>
      </w:pPr>
      <w:bookmarkStart w:id="29" w:name="_Toc15930"/>
      <w:bookmarkStart w:id="30" w:name="_Toc32148"/>
      <w:r>
        <w:rPr>
          <w:rFonts w:hint="eastAsia"/>
          <w:sz w:val="36"/>
          <w:szCs w:val="36"/>
          <w:lang w:val="en-US" w:eastAsia="zh-CN"/>
        </w:rPr>
        <w:t>六、矿业绿色安全发展</w:t>
      </w:r>
      <w:bookmarkEnd w:id="29"/>
      <w:bookmarkEnd w:id="30"/>
    </w:p>
    <w:p w14:paraId="70A92337">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31" w:name="_Toc31718"/>
      <w:bookmarkStart w:id="32" w:name="_Toc11765"/>
      <w:bookmarkStart w:id="33" w:name="_Toc31027"/>
      <w:r>
        <w:rPr>
          <w:rFonts w:hint="eastAsia" w:ascii="黑体" w:hAnsi="黑体" w:eastAsia="黑体" w:cs="黑体"/>
          <w:b w:val="0"/>
          <w:bCs w:val="0"/>
          <w:lang w:val="en-US" w:eastAsia="zh-CN"/>
        </w:rPr>
        <w:t>（一）积极推行绿色勘查</w:t>
      </w:r>
      <w:bookmarkEnd w:id="31"/>
      <w:bookmarkEnd w:id="32"/>
      <w:bookmarkEnd w:id="33"/>
    </w:p>
    <w:p w14:paraId="63E847BA">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lang w:val="en-US" w:eastAsia="zh-CN"/>
        </w:rPr>
        <w:t>强化</w:t>
      </w:r>
      <w:r>
        <w:rPr>
          <w:rFonts w:hint="eastAsia" w:ascii="仿宋_GB2312" w:hAnsi="仿宋" w:eastAsia="仿宋_GB2312"/>
          <w:b/>
          <w:bCs/>
          <w:sz w:val="32"/>
          <w:szCs w:val="32"/>
        </w:rPr>
        <w:t>勘查技术创新与应用。</w:t>
      </w:r>
      <w:r>
        <w:rPr>
          <w:rFonts w:hint="eastAsia" w:ascii="仿宋_GB2312" w:hAnsi="仿宋" w:eastAsia="仿宋_GB2312"/>
          <w:sz w:val="32"/>
          <w:szCs w:val="32"/>
        </w:rPr>
        <w:t>严格落实</w:t>
      </w:r>
      <w:r>
        <w:rPr>
          <w:rFonts w:hint="eastAsia" w:ascii="仿宋_GB2312" w:hAnsi="仿宋" w:eastAsia="仿宋_GB2312"/>
          <w:sz w:val="32"/>
          <w:szCs w:val="32"/>
          <w:lang w:val="en-US" w:eastAsia="zh-CN"/>
        </w:rPr>
        <w:t>绿色地质勘查规范标准</w:t>
      </w:r>
      <w:r>
        <w:rPr>
          <w:rFonts w:hint="eastAsia" w:ascii="仿宋_GB2312" w:hAnsi="仿宋" w:eastAsia="仿宋_GB2312"/>
          <w:sz w:val="32"/>
          <w:szCs w:val="32"/>
        </w:rPr>
        <w:t>，优先采用无人机遥感、高精度物探、数字化测绘、无损探测等低扰动、高效率、非接触式勘查技术</w:t>
      </w:r>
      <w:r>
        <w:rPr>
          <w:rFonts w:hint="eastAsia" w:ascii="仿宋_GB2312" w:hAnsi="仿宋" w:eastAsia="仿宋_GB2312"/>
          <w:sz w:val="32"/>
          <w:szCs w:val="32"/>
          <w:lang w:eastAsia="zh-CN"/>
        </w:rPr>
        <w:t>，在</w:t>
      </w:r>
      <w:r>
        <w:rPr>
          <w:rFonts w:hint="eastAsia" w:ascii="仿宋_GB2312" w:hAnsi="仿宋" w:eastAsia="仿宋_GB2312"/>
          <w:sz w:val="32"/>
          <w:szCs w:val="32"/>
        </w:rPr>
        <w:t>林区、生态敏感区全面推行</w:t>
      </w:r>
      <w:r>
        <w:rPr>
          <w:rFonts w:hint="eastAsia" w:ascii="仿宋_GB2312" w:hAnsi="仿宋" w:eastAsia="仿宋_GB2312"/>
          <w:sz w:val="32"/>
          <w:szCs w:val="32"/>
          <w:lang w:eastAsia="zh-CN"/>
        </w:rPr>
        <w:t>“</w:t>
      </w:r>
      <w:r>
        <w:rPr>
          <w:rFonts w:hint="eastAsia" w:ascii="仿宋_GB2312" w:hAnsi="仿宋" w:eastAsia="仿宋_GB2312"/>
          <w:sz w:val="32"/>
          <w:szCs w:val="32"/>
        </w:rPr>
        <w:t>以钻代槽</w:t>
      </w:r>
      <w:r>
        <w:rPr>
          <w:rFonts w:hint="eastAsia" w:ascii="仿宋_GB2312" w:hAnsi="仿宋" w:eastAsia="仿宋_GB2312"/>
          <w:sz w:val="32"/>
          <w:szCs w:val="32"/>
          <w:lang w:eastAsia="zh-CN"/>
        </w:rPr>
        <w:t>”“</w:t>
      </w:r>
      <w:r>
        <w:rPr>
          <w:rFonts w:hint="eastAsia" w:ascii="仿宋_GB2312" w:hAnsi="仿宋" w:eastAsia="仿宋_GB2312"/>
          <w:sz w:val="32"/>
          <w:szCs w:val="32"/>
        </w:rPr>
        <w:t>一基多孔</w:t>
      </w:r>
      <w:r>
        <w:rPr>
          <w:rFonts w:hint="eastAsia" w:ascii="仿宋_GB2312" w:hAnsi="仿宋" w:eastAsia="仿宋_GB2312"/>
          <w:sz w:val="32"/>
          <w:szCs w:val="32"/>
          <w:lang w:eastAsia="zh-CN"/>
        </w:rPr>
        <w:t>”、</w:t>
      </w:r>
      <w:r>
        <w:rPr>
          <w:rFonts w:hint="eastAsia" w:ascii="仿宋_GB2312" w:hAnsi="仿宋" w:eastAsia="仿宋_GB2312"/>
          <w:sz w:val="32"/>
          <w:szCs w:val="32"/>
        </w:rPr>
        <w:t>定向钻等先进技术</w:t>
      </w:r>
      <w:r>
        <w:rPr>
          <w:rFonts w:hint="eastAsia" w:ascii="仿宋_GB2312" w:hAnsi="仿宋" w:eastAsia="仿宋_GB2312"/>
          <w:sz w:val="32"/>
          <w:szCs w:val="32"/>
          <w:lang w:val="en-US" w:eastAsia="zh-CN"/>
        </w:rPr>
        <w:t>设备</w:t>
      </w:r>
      <w:r>
        <w:rPr>
          <w:rFonts w:hint="eastAsia" w:ascii="仿宋_GB2312" w:hAnsi="仿宋" w:eastAsia="仿宋_GB2312"/>
          <w:sz w:val="32"/>
          <w:szCs w:val="32"/>
        </w:rPr>
        <w:t>，最大限度降低地质勘查活动对环境的扰动，对造成的生态环境破坏及时开展生态修复。</w:t>
      </w:r>
    </w:p>
    <w:p w14:paraId="2028455D">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bCs/>
          <w:sz w:val="32"/>
          <w:szCs w:val="32"/>
          <w:lang w:val="en-US" w:eastAsia="zh-CN"/>
        </w:rPr>
      </w:pPr>
      <w:r>
        <w:rPr>
          <w:rFonts w:hint="eastAsia" w:ascii="仿宋_GB2312" w:hAnsi="仿宋" w:eastAsia="仿宋_GB2312"/>
          <w:b/>
          <w:bCs/>
          <w:sz w:val="32"/>
          <w:szCs w:val="32"/>
        </w:rPr>
        <w:t>严格绿色勘查管理。</w:t>
      </w:r>
      <w:r>
        <w:rPr>
          <w:rFonts w:hint="eastAsia" w:ascii="仿宋_GB2312" w:hAnsi="仿宋" w:eastAsia="仿宋_GB2312"/>
          <w:b w:val="0"/>
          <w:bCs w:val="0"/>
          <w:sz w:val="32"/>
          <w:szCs w:val="32"/>
        </w:rPr>
        <w:t>按照绿色地质勘查工作相关要求，</w:t>
      </w:r>
      <w:r>
        <w:rPr>
          <w:rFonts w:hint="eastAsia" w:ascii="仿宋_GB2312" w:hAnsi="仿宋" w:eastAsia="仿宋_GB2312"/>
          <w:b w:val="0"/>
          <w:bCs w:val="0"/>
          <w:sz w:val="32"/>
          <w:szCs w:val="32"/>
          <w:lang w:val="en-US" w:eastAsia="zh-CN"/>
        </w:rPr>
        <w:t>坚持</w:t>
      </w:r>
      <w:r>
        <w:rPr>
          <w:rFonts w:hint="eastAsia" w:ascii="仿宋_GB2312" w:hAnsi="仿宋" w:eastAsia="仿宋_GB2312"/>
          <w:b w:val="0"/>
          <w:bCs w:val="0"/>
          <w:sz w:val="32"/>
          <w:szCs w:val="32"/>
          <w:lang w:eastAsia="zh-CN"/>
        </w:rPr>
        <w:t>“</w:t>
      </w:r>
      <w:r>
        <w:rPr>
          <w:rFonts w:hint="eastAsia" w:ascii="仿宋_GB2312" w:hAnsi="仿宋" w:eastAsia="仿宋_GB2312"/>
          <w:b w:val="0"/>
          <w:bCs w:val="0"/>
          <w:sz w:val="32"/>
          <w:szCs w:val="32"/>
        </w:rPr>
        <w:t>谁勘查、谁负责，谁破坏、谁治理</w:t>
      </w:r>
      <w:r>
        <w:rPr>
          <w:rFonts w:hint="eastAsia" w:ascii="仿宋_GB2312" w:hAnsi="仿宋" w:eastAsia="仿宋_GB2312"/>
          <w:b w:val="0"/>
          <w:bCs w:val="0"/>
          <w:sz w:val="32"/>
          <w:szCs w:val="32"/>
          <w:lang w:eastAsia="zh-CN"/>
        </w:rPr>
        <w:t>”</w:t>
      </w:r>
      <w:r>
        <w:rPr>
          <w:rFonts w:hint="eastAsia" w:ascii="仿宋_GB2312" w:hAnsi="仿宋" w:eastAsia="仿宋_GB2312"/>
          <w:b w:val="0"/>
          <w:bCs w:val="0"/>
          <w:sz w:val="32"/>
          <w:szCs w:val="32"/>
        </w:rPr>
        <w:t>原则，积极推进绿色勘查监督管理，执行绿色勘查生态环境保护、生态修复等规章制度和保护措施，将绿色勘查理念、要求和责任贯穿勘查项目设置、实施方案审查、施工过程管理、监督检查、项目验收等全过程各环节，使绿色勘查工作责任明晰、措施落地。强化地勘单位监管与培训，建立绿色勘查信用档案，实现资源勘探与生态保护协同推进</w:t>
      </w:r>
      <w:r>
        <w:rPr>
          <w:rFonts w:hint="eastAsia" w:ascii="仿宋_GB2312" w:hAnsi="仿宋" w:eastAsia="仿宋_GB2312"/>
          <w:b w:val="0"/>
          <w:bCs w:val="0"/>
          <w:sz w:val="32"/>
          <w:szCs w:val="32"/>
          <w:lang w:eastAsia="zh-CN"/>
        </w:rPr>
        <w:t>。</w:t>
      </w:r>
    </w:p>
    <w:p w14:paraId="6338982C">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34" w:name="_Toc2893"/>
      <w:bookmarkStart w:id="35" w:name="_Toc32316"/>
      <w:bookmarkStart w:id="36" w:name="_Toc17489"/>
      <w:r>
        <w:rPr>
          <w:rFonts w:hint="eastAsia" w:ascii="黑体" w:hAnsi="黑体" w:eastAsia="黑体" w:cs="黑体"/>
          <w:b w:val="0"/>
          <w:bCs w:val="0"/>
          <w:lang w:val="en-US" w:eastAsia="zh-CN"/>
        </w:rPr>
        <w:t>（二）强化资源集约利用</w:t>
      </w:r>
      <w:bookmarkEnd w:id="34"/>
      <w:bookmarkEnd w:id="35"/>
      <w:bookmarkEnd w:id="36"/>
    </w:p>
    <w:p w14:paraId="2F44F4ED">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sz w:val="32"/>
          <w:szCs w:val="32"/>
          <w:lang w:eastAsia="zh-CN"/>
        </w:rPr>
      </w:pPr>
      <w:r>
        <w:rPr>
          <w:rFonts w:hint="eastAsia" w:ascii="仿宋_GB2312" w:hAnsi="仿宋" w:eastAsia="仿宋_GB2312"/>
          <w:b/>
          <w:bCs/>
          <w:sz w:val="32"/>
          <w:szCs w:val="32"/>
        </w:rPr>
        <w:t>加强先进适用技术</w:t>
      </w:r>
      <w:r>
        <w:rPr>
          <w:rFonts w:hint="eastAsia" w:ascii="仿宋_GB2312" w:hAnsi="仿宋" w:eastAsia="仿宋_GB2312"/>
          <w:b/>
          <w:bCs/>
          <w:sz w:val="32"/>
          <w:szCs w:val="32"/>
          <w:lang w:val="en-US" w:eastAsia="zh-CN"/>
        </w:rPr>
        <w:t>推广</w:t>
      </w:r>
      <w:r>
        <w:rPr>
          <w:rFonts w:hint="eastAsia" w:ascii="仿宋_GB2312" w:hAnsi="仿宋" w:eastAsia="仿宋_GB2312"/>
          <w:b/>
          <w:bCs/>
          <w:sz w:val="32"/>
          <w:szCs w:val="32"/>
        </w:rPr>
        <w:t>应用。</w:t>
      </w:r>
      <w:r>
        <w:rPr>
          <w:rFonts w:hint="eastAsia" w:ascii="仿宋_GB2312" w:hAnsi="仿宋" w:eastAsia="仿宋_GB2312"/>
          <w:sz w:val="32"/>
          <w:szCs w:val="32"/>
        </w:rPr>
        <w:t>严格落实矿山禁止使用的设备及工艺目录相关要求，严禁露天矿山</w:t>
      </w:r>
      <w:r>
        <w:rPr>
          <w:rFonts w:hint="eastAsia" w:ascii="仿宋_GB2312" w:hAnsi="仿宋" w:eastAsia="仿宋_GB2312"/>
          <w:sz w:val="32"/>
          <w:szCs w:val="32"/>
          <w:lang w:eastAsia="zh-CN"/>
        </w:rPr>
        <w:t>“</w:t>
      </w:r>
      <w:r>
        <w:rPr>
          <w:rFonts w:hint="eastAsia" w:ascii="仿宋_GB2312" w:hAnsi="仿宋" w:eastAsia="仿宋_GB2312"/>
          <w:sz w:val="32"/>
          <w:szCs w:val="32"/>
        </w:rPr>
        <w:t>一面墙</w:t>
      </w:r>
      <w:r>
        <w:rPr>
          <w:rFonts w:hint="eastAsia" w:ascii="仿宋_GB2312" w:hAnsi="仿宋" w:eastAsia="仿宋_GB2312"/>
          <w:sz w:val="32"/>
          <w:szCs w:val="32"/>
          <w:lang w:eastAsia="zh-CN"/>
        </w:rPr>
        <w:t>”</w:t>
      </w:r>
      <w:r>
        <w:rPr>
          <w:rFonts w:hint="eastAsia" w:ascii="仿宋_GB2312" w:hAnsi="仿宋" w:eastAsia="仿宋_GB2312"/>
          <w:sz w:val="32"/>
          <w:szCs w:val="32"/>
        </w:rPr>
        <w:t>开采，规范实施自上而下台阶式开采，</w:t>
      </w:r>
      <w:r>
        <w:rPr>
          <w:rFonts w:hint="eastAsia" w:ascii="仿宋_GB2312" w:hAnsi="仿宋" w:eastAsia="仿宋_GB2312"/>
          <w:sz w:val="32"/>
          <w:szCs w:val="32"/>
          <w:lang w:val="en-US" w:eastAsia="zh-CN"/>
        </w:rPr>
        <w:t>各类</w:t>
      </w:r>
      <w:r>
        <w:rPr>
          <w:rFonts w:hint="eastAsia" w:ascii="仿宋_GB2312" w:hAnsi="仿宋" w:eastAsia="仿宋_GB2312"/>
          <w:sz w:val="32"/>
          <w:szCs w:val="32"/>
        </w:rPr>
        <w:t>地下矿山优先选用充填采矿法</w:t>
      </w:r>
      <w:r>
        <w:rPr>
          <w:rFonts w:hint="eastAsia" w:ascii="仿宋_GB2312" w:hAnsi="仿宋" w:eastAsia="仿宋_GB2312"/>
          <w:sz w:val="32"/>
          <w:szCs w:val="32"/>
          <w:lang w:eastAsia="zh-CN"/>
        </w:rPr>
        <w:t>，</w:t>
      </w:r>
      <w:r>
        <w:rPr>
          <w:rFonts w:hint="eastAsia" w:ascii="仿宋_GB2312" w:hAnsi="仿宋" w:eastAsia="仿宋_GB2312"/>
          <w:sz w:val="32"/>
          <w:szCs w:val="32"/>
        </w:rPr>
        <w:t>推动无尾排放，确无法采用的，须结合地质条件</w:t>
      </w:r>
      <w:r>
        <w:rPr>
          <w:rFonts w:hint="eastAsia" w:ascii="仿宋_GB2312" w:hAnsi="仿宋" w:eastAsia="仿宋_GB2312"/>
          <w:sz w:val="32"/>
          <w:szCs w:val="32"/>
          <w:lang w:val="en-US" w:eastAsia="zh-CN"/>
        </w:rPr>
        <w:t>充分</w:t>
      </w:r>
      <w:r>
        <w:rPr>
          <w:rFonts w:hint="eastAsia" w:ascii="仿宋_GB2312" w:hAnsi="仿宋" w:eastAsia="仿宋_GB2312"/>
          <w:sz w:val="32"/>
          <w:szCs w:val="32"/>
        </w:rPr>
        <w:t>论证。积极推广并应用《矿产资源节约和综合利用先进适用技术目录》，推介适配本地矿业发展的新技术、新工艺、新装备</w:t>
      </w:r>
      <w:r>
        <w:rPr>
          <w:rFonts w:hint="eastAsia" w:ascii="仿宋_GB2312" w:hAnsi="仿宋" w:eastAsia="仿宋_GB2312"/>
          <w:sz w:val="32"/>
          <w:szCs w:val="32"/>
          <w:lang w:eastAsia="zh-CN"/>
        </w:rPr>
        <w:t>。</w:t>
      </w:r>
    </w:p>
    <w:p w14:paraId="452AAC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提高矿产资源</w:t>
      </w:r>
      <w:r>
        <w:rPr>
          <w:rFonts w:hint="eastAsia" w:ascii="仿宋_GB2312" w:hAnsi="仿宋" w:eastAsia="仿宋_GB2312"/>
          <w:b/>
          <w:bCs/>
          <w:sz w:val="32"/>
          <w:szCs w:val="32"/>
          <w:lang w:eastAsia="zh-CN"/>
        </w:rPr>
        <w:t>“</w:t>
      </w:r>
      <w:r>
        <w:rPr>
          <w:rFonts w:hint="eastAsia" w:ascii="仿宋_GB2312" w:hAnsi="仿宋" w:eastAsia="仿宋_GB2312"/>
          <w:b/>
          <w:bCs/>
          <w:sz w:val="32"/>
          <w:szCs w:val="32"/>
        </w:rPr>
        <w:t>三率</w:t>
      </w:r>
      <w:r>
        <w:rPr>
          <w:rFonts w:hint="eastAsia" w:ascii="仿宋_GB2312" w:hAnsi="仿宋" w:eastAsia="仿宋_GB2312"/>
          <w:b/>
          <w:bCs/>
          <w:sz w:val="32"/>
          <w:szCs w:val="32"/>
          <w:lang w:eastAsia="zh-CN"/>
        </w:rPr>
        <w:t>”</w:t>
      </w:r>
      <w:r>
        <w:rPr>
          <w:rFonts w:hint="eastAsia" w:ascii="仿宋_GB2312" w:hAnsi="仿宋" w:eastAsia="仿宋_GB2312"/>
          <w:b/>
          <w:bCs/>
          <w:sz w:val="32"/>
          <w:szCs w:val="32"/>
        </w:rPr>
        <w:t>水平。</w:t>
      </w:r>
      <w:r>
        <w:rPr>
          <w:rFonts w:hint="eastAsia" w:ascii="仿宋_GB2312" w:hAnsi="仿宋" w:eastAsia="仿宋_GB2312"/>
          <w:sz w:val="32"/>
          <w:szCs w:val="32"/>
        </w:rPr>
        <w:t>依托矿业权人勘查开采信息管理系统公开数据，精准</w:t>
      </w:r>
      <w:r>
        <w:rPr>
          <w:rFonts w:hint="eastAsia" w:ascii="仿宋_GB2312" w:hAnsi="仿宋" w:eastAsia="仿宋_GB2312"/>
          <w:sz w:val="32"/>
          <w:szCs w:val="32"/>
          <w:lang w:val="en-US" w:eastAsia="zh-CN"/>
        </w:rPr>
        <w:t>掌握</w:t>
      </w:r>
      <w:r>
        <w:rPr>
          <w:rFonts w:hint="eastAsia" w:ascii="仿宋_GB2312" w:hAnsi="仿宋" w:eastAsia="仿宋_GB2312"/>
          <w:sz w:val="32"/>
          <w:szCs w:val="32"/>
        </w:rPr>
        <w:t>全</w:t>
      </w:r>
      <w:r>
        <w:rPr>
          <w:rFonts w:hint="eastAsia" w:ascii="仿宋_GB2312" w:hAnsi="仿宋" w:eastAsia="仿宋_GB2312"/>
          <w:sz w:val="32"/>
          <w:szCs w:val="32"/>
          <w:lang w:val="en-US" w:eastAsia="zh-CN"/>
        </w:rPr>
        <w:t>县</w:t>
      </w:r>
      <w:r>
        <w:rPr>
          <w:rFonts w:hint="eastAsia" w:ascii="仿宋_GB2312" w:hAnsi="仿宋" w:eastAsia="仿宋_GB2312"/>
          <w:sz w:val="32"/>
          <w:szCs w:val="32"/>
        </w:rPr>
        <w:t>生产矿山</w:t>
      </w:r>
      <w:r>
        <w:rPr>
          <w:rFonts w:hint="eastAsia" w:ascii="仿宋_GB2312" w:hAnsi="仿宋" w:eastAsia="仿宋_GB2312"/>
          <w:sz w:val="32"/>
          <w:szCs w:val="32"/>
          <w:lang w:eastAsia="zh-CN"/>
        </w:rPr>
        <w:t>“</w:t>
      </w:r>
      <w:r>
        <w:rPr>
          <w:rFonts w:hint="eastAsia" w:ascii="仿宋_GB2312" w:hAnsi="仿宋" w:eastAsia="仿宋_GB2312"/>
          <w:sz w:val="32"/>
          <w:szCs w:val="32"/>
        </w:rPr>
        <w:t>三率</w:t>
      </w:r>
      <w:r>
        <w:rPr>
          <w:rFonts w:hint="eastAsia" w:ascii="仿宋_GB2312" w:hAnsi="仿宋" w:eastAsia="仿宋_GB2312"/>
          <w:sz w:val="32"/>
          <w:szCs w:val="32"/>
          <w:lang w:eastAsia="zh-CN"/>
        </w:rPr>
        <w:t>”</w:t>
      </w:r>
      <w:r>
        <w:rPr>
          <w:rFonts w:hint="eastAsia" w:ascii="仿宋_GB2312" w:hAnsi="仿宋" w:eastAsia="仿宋_GB2312"/>
          <w:sz w:val="32"/>
          <w:szCs w:val="32"/>
        </w:rPr>
        <w:t>底数，落实常态化矿产资源开发利用水平调查评估制度，强化调查评估成果转化运用，落实矿产资源开发利用激励与约束管控措施，倒逼矿山企业规范生产、提质增效。严格新建矿山准入管控，严格执行国家</w:t>
      </w:r>
      <w:r>
        <w:rPr>
          <w:rFonts w:hint="eastAsia" w:ascii="仿宋_GB2312" w:hAnsi="仿宋" w:eastAsia="仿宋_GB2312"/>
          <w:sz w:val="32"/>
          <w:szCs w:val="32"/>
          <w:lang w:eastAsia="zh-CN"/>
        </w:rPr>
        <w:t>“</w:t>
      </w:r>
      <w:r>
        <w:rPr>
          <w:rFonts w:hint="eastAsia" w:ascii="仿宋_GB2312" w:hAnsi="仿宋" w:eastAsia="仿宋_GB2312"/>
          <w:sz w:val="32"/>
          <w:szCs w:val="32"/>
        </w:rPr>
        <w:t>三率</w:t>
      </w:r>
      <w:r>
        <w:rPr>
          <w:rFonts w:hint="eastAsia" w:ascii="仿宋_GB2312" w:hAnsi="仿宋" w:eastAsia="仿宋_GB2312"/>
          <w:sz w:val="32"/>
          <w:szCs w:val="32"/>
          <w:lang w:eastAsia="zh-CN"/>
        </w:rPr>
        <w:t>”</w:t>
      </w:r>
      <w:r>
        <w:rPr>
          <w:rFonts w:hint="eastAsia" w:ascii="仿宋_GB2312" w:hAnsi="仿宋" w:eastAsia="仿宋_GB2312"/>
          <w:sz w:val="32"/>
          <w:szCs w:val="32"/>
        </w:rPr>
        <w:t>最低标准，按照获批开发利用方案的</w:t>
      </w:r>
      <w:r>
        <w:rPr>
          <w:rFonts w:hint="eastAsia" w:ascii="仿宋_GB2312" w:hAnsi="仿宋" w:eastAsia="仿宋_GB2312"/>
          <w:sz w:val="32"/>
          <w:szCs w:val="32"/>
          <w:lang w:eastAsia="zh-CN"/>
        </w:rPr>
        <w:t>“</w:t>
      </w:r>
      <w:r>
        <w:rPr>
          <w:rFonts w:hint="eastAsia" w:ascii="仿宋_GB2312" w:hAnsi="仿宋" w:eastAsia="仿宋_GB2312"/>
          <w:sz w:val="32"/>
          <w:szCs w:val="32"/>
        </w:rPr>
        <w:t>三率</w:t>
      </w:r>
      <w:r>
        <w:rPr>
          <w:rFonts w:hint="eastAsia" w:ascii="仿宋_GB2312" w:hAnsi="仿宋" w:eastAsia="仿宋_GB2312"/>
          <w:sz w:val="32"/>
          <w:szCs w:val="32"/>
          <w:lang w:eastAsia="zh-CN"/>
        </w:rPr>
        <w:t>”</w:t>
      </w:r>
      <w:r>
        <w:rPr>
          <w:rFonts w:hint="eastAsia" w:ascii="仿宋_GB2312" w:hAnsi="仿宋" w:eastAsia="仿宋_GB2312"/>
          <w:sz w:val="32"/>
          <w:szCs w:val="32"/>
        </w:rPr>
        <w:t>设计指标开展建设和生产运营，从源头夯实资源高效利用基础。引导和鼓励矿山企业加大科技研发与技改投入，积极引进、研发和推广先进适用的采矿、选矿及资源综合利用新技术、新工艺、新装备，持续提升矿山规模化、集约化、高效化开发水平。</w:t>
      </w:r>
    </w:p>
    <w:p w14:paraId="66B4995E">
      <w:pPr>
        <w:pageBreakBefore w:val="0"/>
        <w:widowControl w:val="0"/>
        <w:kinsoku/>
        <w:wordWrap/>
        <w:overflowPunct/>
        <w:topLinePunct w:val="0"/>
        <w:autoSpaceDE/>
        <w:autoSpaceDN/>
        <w:bidi w:val="0"/>
        <w:adjustRightInd/>
        <w:snapToGrid/>
        <w:spacing w:line="560" w:lineRule="exact"/>
        <w:ind w:firstLine="643"/>
        <w:textAlignment w:val="auto"/>
        <w:rPr>
          <w:rFonts w:ascii="仿宋_GB2312" w:hAnsi="仿宋" w:eastAsia="仿宋_GB2312"/>
          <w:kern w:val="0"/>
          <w:szCs w:val="32"/>
        </w:rPr>
      </w:pPr>
      <w:r>
        <w:rPr>
          <w:rFonts w:hint="eastAsia" w:ascii="仿宋_GB2312" w:hAnsi="Calibri" w:eastAsia="仿宋_GB2312" w:cs="Times New Roman"/>
          <w:b/>
          <w:sz w:val="32"/>
          <w:szCs w:val="32"/>
        </w:rPr>
        <w:t>推进固体废弃物综合</w:t>
      </w:r>
      <w:r>
        <w:rPr>
          <w:rFonts w:hint="eastAsia" w:ascii="仿宋_GB2312" w:hAnsi="Calibri" w:eastAsia="仿宋_GB2312" w:cs="Times New Roman"/>
          <w:b/>
          <w:sz w:val="32"/>
          <w:szCs w:val="32"/>
          <w:lang w:val="en-US" w:eastAsia="zh-CN"/>
        </w:rPr>
        <w:t>循环</w:t>
      </w:r>
      <w:r>
        <w:rPr>
          <w:rFonts w:hint="eastAsia" w:ascii="仿宋_GB2312" w:hAnsi="Calibri" w:eastAsia="仿宋_GB2312" w:cs="Times New Roman"/>
          <w:b/>
          <w:sz w:val="32"/>
          <w:szCs w:val="32"/>
        </w:rPr>
        <w:t>利用。</w:t>
      </w:r>
      <w:r>
        <w:rPr>
          <w:rFonts w:hint="eastAsia" w:ascii="仿宋_GB2312" w:hAnsi="Calibri" w:eastAsia="仿宋_GB2312" w:cs="Times New Roman"/>
          <w:sz w:val="32"/>
          <w:szCs w:val="32"/>
        </w:rPr>
        <w:t>重点开展</w:t>
      </w:r>
      <w:r>
        <w:rPr>
          <w:rFonts w:hint="eastAsia" w:ascii="仿宋_GB2312" w:hAnsi="仿宋" w:eastAsia="仿宋_GB2312"/>
          <w:kern w:val="0"/>
          <w:szCs w:val="32"/>
          <w:lang w:val="en-US" w:eastAsia="zh-CN"/>
        </w:rPr>
        <w:t>磷矿</w:t>
      </w:r>
      <w:r>
        <w:rPr>
          <w:rFonts w:hint="eastAsia" w:ascii="仿宋_GB2312" w:hAnsi="Calibri" w:eastAsia="仿宋_GB2312" w:cs="Times New Roman"/>
          <w:sz w:val="32"/>
          <w:szCs w:val="32"/>
          <w:lang w:val="en-US" w:eastAsia="zh-CN"/>
        </w:rPr>
        <w:t>等矿山</w:t>
      </w:r>
      <w:r>
        <w:rPr>
          <w:rFonts w:hint="eastAsia" w:ascii="仿宋_GB2312" w:hAnsi="Calibri" w:eastAsia="仿宋_GB2312" w:cs="Times New Roman"/>
          <w:sz w:val="32"/>
          <w:szCs w:val="32"/>
        </w:rPr>
        <w:t>固体废弃物的综合利用</w:t>
      </w:r>
      <w:r>
        <w:rPr>
          <w:rFonts w:hint="eastAsia" w:ascii="仿宋_GB2312" w:hAnsi="Calibri" w:eastAsia="仿宋_GB2312" w:cs="Times New Roman"/>
          <w:sz w:val="32"/>
          <w:szCs w:val="32"/>
          <w:lang w:eastAsia="zh-CN"/>
        </w:rPr>
        <w:t>，</w:t>
      </w:r>
      <w:r>
        <w:rPr>
          <w:rFonts w:hint="eastAsia" w:ascii="仿宋_GB2312" w:hAnsi="Calibri" w:eastAsia="仿宋_GB2312" w:cs="Times New Roman"/>
          <w:sz w:val="32"/>
          <w:szCs w:val="32"/>
          <w:lang w:val="en-US" w:eastAsia="zh-CN"/>
        </w:rPr>
        <w:t>鼓励</w:t>
      </w:r>
      <w:r>
        <w:rPr>
          <w:rFonts w:hint="eastAsia" w:ascii="仿宋_GB2312" w:hAnsi="仿宋" w:eastAsia="仿宋_GB2312"/>
          <w:kern w:val="0"/>
          <w:szCs w:val="32"/>
          <w:lang w:val="en-US" w:eastAsia="zh-CN"/>
        </w:rPr>
        <w:t>企业将磷矿尾矿</w:t>
      </w:r>
      <w:r>
        <w:rPr>
          <w:rFonts w:hint="eastAsia" w:ascii="仿宋_GB2312" w:hAnsi="仿宋" w:eastAsia="仿宋_GB2312"/>
          <w:kern w:val="0"/>
          <w:szCs w:val="32"/>
        </w:rPr>
        <w:t>用于充填采空区</w:t>
      </w:r>
      <w:r>
        <w:rPr>
          <w:rFonts w:hint="eastAsia" w:ascii="仿宋_GB2312" w:hAnsi="Calibri" w:eastAsia="仿宋_GB2312" w:cs="Times New Roman"/>
          <w:sz w:val="32"/>
          <w:szCs w:val="32"/>
        </w:rPr>
        <w:t>等</w:t>
      </w:r>
      <w:r>
        <w:rPr>
          <w:rFonts w:hint="eastAsia" w:ascii="仿宋_GB2312" w:hAnsi="Calibri" w:eastAsia="仿宋_GB2312" w:cs="Times New Roman"/>
          <w:sz w:val="32"/>
          <w:szCs w:val="32"/>
          <w:lang w:eastAsia="zh-CN"/>
        </w:rPr>
        <w:t>。</w:t>
      </w:r>
    </w:p>
    <w:p w14:paraId="1C87C7A8">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37" w:name="_Toc23276"/>
      <w:bookmarkStart w:id="38" w:name="_Toc18982"/>
      <w:bookmarkStart w:id="39" w:name="_Toc14449"/>
      <w:r>
        <w:rPr>
          <w:rFonts w:hint="eastAsia" w:ascii="黑体" w:hAnsi="黑体" w:eastAsia="黑体" w:cs="黑体"/>
          <w:b w:val="0"/>
          <w:bCs w:val="0"/>
          <w:lang w:val="en-US" w:eastAsia="zh-CN"/>
        </w:rPr>
        <w:t>（三）全面推进绿色矿山建设</w:t>
      </w:r>
      <w:bookmarkEnd w:id="37"/>
      <w:bookmarkEnd w:id="38"/>
      <w:bookmarkEnd w:id="39"/>
    </w:p>
    <w:p w14:paraId="0D32BC1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b w:val="0"/>
          <w:bCs w:val="0"/>
          <w:sz w:val="32"/>
          <w:szCs w:val="32"/>
          <w:lang w:val="en-US" w:eastAsia="zh-CN"/>
        </w:rPr>
        <w:t>严格按照绿色矿山建设标准推进全县绿色矿山建设工作，新建矿山在矿业权出让时将绿色矿山建设要求纳入出让合同，压实矿山企业主体责任，明确建设任务、进度、时限、要求及违约责任。强化部门协同联动、齐抓共管，</w:t>
      </w:r>
      <w:r>
        <w:rPr>
          <w:rFonts w:hint="eastAsia" w:ascii="仿宋_GB2312" w:hAnsi="仿宋" w:eastAsia="仿宋_GB2312"/>
          <w:sz w:val="32"/>
          <w:szCs w:val="32"/>
        </w:rPr>
        <w:t>全面落实</w:t>
      </w:r>
      <w:r>
        <w:rPr>
          <w:rFonts w:hint="eastAsia" w:ascii="仿宋_GB2312" w:hAnsi="仿宋" w:eastAsia="仿宋_GB2312"/>
          <w:sz w:val="32"/>
          <w:szCs w:val="32"/>
          <w:lang w:val="en-US" w:eastAsia="zh-CN"/>
        </w:rPr>
        <w:t>绿色矿山建设</w:t>
      </w:r>
      <w:r>
        <w:rPr>
          <w:rFonts w:hint="eastAsia" w:ascii="仿宋_GB2312" w:hAnsi="仿宋" w:eastAsia="仿宋_GB2312"/>
          <w:sz w:val="32"/>
          <w:szCs w:val="32"/>
        </w:rPr>
        <w:t>激励</w:t>
      </w:r>
      <w:r>
        <w:rPr>
          <w:rFonts w:hint="eastAsia" w:ascii="仿宋_GB2312" w:hAnsi="仿宋" w:eastAsia="仿宋_GB2312"/>
          <w:sz w:val="32"/>
          <w:szCs w:val="32"/>
          <w:lang w:val="en-US" w:eastAsia="zh-CN"/>
        </w:rPr>
        <w:t>约束</w:t>
      </w:r>
      <w:r>
        <w:rPr>
          <w:rFonts w:hint="eastAsia" w:ascii="仿宋_GB2312" w:hAnsi="仿宋" w:eastAsia="仿宋_GB2312"/>
          <w:sz w:val="32"/>
          <w:szCs w:val="32"/>
        </w:rPr>
        <w:t>政策</w:t>
      </w:r>
      <w:r>
        <w:rPr>
          <w:rFonts w:hint="eastAsia" w:ascii="仿宋_GB2312" w:hAnsi="仿宋" w:eastAsia="仿宋_GB2312"/>
          <w:sz w:val="32"/>
          <w:szCs w:val="32"/>
          <w:lang w:eastAsia="zh-CN"/>
        </w:rPr>
        <w:t>，</w:t>
      </w:r>
      <w:r>
        <w:rPr>
          <w:rFonts w:hint="eastAsia" w:ascii="仿宋_GB2312" w:hAnsi="仿宋" w:eastAsia="仿宋_GB2312"/>
          <w:b w:val="0"/>
          <w:bCs w:val="0"/>
          <w:sz w:val="32"/>
          <w:szCs w:val="32"/>
          <w:lang w:val="en-US" w:eastAsia="zh-CN"/>
        </w:rPr>
        <w:t>凝聚绿色矿山建设工作合力，统筹推进全县绿色矿山提质增效。</w:t>
      </w:r>
      <w:r>
        <w:rPr>
          <w:rFonts w:hint="eastAsia" w:ascii="仿宋_GB2312" w:hAnsi="仿宋" w:eastAsia="仿宋_GB2312"/>
          <w:sz w:val="32"/>
          <w:szCs w:val="32"/>
          <w:lang w:val="en-US" w:eastAsia="zh-CN"/>
        </w:rPr>
        <w:t>到2028年</w:t>
      </w:r>
      <w:r>
        <w:rPr>
          <w:rFonts w:hint="eastAsia" w:ascii="仿宋_GB2312" w:hAnsi="仿宋" w:eastAsia="仿宋_GB2312"/>
          <w:sz w:val="32"/>
          <w:szCs w:val="32"/>
        </w:rPr>
        <w:t>，新建矿山</w:t>
      </w:r>
      <w:r>
        <w:rPr>
          <w:rFonts w:hint="eastAsia" w:ascii="仿宋_GB2312" w:hAnsi="仿宋" w:eastAsia="仿宋_GB2312"/>
          <w:sz w:val="32"/>
          <w:szCs w:val="32"/>
          <w:lang w:val="en-US" w:eastAsia="zh-CN"/>
        </w:rPr>
        <w:t>100%</w:t>
      </w:r>
      <w:r>
        <w:rPr>
          <w:rFonts w:hint="eastAsia" w:ascii="仿宋_GB2312" w:hAnsi="仿宋" w:eastAsia="仿宋_GB2312"/>
          <w:sz w:val="32"/>
          <w:szCs w:val="32"/>
        </w:rPr>
        <w:t>达到绿色矿山建设标准</w:t>
      </w:r>
      <w:r>
        <w:rPr>
          <w:rFonts w:hint="eastAsia" w:ascii="仿宋_GB2312" w:hAnsi="仿宋" w:eastAsia="仿宋_GB2312"/>
          <w:sz w:val="32"/>
          <w:szCs w:val="32"/>
          <w:lang w:eastAsia="zh-CN"/>
        </w:rPr>
        <w:t>，</w:t>
      </w:r>
      <w:r>
        <w:rPr>
          <w:rFonts w:hint="eastAsia" w:ascii="仿宋_GB2312" w:hAnsi="仿宋" w:eastAsia="仿宋_GB2312"/>
          <w:sz w:val="32"/>
          <w:szCs w:val="32"/>
          <w:lang w:val="en-US" w:eastAsia="zh-CN"/>
        </w:rPr>
        <w:t>大型生产矿山90%</w:t>
      </w:r>
      <w:r>
        <w:rPr>
          <w:rFonts w:hint="eastAsia" w:ascii="仿宋_GB2312" w:hAnsi="仿宋" w:eastAsia="仿宋_GB2312"/>
          <w:sz w:val="32"/>
          <w:szCs w:val="32"/>
        </w:rPr>
        <w:t>达到绿色矿山建设标准</w:t>
      </w:r>
      <w:r>
        <w:rPr>
          <w:rFonts w:hint="eastAsia" w:ascii="仿宋_GB2312" w:hAnsi="仿宋" w:eastAsia="仿宋_GB2312"/>
          <w:sz w:val="32"/>
          <w:szCs w:val="32"/>
          <w:lang w:val="en-US" w:eastAsia="zh-CN"/>
        </w:rPr>
        <w:t>，中型生产矿山80%</w:t>
      </w:r>
      <w:r>
        <w:rPr>
          <w:rFonts w:hint="eastAsia" w:ascii="仿宋_GB2312" w:hAnsi="仿宋" w:eastAsia="仿宋_GB2312"/>
          <w:sz w:val="32"/>
          <w:szCs w:val="32"/>
        </w:rPr>
        <w:t>达到绿色矿山建设标准。</w:t>
      </w:r>
    </w:p>
    <w:p w14:paraId="1205C975">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40" w:name="_Toc27993"/>
      <w:bookmarkStart w:id="41" w:name="_Toc26965"/>
      <w:bookmarkStart w:id="42" w:name="_Toc27142"/>
      <w:r>
        <w:rPr>
          <w:rFonts w:hint="eastAsia" w:ascii="黑体" w:hAnsi="黑体" w:eastAsia="黑体" w:cs="黑体"/>
          <w:b w:val="0"/>
          <w:bCs w:val="0"/>
          <w:lang w:val="en-US" w:eastAsia="zh-CN"/>
        </w:rPr>
        <w:t>（四）加强矿区生态保护修复</w:t>
      </w:r>
      <w:bookmarkEnd w:id="40"/>
      <w:bookmarkEnd w:id="41"/>
      <w:bookmarkEnd w:id="42"/>
    </w:p>
    <w:p w14:paraId="799C33A4">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bCs/>
          <w:sz w:val="32"/>
          <w:szCs w:val="32"/>
        </w:rPr>
      </w:pPr>
      <w:bookmarkStart w:id="43" w:name="_Toc447919851"/>
      <w:r>
        <w:rPr>
          <w:rFonts w:hint="eastAsia" w:ascii="仿宋_GB2312" w:hAnsi="仿宋" w:eastAsia="仿宋_GB2312"/>
          <w:b/>
          <w:bCs/>
          <w:sz w:val="32"/>
          <w:szCs w:val="32"/>
        </w:rPr>
        <w:t>强化矿区生态修复全链条管理制度。</w:t>
      </w:r>
      <w:r>
        <w:rPr>
          <w:rFonts w:hint="eastAsia" w:ascii="FangSong_GB2312" w:hAnsi="FangSong_GB2312" w:eastAsia="FangSong_GB2312"/>
          <w:sz w:val="32"/>
          <w:szCs w:val="24"/>
        </w:rPr>
        <w:t>矿业权出让将生态修复义务、违约责任纳入出让合同，从源头压实治理责任。矿山立项投产前，开发利用、生态修复、环评、水土保持等法定要件审查未通过，不予办理采矿手续。取得采矿许可后，严格执行修复方案，编制年度实施计划，常态化排查地质灾害隐患，</w:t>
      </w:r>
      <w:r>
        <w:rPr>
          <w:rFonts w:hint="eastAsia" w:ascii="仿宋_GB2312" w:hAnsi="仿宋" w:eastAsia="仿宋_GB2312"/>
          <w:sz w:val="32"/>
          <w:szCs w:val="32"/>
          <w:lang w:val="en-US" w:eastAsia="zh-CN"/>
        </w:rPr>
        <w:t>按规定计提矿区生态修复费用，实行专款专用。</w:t>
      </w:r>
    </w:p>
    <w:p w14:paraId="3D79C4CC">
      <w:pPr>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 w:eastAsia="仿宋_GB2312"/>
          <w:b/>
          <w:bCs/>
          <w:sz w:val="32"/>
          <w:szCs w:val="32"/>
        </w:rPr>
      </w:pPr>
      <w:r>
        <w:rPr>
          <w:rFonts w:hint="eastAsia" w:ascii="仿宋_GB2312" w:hAnsi="仿宋" w:eastAsia="仿宋_GB2312"/>
          <w:b/>
          <w:bCs/>
          <w:sz w:val="32"/>
          <w:szCs w:val="32"/>
        </w:rPr>
        <w:t>加强在建、生产矿山生态修复常态化监管</w:t>
      </w:r>
      <w:r>
        <w:rPr>
          <w:rFonts w:hint="eastAsia" w:ascii="仿宋_GB2312" w:hAnsi="仿宋" w:eastAsia="仿宋_GB2312"/>
          <w:b/>
          <w:bCs/>
          <w:sz w:val="32"/>
          <w:szCs w:val="32"/>
          <w:lang w:eastAsia="zh-CN"/>
        </w:rPr>
        <w:t>。</w:t>
      </w:r>
      <w:r>
        <w:rPr>
          <w:rFonts w:hint="eastAsia" w:ascii="仿宋_GB2312" w:hAnsi="仿宋" w:eastAsia="仿宋_GB2312"/>
          <w:b w:val="0"/>
          <w:bCs w:val="0"/>
          <w:sz w:val="32"/>
          <w:szCs w:val="32"/>
          <w:lang w:val="en-US" w:eastAsia="zh-CN"/>
        </w:rPr>
        <w:t>严格落实</w:t>
      </w:r>
      <w:r>
        <w:rPr>
          <w:rFonts w:hint="eastAsia" w:ascii="仿宋_GB2312" w:hAnsi="仿宋" w:eastAsia="仿宋_GB2312"/>
          <w:b w:val="0"/>
          <w:bCs w:val="0"/>
          <w:sz w:val="32"/>
          <w:szCs w:val="32"/>
        </w:rPr>
        <w:t>市县分级监管</w:t>
      </w:r>
      <w:r>
        <w:rPr>
          <w:rFonts w:hint="eastAsia" w:ascii="仿宋_GB2312" w:hAnsi="仿宋" w:eastAsia="仿宋_GB2312"/>
          <w:b w:val="0"/>
          <w:bCs w:val="0"/>
          <w:sz w:val="32"/>
          <w:szCs w:val="32"/>
          <w:lang w:val="en-US" w:eastAsia="zh-CN"/>
        </w:rPr>
        <w:t>机制</w:t>
      </w:r>
      <w:r>
        <w:rPr>
          <w:rFonts w:hint="eastAsia" w:ascii="仿宋_GB2312" w:hAnsi="仿宋" w:eastAsia="仿宋_GB2312"/>
          <w:b w:val="0"/>
          <w:bCs w:val="0"/>
          <w:sz w:val="32"/>
          <w:szCs w:val="32"/>
        </w:rPr>
        <w:t>，</w:t>
      </w:r>
      <w:r>
        <w:rPr>
          <w:rFonts w:hint="eastAsia" w:ascii="仿宋_GB2312" w:hAnsi="仿宋" w:eastAsia="仿宋_GB2312"/>
          <w:b w:val="0"/>
          <w:bCs w:val="0"/>
          <w:sz w:val="32"/>
          <w:szCs w:val="32"/>
          <w:lang w:val="en-US" w:eastAsia="zh-CN"/>
        </w:rPr>
        <w:t>加强</w:t>
      </w:r>
      <w:r>
        <w:rPr>
          <w:rFonts w:hint="eastAsia" w:ascii="仿宋_GB2312" w:hAnsi="仿宋" w:eastAsia="仿宋_GB2312"/>
          <w:b w:val="0"/>
          <w:bCs w:val="0"/>
          <w:sz w:val="32"/>
          <w:szCs w:val="32"/>
        </w:rPr>
        <w:t>县级自查、市级复核，常态化开展“双随机、一公开”抽查及专项整治，对履职不力矿山建档限期整改。压实企业主体责任，综合运用抽查、巡查、年报、分期验收、“回头看”等方式，督促落实边</w:t>
      </w:r>
      <w:r>
        <w:rPr>
          <w:rFonts w:hint="eastAsia" w:ascii="仿宋_GB2312" w:hAnsi="仿宋" w:eastAsia="仿宋_GB2312"/>
          <w:b w:val="0"/>
          <w:bCs w:val="0"/>
          <w:sz w:val="32"/>
          <w:szCs w:val="32"/>
          <w:lang w:val="en-US" w:eastAsia="zh-CN"/>
        </w:rPr>
        <w:t>开</w:t>
      </w:r>
      <w:r>
        <w:rPr>
          <w:rFonts w:hint="eastAsia" w:ascii="仿宋_GB2312" w:hAnsi="仿宋" w:eastAsia="仿宋_GB2312"/>
          <w:b w:val="0"/>
          <w:bCs w:val="0"/>
          <w:sz w:val="32"/>
          <w:szCs w:val="32"/>
        </w:rPr>
        <w:t>采边修</w:t>
      </w:r>
      <w:r>
        <w:rPr>
          <w:rFonts w:hint="eastAsia" w:ascii="仿宋_GB2312" w:hAnsi="仿宋" w:eastAsia="仿宋_GB2312"/>
          <w:b w:val="0"/>
          <w:bCs w:val="0"/>
          <w:sz w:val="32"/>
          <w:szCs w:val="32"/>
          <w:lang w:val="en-US" w:eastAsia="zh-CN"/>
        </w:rPr>
        <w:t>复</w:t>
      </w:r>
      <w:r>
        <w:rPr>
          <w:rFonts w:hint="eastAsia" w:ascii="仿宋_GB2312" w:hAnsi="仿宋" w:eastAsia="仿宋_GB2312"/>
          <w:b w:val="0"/>
          <w:bCs w:val="0"/>
          <w:sz w:val="32"/>
          <w:szCs w:val="32"/>
        </w:rPr>
        <w:t>。修复履职不到位的纳入异常或失信名录、限期整改，整改不合格不予采矿权延续。强化部门联动，按期完成闭坑修复并开展闭坑验收，严格监管修复专项资金，严禁挤占挪用闲置。</w:t>
      </w:r>
      <w:r>
        <w:rPr>
          <w:rFonts w:hint="eastAsia" w:ascii="仿宋_GB2312" w:hAnsi="仿宋" w:eastAsia="仿宋_GB2312"/>
          <w:b w:val="0"/>
          <w:bCs/>
          <w:sz w:val="32"/>
          <w:szCs w:val="32"/>
          <w:lang w:val="en-US" w:eastAsia="zh-CN"/>
        </w:rPr>
        <w:t>开展采矿损毁土地调查，摸清全县采矿损毁土地现状、底数、治理责任。</w:t>
      </w:r>
      <w:r>
        <w:rPr>
          <w:rFonts w:hint="eastAsia" w:ascii="仿宋_GB2312" w:hAnsi="仿宋" w:eastAsia="仿宋_GB2312"/>
          <w:b w:val="0"/>
          <w:bCs w:val="0"/>
          <w:sz w:val="32"/>
          <w:szCs w:val="32"/>
          <w:lang w:val="en-US" w:eastAsia="zh-CN"/>
        </w:rPr>
        <w:t>探索</w:t>
      </w:r>
      <w:r>
        <w:rPr>
          <w:rFonts w:hint="eastAsia" w:ascii="仿宋_GB2312" w:hAnsi="仿宋" w:eastAsia="仿宋_GB2312"/>
          <w:b w:val="0"/>
          <w:bCs w:val="0"/>
          <w:sz w:val="32"/>
          <w:szCs w:val="32"/>
        </w:rPr>
        <w:t>运用卫星遥感、无人机等空天地一体化手段，构建智能化全周期动态监管体系。</w:t>
      </w:r>
    </w:p>
    <w:bookmarkEnd w:id="43"/>
    <w:p w14:paraId="09F867E3">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44" w:name="_Toc22158"/>
      <w:bookmarkStart w:id="45" w:name="_Toc28817"/>
      <w:bookmarkStart w:id="46" w:name="_Toc9662"/>
      <w:bookmarkStart w:id="47" w:name="_Toc25926"/>
      <w:r>
        <w:rPr>
          <w:rFonts w:hint="eastAsia"/>
          <w:sz w:val="36"/>
          <w:szCs w:val="36"/>
          <w:lang w:val="en-US" w:eastAsia="zh-CN"/>
        </w:rPr>
        <w:t>七、矿产资源管理改革</w:t>
      </w:r>
      <w:bookmarkEnd w:id="44"/>
      <w:bookmarkEnd w:id="45"/>
      <w:bookmarkEnd w:id="46"/>
    </w:p>
    <w:p w14:paraId="5329626E">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48" w:name="_Toc5732"/>
      <w:bookmarkStart w:id="49" w:name="_Toc11299"/>
      <w:bookmarkStart w:id="50" w:name="_Toc27138"/>
      <w:r>
        <w:rPr>
          <w:rFonts w:hint="eastAsia" w:ascii="黑体" w:hAnsi="黑体" w:eastAsia="黑体" w:cs="黑体"/>
          <w:b w:val="0"/>
          <w:bCs w:val="0"/>
          <w:lang w:val="en-US" w:eastAsia="zh-CN"/>
        </w:rPr>
        <w:t>（一）深化地质勘查行业管理</w:t>
      </w:r>
      <w:bookmarkEnd w:id="48"/>
      <w:bookmarkEnd w:id="49"/>
      <w:bookmarkEnd w:id="50"/>
    </w:p>
    <w:p w14:paraId="6DD72CF9">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val="0"/>
          <w:bCs w:val="0"/>
          <w:sz w:val="32"/>
          <w:szCs w:val="32"/>
        </w:rPr>
      </w:pPr>
      <w:r>
        <w:rPr>
          <w:rFonts w:hint="eastAsia" w:ascii="仿宋_GB2312" w:hAnsi="仿宋" w:eastAsia="仿宋_GB2312" w:cs="Times New Roman"/>
          <w:b/>
          <w:bCs/>
          <w:sz w:val="32"/>
          <w:szCs w:val="32"/>
          <w:lang w:val="en-US" w:eastAsia="zh-CN"/>
        </w:rPr>
        <w:t>激发各类资本勘查活力</w:t>
      </w:r>
      <w:r>
        <w:rPr>
          <w:rFonts w:hint="eastAsia" w:ascii="仿宋_GB2312" w:hAnsi="仿宋" w:eastAsia="仿宋_GB2312" w:cs="Times New Roman"/>
          <w:b/>
          <w:bCs/>
          <w:sz w:val="32"/>
          <w:szCs w:val="32"/>
          <w:lang w:eastAsia="zh-CN"/>
        </w:rPr>
        <w:t>。</w:t>
      </w:r>
      <w:r>
        <w:rPr>
          <w:rFonts w:hint="eastAsia" w:ascii="仿宋_GB2312" w:hAnsi="仿宋" w:eastAsia="仿宋_GB2312" w:cs="Times New Roman"/>
          <w:b w:val="0"/>
          <w:bCs w:val="0"/>
          <w:sz w:val="32"/>
          <w:szCs w:val="32"/>
          <w:lang w:val="en-US" w:eastAsia="zh-CN"/>
        </w:rPr>
        <w:t>积极对接</w:t>
      </w:r>
      <w:r>
        <w:rPr>
          <w:rFonts w:hint="eastAsia" w:ascii="仿宋_GB2312" w:hAnsi="仿宋" w:eastAsia="仿宋_GB2312" w:cs="Times New Roman"/>
          <w:b w:val="0"/>
          <w:bCs w:val="0"/>
          <w:sz w:val="32"/>
          <w:szCs w:val="32"/>
        </w:rPr>
        <w:t>各级财政，</w:t>
      </w:r>
      <w:r>
        <w:rPr>
          <w:rFonts w:hint="eastAsia" w:ascii="仿宋_GB2312" w:hAnsi="仿宋" w:eastAsia="仿宋_GB2312" w:cs="Times New Roman"/>
          <w:b w:val="0"/>
          <w:bCs w:val="0"/>
          <w:sz w:val="32"/>
          <w:szCs w:val="32"/>
          <w:lang w:val="en-US" w:eastAsia="zh-CN"/>
        </w:rPr>
        <w:t>协调</w:t>
      </w:r>
      <w:r>
        <w:rPr>
          <w:rFonts w:hint="eastAsia" w:ascii="仿宋_GB2312" w:hAnsi="仿宋" w:eastAsia="仿宋_GB2312" w:cs="Times New Roman"/>
          <w:b w:val="0"/>
          <w:bCs w:val="0"/>
          <w:sz w:val="32"/>
          <w:szCs w:val="32"/>
        </w:rPr>
        <w:t>完善矿产资源勘查投入机制，落实矿业权出让收益分成比例与基础阶段找矿投入相挂钩的分享机制，引导国有、民营、社会各类资本有序投向重点成矿区</w:t>
      </w:r>
      <w:r>
        <w:rPr>
          <w:rFonts w:hint="eastAsia" w:ascii="仿宋_GB2312" w:hAnsi="仿宋" w:eastAsia="仿宋_GB2312" w:cs="Times New Roman"/>
          <w:b w:val="0"/>
          <w:bCs w:val="0"/>
          <w:sz w:val="32"/>
          <w:szCs w:val="32"/>
          <w:lang w:val="en-US" w:eastAsia="zh-CN"/>
        </w:rPr>
        <w:t>带</w:t>
      </w:r>
      <w:r>
        <w:rPr>
          <w:rFonts w:hint="eastAsia" w:ascii="仿宋_GB2312" w:hAnsi="仿宋" w:eastAsia="仿宋_GB2312" w:cs="Times New Roman"/>
          <w:b w:val="0"/>
          <w:bCs w:val="0"/>
          <w:sz w:val="32"/>
          <w:szCs w:val="32"/>
        </w:rPr>
        <w:t>、优势矿种勘查领域</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鼓励社会资本自主立项开展商业勘查。依托勘查成果转化、矿权落地变现等路径保障投资合理收益，持续调动市场主体投资找矿积极性。</w:t>
      </w:r>
    </w:p>
    <w:p w14:paraId="2958B6CD">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val="0"/>
          <w:bCs w:val="0"/>
          <w:sz w:val="32"/>
          <w:szCs w:val="32"/>
        </w:rPr>
      </w:pPr>
      <w:r>
        <w:rPr>
          <w:rFonts w:hint="eastAsia" w:ascii="仿宋_GB2312" w:hAnsi="仿宋" w:eastAsia="仿宋_GB2312" w:cs="Times New Roman"/>
          <w:b/>
          <w:bCs/>
          <w:sz w:val="32"/>
          <w:szCs w:val="32"/>
        </w:rPr>
        <w:t>强化地质勘查信用管理。</w:t>
      </w:r>
      <w:r>
        <w:rPr>
          <w:rFonts w:hint="eastAsia" w:ascii="仿宋_GB2312" w:hAnsi="仿宋" w:eastAsia="仿宋_GB2312" w:cs="Times New Roman"/>
          <w:b w:val="0"/>
          <w:bCs w:val="0"/>
          <w:sz w:val="32"/>
          <w:szCs w:val="32"/>
          <w:lang w:val="en-US" w:eastAsia="zh-CN"/>
        </w:rPr>
        <w:t>协助</w:t>
      </w:r>
      <w:r>
        <w:rPr>
          <w:rFonts w:hint="eastAsia" w:ascii="仿宋_GB2312" w:hAnsi="仿宋" w:eastAsia="仿宋_GB2312" w:cs="Times New Roman"/>
          <w:b w:val="0"/>
          <w:bCs w:val="0"/>
          <w:sz w:val="32"/>
          <w:szCs w:val="32"/>
        </w:rPr>
        <w:t>构建地质勘查行业信用管理体系，健全信用动态评价与长效监管机制。对存在伪造隐瞒资料、虚报地勘成果、非法开展勘查开采活动、未落实绿色勘查要求等违规行为的勘查单位，依法纳入全国地质勘查行业监管服务平台异常名录</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同步将相关失信信息推送至</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信用中国(四川)</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、国家企业信用信息公示系统等权威平台，实施跨部门联合惩戒。对弄虚作假、营私舞弊等违纪违法违规行为的直接负责主管人员及其他直接责任人员，严格依据相关规定追究责任</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涉嫌构成犯罪的，依法移送司法机关处理。</w:t>
      </w:r>
    </w:p>
    <w:p w14:paraId="188540EB">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51" w:name="_Toc22881"/>
      <w:bookmarkStart w:id="52" w:name="_Toc6821"/>
      <w:bookmarkStart w:id="53" w:name="_Toc7277"/>
      <w:r>
        <w:rPr>
          <w:rFonts w:hint="eastAsia" w:ascii="黑体" w:hAnsi="黑体" w:eastAsia="黑体" w:cs="黑体"/>
          <w:b w:val="0"/>
          <w:bCs w:val="0"/>
          <w:lang w:val="en-US" w:eastAsia="zh-CN"/>
        </w:rPr>
        <w:t>（二）持续推进矿产资源管理改革</w:t>
      </w:r>
      <w:bookmarkEnd w:id="51"/>
      <w:bookmarkEnd w:id="52"/>
      <w:bookmarkEnd w:id="53"/>
    </w:p>
    <w:p w14:paraId="3882D662">
      <w:pPr>
        <w:pageBreakBefore w:val="0"/>
        <w:widowControl w:val="0"/>
        <w:kinsoku/>
        <w:wordWrap/>
        <w:overflowPunct/>
        <w:topLinePunct w:val="0"/>
        <w:autoSpaceDE/>
        <w:autoSpaceDN/>
        <w:bidi w:val="0"/>
        <w:adjustRightInd/>
        <w:snapToGrid/>
        <w:spacing w:line="560" w:lineRule="exact"/>
        <w:ind w:firstLine="630" w:firstLineChars="196"/>
        <w:textAlignment w:val="auto"/>
        <w:rPr>
          <w:rFonts w:ascii="仿宋_GB2312" w:hAnsi="仿宋" w:eastAsia="仿宋_GB2312" w:cs="Times New Roman"/>
          <w:sz w:val="32"/>
          <w:szCs w:val="32"/>
        </w:rPr>
      </w:pPr>
      <w:r>
        <w:rPr>
          <w:rFonts w:hint="eastAsia" w:ascii="仿宋_GB2312" w:hAnsi="仿宋" w:eastAsia="仿宋_GB2312" w:cs="Times New Roman"/>
          <w:b/>
          <w:bCs/>
          <w:sz w:val="32"/>
          <w:szCs w:val="32"/>
        </w:rPr>
        <w:t>完善矿产资源配置机制。</w:t>
      </w:r>
      <w:r>
        <w:rPr>
          <w:rFonts w:hint="eastAsia" w:ascii="仿宋_GB2312" w:hAnsi="仿宋" w:eastAsia="仿宋_GB2312" w:cs="Times New Roman"/>
          <w:b w:val="0"/>
          <w:bCs w:val="0"/>
          <w:sz w:val="32"/>
          <w:szCs w:val="32"/>
        </w:rPr>
        <w:t>拓宽矿业权出让区块来源，动态更新出让区块目录，稳步扩大矿权投放规模，激发市场主体资源增储增产动能，夯实矿产资源保障能力。紧扣市场刚需与地方产业链布局统筹资源开发布局，规范</w:t>
      </w:r>
      <w:r>
        <w:rPr>
          <w:rFonts w:hint="eastAsia" w:ascii="仿宋_GB2312" w:hAnsi="仿宋" w:eastAsia="仿宋_GB2312" w:cs="Times New Roman"/>
          <w:b w:val="0"/>
          <w:bCs w:val="0"/>
          <w:sz w:val="32"/>
          <w:szCs w:val="32"/>
          <w:lang w:val="en-US" w:eastAsia="zh-CN"/>
        </w:rPr>
        <w:t>矿业权</w:t>
      </w:r>
      <w:r>
        <w:rPr>
          <w:rFonts w:hint="eastAsia" w:ascii="仿宋_GB2312" w:hAnsi="仿宋" w:eastAsia="仿宋_GB2312" w:cs="Times New Roman"/>
          <w:b w:val="0"/>
          <w:bCs w:val="0"/>
          <w:sz w:val="32"/>
          <w:szCs w:val="32"/>
        </w:rPr>
        <w:t>出让管理，</w:t>
      </w:r>
      <w:r>
        <w:rPr>
          <w:rFonts w:hint="eastAsia" w:ascii="仿宋_GB2312" w:hAnsi="仿宋" w:eastAsia="仿宋_GB2312" w:cs="Times New Roman"/>
          <w:b w:val="0"/>
          <w:bCs w:val="0"/>
          <w:sz w:val="32"/>
          <w:szCs w:val="32"/>
          <w:lang w:val="en-US" w:eastAsia="zh-CN"/>
        </w:rPr>
        <w:t>积极推行</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净矿</w:t>
      </w:r>
      <w:r>
        <w:rPr>
          <w:rFonts w:hint="eastAsia" w:ascii="仿宋_GB2312" w:hAnsi="仿宋" w:eastAsia="仿宋_GB2312" w:cs="Times New Roman"/>
          <w:b w:val="0"/>
          <w:bCs w:val="0"/>
          <w:sz w:val="32"/>
          <w:szCs w:val="32"/>
          <w:lang w:eastAsia="zh-CN"/>
        </w:rPr>
        <w:t>”</w:t>
      </w:r>
      <w:r>
        <w:rPr>
          <w:rFonts w:hint="eastAsia" w:ascii="仿宋_GB2312" w:hAnsi="仿宋" w:eastAsia="仿宋_GB2312" w:cs="Times New Roman"/>
          <w:b w:val="0"/>
          <w:bCs w:val="0"/>
          <w:sz w:val="32"/>
          <w:szCs w:val="32"/>
        </w:rPr>
        <w:t>出让，</w:t>
      </w:r>
      <w:r>
        <w:rPr>
          <w:rFonts w:hint="eastAsia" w:ascii="仿宋_GB2312" w:hAnsi="仿宋" w:eastAsia="仿宋_GB2312" w:cs="Times New Roman"/>
          <w:b w:val="0"/>
          <w:bCs w:val="0"/>
          <w:sz w:val="32"/>
          <w:szCs w:val="32"/>
          <w:lang w:val="en-US" w:eastAsia="zh-CN"/>
        </w:rPr>
        <w:t>综合运</w:t>
      </w:r>
      <w:r>
        <w:rPr>
          <w:rFonts w:hint="eastAsia" w:ascii="仿宋_GB2312" w:hAnsi="仿宋" w:eastAsia="仿宋_GB2312" w:cs="Times New Roman"/>
          <w:b w:val="0"/>
          <w:bCs w:val="0"/>
          <w:sz w:val="32"/>
          <w:szCs w:val="32"/>
        </w:rPr>
        <w:t>用招标、拍卖、挂牌等方式，依托市场化手段精准配置矿产资源，推动资源禀赋优势转化为产业发展优势。持续优化矿业营商环境，构建公平开放、规范有序的矿业权交易市场。</w:t>
      </w:r>
    </w:p>
    <w:p w14:paraId="09520B4F">
      <w:pPr>
        <w:pageBreakBefore w:val="0"/>
        <w:widowControl w:val="0"/>
        <w:kinsoku/>
        <w:wordWrap/>
        <w:overflowPunct/>
        <w:topLinePunct w:val="0"/>
        <w:autoSpaceDE/>
        <w:autoSpaceDN/>
        <w:bidi w:val="0"/>
        <w:adjustRightInd/>
        <w:snapToGrid/>
        <w:spacing w:line="560" w:lineRule="exact"/>
        <w:ind w:firstLine="630" w:firstLineChars="196"/>
        <w:textAlignment w:val="auto"/>
        <w:rPr>
          <w:rFonts w:ascii="仿宋_GB2312" w:hAnsi="仿宋" w:eastAsia="仿宋_GB2312" w:cs="Times New Roman"/>
          <w:sz w:val="32"/>
          <w:szCs w:val="32"/>
        </w:rPr>
      </w:pPr>
      <w:r>
        <w:rPr>
          <w:rFonts w:hint="eastAsia" w:ascii="仿宋_GB2312" w:hAnsi="仿宋" w:eastAsia="仿宋_GB2312" w:cs="Times New Roman"/>
          <w:b/>
          <w:bCs/>
          <w:sz w:val="32"/>
          <w:szCs w:val="32"/>
        </w:rPr>
        <w:t>持续规范矿业权管理。</w:t>
      </w:r>
      <w:r>
        <w:rPr>
          <w:rFonts w:hint="eastAsia" w:ascii="仿宋_GB2312" w:hAnsi="仿宋" w:eastAsia="仿宋_GB2312" w:cs="Times New Roman"/>
          <w:b w:val="0"/>
          <w:bCs w:val="0"/>
          <w:sz w:val="32"/>
          <w:szCs w:val="32"/>
        </w:rPr>
        <w:t>严格矿业权出让合同履约管理，明确权责边界与违约惩戒机制。常态化排查整治“圈而不探、探而不采”等问题，对长期停滞、停产停工、逾期未续、关停未注销的矿业权实行分类处置、清单化销号管理。有序推进重点片区矿业权整合重组，推动矿产资源集约化、高效化开发利用。</w:t>
      </w:r>
    </w:p>
    <w:p w14:paraId="1523F55B">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val="0"/>
          <w:bCs/>
          <w:sz w:val="32"/>
          <w:szCs w:val="32"/>
        </w:rPr>
      </w:pPr>
      <w:r>
        <w:rPr>
          <w:rFonts w:hint="eastAsia" w:ascii="仿宋_GB2312" w:hAnsi="仿宋" w:eastAsia="仿宋_GB2312" w:cs="Times New Roman"/>
          <w:b/>
          <w:sz w:val="32"/>
          <w:szCs w:val="32"/>
        </w:rPr>
        <w:t>健全矿业权登记制度。</w:t>
      </w:r>
      <w:r>
        <w:rPr>
          <w:rFonts w:hint="eastAsia" w:ascii="仿宋_GB2312" w:hAnsi="仿宋" w:eastAsia="仿宋_GB2312" w:cs="Times New Roman"/>
          <w:b w:val="0"/>
          <w:bCs/>
          <w:sz w:val="32"/>
          <w:szCs w:val="32"/>
        </w:rPr>
        <w:t>落实矿业权物权登记制度</w:t>
      </w:r>
      <w:r>
        <w:rPr>
          <w:rFonts w:hint="eastAsia" w:ascii="仿宋_GB2312" w:hAnsi="仿宋" w:eastAsia="仿宋_GB2312" w:cs="Times New Roman"/>
          <w:b w:val="0"/>
          <w:bCs/>
          <w:sz w:val="32"/>
          <w:szCs w:val="32"/>
          <w:lang w:val="en-US" w:eastAsia="zh-CN"/>
        </w:rPr>
        <w:t>及</w:t>
      </w:r>
      <w:r>
        <w:rPr>
          <w:rFonts w:hint="eastAsia" w:ascii="仿宋_GB2312" w:hAnsi="仿宋" w:eastAsia="仿宋_GB2312" w:cs="Times New Roman"/>
          <w:b w:val="0"/>
          <w:bCs/>
          <w:sz w:val="32"/>
          <w:szCs w:val="32"/>
        </w:rPr>
        <w:t>矿业权设立、变更、转让、抵押及注销全流程管理规则，将矿业权登记全面纳入不动产统一登记体系</w:t>
      </w:r>
      <w:r>
        <w:rPr>
          <w:rFonts w:hint="eastAsia" w:ascii="仿宋_GB2312" w:hAnsi="仿宋" w:eastAsia="仿宋_GB2312" w:cs="Times New Roman"/>
          <w:b w:val="0"/>
          <w:bCs/>
          <w:sz w:val="32"/>
          <w:szCs w:val="32"/>
          <w:lang w:eastAsia="zh-CN"/>
        </w:rPr>
        <w:t>，</w:t>
      </w:r>
      <w:r>
        <w:rPr>
          <w:rFonts w:hint="eastAsia" w:ascii="仿宋_GB2312" w:hAnsi="仿宋" w:eastAsia="仿宋_GB2312" w:cs="Times New Roman"/>
          <w:b w:val="0"/>
          <w:bCs/>
          <w:sz w:val="32"/>
          <w:szCs w:val="32"/>
        </w:rPr>
        <w:t>落实</w:t>
      </w:r>
      <w:r>
        <w:rPr>
          <w:rFonts w:hint="eastAsia" w:ascii="仿宋_GB2312" w:hAnsi="仿宋" w:eastAsia="仿宋_GB2312" w:cs="Times New Roman"/>
          <w:b w:val="0"/>
          <w:bCs/>
          <w:sz w:val="32"/>
          <w:szCs w:val="32"/>
          <w:lang w:eastAsia="zh-CN"/>
        </w:rPr>
        <w:t>“</w:t>
      </w:r>
      <w:r>
        <w:rPr>
          <w:rFonts w:hint="eastAsia" w:ascii="仿宋_GB2312" w:hAnsi="仿宋" w:eastAsia="仿宋_GB2312" w:cs="Times New Roman"/>
          <w:b w:val="0"/>
          <w:bCs/>
          <w:sz w:val="32"/>
          <w:szCs w:val="32"/>
        </w:rPr>
        <w:t>权证分离</w:t>
      </w:r>
      <w:r>
        <w:rPr>
          <w:rFonts w:hint="eastAsia" w:ascii="仿宋_GB2312" w:hAnsi="仿宋" w:eastAsia="仿宋_GB2312" w:cs="Times New Roman"/>
          <w:b w:val="0"/>
          <w:bCs/>
          <w:sz w:val="32"/>
          <w:szCs w:val="32"/>
          <w:lang w:eastAsia="zh-CN"/>
        </w:rPr>
        <w:t>”</w:t>
      </w:r>
      <w:r>
        <w:rPr>
          <w:rFonts w:hint="eastAsia" w:ascii="仿宋_GB2312" w:hAnsi="仿宋" w:eastAsia="仿宋_GB2312" w:cs="Times New Roman"/>
          <w:b w:val="0"/>
          <w:bCs/>
          <w:sz w:val="32"/>
          <w:szCs w:val="32"/>
        </w:rPr>
        <w:t>改革，强化矿业权登记与出让交易、勘查开采许可等环节的协同衔接，构建权责清晰、流程顺畅的一体化管理体系。</w:t>
      </w:r>
    </w:p>
    <w:p w14:paraId="1823BE4B">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54" w:name="_Toc27214"/>
      <w:bookmarkStart w:id="55" w:name="_Toc15983"/>
      <w:bookmarkStart w:id="56" w:name="_Toc29973"/>
      <w:r>
        <w:rPr>
          <w:rFonts w:hint="eastAsia" w:ascii="黑体" w:hAnsi="黑体" w:eastAsia="黑体" w:cs="黑体"/>
          <w:b w:val="0"/>
          <w:bCs w:val="0"/>
          <w:lang w:val="en-US" w:eastAsia="zh-CN"/>
        </w:rPr>
        <w:t>（三）强化矿产资源监督管理</w:t>
      </w:r>
      <w:bookmarkEnd w:id="54"/>
      <w:bookmarkEnd w:id="55"/>
      <w:bookmarkEnd w:id="56"/>
    </w:p>
    <w:p w14:paraId="48181EAF">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val="0"/>
          <w:bCs/>
          <w:sz w:val="32"/>
          <w:szCs w:val="32"/>
        </w:rPr>
      </w:pPr>
      <w:r>
        <w:rPr>
          <w:rFonts w:hint="eastAsia" w:ascii="仿宋_GB2312" w:hAnsi="仿宋" w:eastAsia="仿宋_GB2312" w:cs="Times New Roman"/>
          <w:b/>
          <w:bCs w:val="0"/>
          <w:sz w:val="32"/>
          <w:szCs w:val="32"/>
        </w:rPr>
        <w:t>加强勘查</w:t>
      </w:r>
      <w:r>
        <w:rPr>
          <w:rFonts w:hint="eastAsia" w:ascii="仿宋_GB2312" w:hAnsi="仿宋" w:eastAsia="仿宋_GB2312" w:cs="Times New Roman"/>
          <w:b/>
          <w:bCs w:val="0"/>
          <w:sz w:val="32"/>
          <w:szCs w:val="32"/>
          <w:lang w:val="en-US" w:eastAsia="zh-CN"/>
        </w:rPr>
        <w:t>开采</w:t>
      </w:r>
      <w:r>
        <w:rPr>
          <w:rFonts w:hint="eastAsia" w:ascii="仿宋_GB2312" w:hAnsi="仿宋" w:eastAsia="仿宋_GB2312" w:cs="Times New Roman"/>
          <w:b/>
          <w:bCs w:val="0"/>
          <w:sz w:val="32"/>
          <w:szCs w:val="32"/>
        </w:rPr>
        <w:t>活动监管。</w:t>
      </w:r>
      <w:r>
        <w:rPr>
          <w:rFonts w:hint="eastAsia" w:ascii="仿宋_GB2312" w:hAnsi="仿宋" w:eastAsia="仿宋_GB2312" w:cs="Times New Roman"/>
          <w:b w:val="0"/>
          <w:bCs/>
          <w:sz w:val="32"/>
          <w:szCs w:val="32"/>
        </w:rPr>
        <w:t>严格勘查实施方案审查与野外作业监管，督促矿业权人依照获批方案组织施工；从严管控采矿权人在矿区上部</w:t>
      </w:r>
      <w:r>
        <w:rPr>
          <w:rFonts w:hint="eastAsia" w:ascii="仿宋_GB2312" w:hAnsi="仿宋" w:eastAsia="仿宋_GB2312" w:cs="Times New Roman"/>
          <w:b w:val="0"/>
          <w:bCs/>
          <w:sz w:val="32"/>
          <w:szCs w:val="32"/>
          <w:lang w:eastAsia="zh-CN"/>
        </w:rPr>
        <w:t>、</w:t>
      </w:r>
      <w:r>
        <w:rPr>
          <w:rFonts w:hint="eastAsia" w:ascii="仿宋_GB2312" w:hAnsi="仿宋" w:eastAsia="仿宋_GB2312" w:cs="Times New Roman"/>
          <w:b w:val="0"/>
          <w:bCs/>
          <w:sz w:val="32"/>
          <w:szCs w:val="32"/>
          <w:lang w:val="en-US" w:eastAsia="zh-CN"/>
        </w:rPr>
        <w:t>深部</w:t>
      </w:r>
      <w:r>
        <w:rPr>
          <w:rFonts w:hint="eastAsia" w:ascii="仿宋_GB2312" w:hAnsi="仿宋" w:eastAsia="仿宋_GB2312" w:cs="Times New Roman"/>
          <w:b w:val="0"/>
          <w:bCs/>
          <w:sz w:val="32"/>
          <w:szCs w:val="32"/>
        </w:rPr>
        <w:t>开展勘查活动，严防以采代探、超矿区范围勘查等违规行为。将矿山“三率”指标纳入年度考核</w:t>
      </w:r>
      <w:r>
        <w:rPr>
          <w:rFonts w:hint="eastAsia" w:ascii="仿宋_GB2312" w:hAnsi="仿宋" w:eastAsia="仿宋_GB2312" w:cs="Times New Roman"/>
          <w:b w:val="0"/>
          <w:bCs/>
          <w:sz w:val="32"/>
          <w:szCs w:val="32"/>
          <w:lang w:eastAsia="zh-CN"/>
        </w:rPr>
        <w:t>，对</w:t>
      </w:r>
      <w:r>
        <w:rPr>
          <w:rFonts w:hint="eastAsia" w:ascii="仿宋_GB2312" w:hAnsi="仿宋" w:eastAsia="仿宋_GB2312" w:cs="Times New Roman"/>
          <w:b w:val="0"/>
          <w:bCs/>
          <w:sz w:val="32"/>
          <w:szCs w:val="32"/>
        </w:rPr>
        <w:t>指标不达标</w:t>
      </w:r>
      <w:r>
        <w:rPr>
          <w:rFonts w:hint="eastAsia" w:ascii="仿宋_GB2312" w:hAnsi="仿宋" w:eastAsia="仿宋_GB2312" w:cs="Times New Roman"/>
          <w:b w:val="0"/>
          <w:bCs/>
          <w:sz w:val="32"/>
          <w:szCs w:val="32"/>
          <w:lang w:eastAsia="zh-CN"/>
        </w:rPr>
        <w:t>的</w:t>
      </w:r>
      <w:r>
        <w:rPr>
          <w:rFonts w:hint="eastAsia" w:ascii="仿宋_GB2312" w:hAnsi="仿宋" w:eastAsia="仿宋_GB2312" w:cs="Times New Roman"/>
          <w:b w:val="0"/>
          <w:bCs/>
          <w:sz w:val="32"/>
          <w:szCs w:val="32"/>
        </w:rPr>
        <w:t>企业限期整改。完善跨部门信息互通、联合执法制度，常态化组织非法采矿专项整治行动。</w:t>
      </w:r>
    </w:p>
    <w:p w14:paraId="150DF2D4">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val="0"/>
          <w:bCs/>
          <w:sz w:val="32"/>
          <w:szCs w:val="32"/>
        </w:rPr>
      </w:pPr>
      <w:r>
        <w:rPr>
          <w:rFonts w:hint="eastAsia" w:ascii="仿宋_GB2312" w:hAnsi="仿宋" w:eastAsia="仿宋_GB2312" w:cs="Times New Roman"/>
          <w:b/>
          <w:bCs w:val="0"/>
          <w:sz w:val="32"/>
          <w:szCs w:val="32"/>
        </w:rPr>
        <w:t>加强矿产资源储量管理。</w:t>
      </w:r>
      <w:r>
        <w:rPr>
          <w:rFonts w:hint="eastAsia" w:ascii="仿宋_GB2312" w:hAnsi="仿宋" w:eastAsia="仿宋_GB2312" w:cs="Times New Roman"/>
          <w:b w:val="0"/>
          <w:bCs/>
          <w:sz w:val="32"/>
          <w:szCs w:val="32"/>
        </w:rPr>
        <w:t>落实矿产资源国情调查和年度更变调查</w:t>
      </w:r>
      <w:r>
        <w:rPr>
          <w:rFonts w:hint="eastAsia" w:ascii="仿宋_GB2312" w:hAnsi="仿宋" w:eastAsia="仿宋_GB2312" w:cs="Times New Roman"/>
          <w:b w:val="0"/>
          <w:bCs/>
          <w:sz w:val="32"/>
          <w:szCs w:val="32"/>
          <w:lang w:eastAsia="zh-CN"/>
        </w:rPr>
        <w:t>。</w:t>
      </w:r>
      <w:r>
        <w:rPr>
          <w:rFonts w:hint="eastAsia" w:ascii="仿宋_GB2312" w:hAnsi="仿宋" w:eastAsia="仿宋_GB2312" w:cs="Times New Roman"/>
          <w:b w:val="0"/>
          <w:bCs/>
          <w:sz w:val="32"/>
          <w:szCs w:val="32"/>
        </w:rPr>
        <w:t>强化矿产资源储量</w:t>
      </w:r>
      <w:r>
        <w:rPr>
          <w:rFonts w:hint="eastAsia" w:ascii="仿宋_GB2312" w:hAnsi="仿宋" w:eastAsia="仿宋_GB2312" w:cs="Times New Roman"/>
          <w:b w:val="0"/>
          <w:bCs/>
          <w:sz w:val="32"/>
          <w:szCs w:val="32"/>
          <w:lang w:val="en-US" w:eastAsia="zh-CN"/>
        </w:rPr>
        <w:t>动态监测</w:t>
      </w:r>
      <w:r>
        <w:rPr>
          <w:rFonts w:hint="eastAsia" w:ascii="仿宋_GB2312" w:hAnsi="仿宋" w:eastAsia="仿宋_GB2312" w:cs="Times New Roman"/>
          <w:b w:val="0"/>
          <w:bCs/>
          <w:sz w:val="32"/>
          <w:szCs w:val="32"/>
        </w:rPr>
        <w:t>质量管理，</w:t>
      </w:r>
      <w:r>
        <w:rPr>
          <w:rFonts w:hint="eastAsia" w:ascii="仿宋_GB2312" w:hAnsi="仿宋" w:eastAsia="仿宋_GB2312" w:cs="Times New Roman"/>
          <w:b w:val="0"/>
          <w:bCs/>
          <w:sz w:val="32"/>
          <w:szCs w:val="32"/>
          <w:lang w:val="en-US" w:eastAsia="zh-CN"/>
        </w:rPr>
        <w:t>做好年度储量数据统计汇总，</w:t>
      </w:r>
      <w:r>
        <w:rPr>
          <w:rFonts w:hint="eastAsia" w:ascii="仿宋_GB2312" w:hAnsi="仿宋" w:eastAsia="仿宋_GB2312" w:cs="Times New Roman"/>
          <w:b w:val="0"/>
          <w:bCs/>
          <w:sz w:val="32"/>
          <w:szCs w:val="32"/>
        </w:rPr>
        <w:t>确保储量年报与矿业权人勘查开采信息管理系统、开发利用方案等各类数据</w:t>
      </w:r>
      <w:r>
        <w:rPr>
          <w:rFonts w:hint="eastAsia" w:ascii="仿宋_GB2312" w:hAnsi="仿宋" w:eastAsia="仿宋_GB2312" w:cs="Times New Roman"/>
          <w:b w:val="0"/>
          <w:bCs/>
          <w:sz w:val="32"/>
          <w:szCs w:val="32"/>
          <w:lang w:val="en-US" w:eastAsia="zh-CN"/>
        </w:rPr>
        <w:t>真实、准确</w:t>
      </w:r>
      <w:r>
        <w:rPr>
          <w:rFonts w:hint="eastAsia" w:ascii="仿宋_GB2312" w:hAnsi="仿宋" w:eastAsia="仿宋_GB2312" w:cs="Times New Roman"/>
          <w:b w:val="0"/>
          <w:bCs/>
          <w:sz w:val="32"/>
          <w:szCs w:val="32"/>
        </w:rPr>
        <w:t>一致。</w:t>
      </w:r>
    </w:p>
    <w:p w14:paraId="729CE331">
      <w:pPr>
        <w:pStyle w:val="4"/>
        <w:keepNext/>
        <w:keepLines/>
        <w:pageBreakBefore w:val="0"/>
        <w:widowControl w:val="0"/>
        <w:kinsoku/>
        <w:wordWrap/>
        <w:overflowPunct/>
        <w:topLinePunct w:val="0"/>
        <w:autoSpaceDE/>
        <w:autoSpaceDN/>
        <w:bidi w:val="0"/>
        <w:adjustRightInd/>
        <w:snapToGrid/>
        <w:spacing w:before="0" w:after="0" w:line="416" w:lineRule="auto"/>
        <w:textAlignment w:val="auto"/>
        <w:rPr>
          <w:rFonts w:hint="eastAsia" w:ascii="黑体" w:hAnsi="黑体" w:eastAsia="黑体" w:cs="黑体"/>
          <w:b w:val="0"/>
          <w:bCs w:val="0"/>
          <w:lang w:val="en-US" w:eastAsia="zh-CN"/>
        </w:rPr>
      </w:pPr>
      <w:bookmarkStart w:id="57" w:name="_Toc15696"/>
      <w:bookmarkStart w:id="58" w:name="_Toc8138"/>
      <w:bookmarkStart w:id="59" w:name="_Toc23252"/>
      <w:r>
        <w:rPr>
          <w:rFonts w:hint="eastAsia" w:ascii="黑体" w:hAnsi="黑体" w:eastAsia="黑体" w:cs="黑体"/>
          <w:b w:val="0"/>
          <w:bCs w:val="0"/>
          <w:lang w:val="en-US" w:eastAsia="zh-CN"/>
        </w:rPr>
        <w:t>（四）加强矿产资源要素保障</w:t>
      </w:r>
      <w:bookmarkEnd w:id="57"/>
      <w:bookmarkEnd w:id="58"/>
      <w:bookmarkEnd w:id="59"/>
    </w:p>
    <w:p w14:paraId="2E50A07B">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bCs w:val="0"/>
          <w:sz w:val="32"/>
          <w:szCs w:val="32"/>
        </w:rPr>
      </w:pPr>
      <w:r>
        <w:rPr>
          <w:rFonts w:hint="eastAsia" w:ascii="仿宋_GB2312" w:hAnsi="仿宋" w:eastAsia="仿宋_GB2312" w:cs="Times New Roman"/>
          <w:b/>
          <w:bCs w:val="0"/>
          <w:sz w:val="32"/>
          <w:szCs w:val="32"/>
          <w:lang w:val="en-US" w:eastAsia="zh-CN"/>
        </w:rPr>
        <w:t>加强矿业企业招商。</w:t>
      </w:r>
      <w:r>
        <w:rPr>
          <w:rFonts w:hint="eastAsia" w:ascii="仿宋_GB2312" w:hAnsi="仿宋" w:eastAsia="仿宋_GB2312" w:cs="Times New Roman"/>
          <w:b w:val="0"/>
          <w:bCs/>
          <w:sz w:val="32"/>
          <w:szCs w:val="32"/>
          <w:lang w:val="en-US" w:eastAsia="zh-CN"/>
        </w:rPr>
        <w:t>立足马边磷矿、页岩气、铜、萤石、玄武岩等资源禀赋，围绕磷化工、新能源材料、玄武岩纤维、页岩气综合利用、尾矿资源化等下游环节，聚焦发展新型磷化工和新能源新材料产业，实施延链补链强链招商。鼓励龙头企业落地勘查开发项目同步配套精深加工生产线，推动“采选+加工+固废利用”一体化项目落地。</w:t>
      </w:r>
    </w:p>
    <w:p w14:paraId="7AF6B94D">
      <w:pPr>
        <w:pageBreakBefore w:val="0"/>
        <w:widowControl w:val="0"/>
        <w:kinsoku/>
        <w:wordWrap/>
        <w:overflowPunct/>
        <w:topLinePunct w:val="0"/>
        <w:autoSpaceDE/>
        <w:autoSpaceDN/>
        <w:bidi w:val="0"/>
        <w:adjustRightInd/>
        <w:snapToGrid/>
        <w:spacing w:line="560" w:lineRule="exact"/>
        <w:ind w:firstLine="630" w:firstLineChars="196"/>
        <w:textAlignment w:val="auto"/>
        <w:rPr>
          <w:rFonts w:hint="eastAsia" w:ascii="仿宋_GB2312" w:hAnsi="仿宋" w:eastAsia="仿宋_GB2312" w:cs="Times New Roman"/>
          <w:b/>
          <w:bCs/>
          <w:sz w:val="32"/>
          <w:szCs w:val="32"/>
          <w:lang w:val="en-US" w:eastAsia="zh-CN"/>
        </w:rPr>
      </w:pPr>
      <w:r>
        <w:rPr>
          <w:rFonts w:hint="eastAsia" w:ascii="仿宋_GB2312" w:hAnsi="仿宋" w:eastAsia="仿宋_GB2312" w:cs="Times New Roman"/>
          <w:b/>
          <w:bCs w:val="0"/>
          <w:sz w:val="32"/>
          <w:szCs w:val="32"/>
        </w:rPr>
        <w:t>加强用地用林等要素保障。</w:t>
      </w:r>
      <w:r>
        <w:rPr>
          <w:rFonts w:hint="eastAsia" w:ascii="仿宋_GB2312" w:hAnsi="仿宋" w:eastAsia="仿宋_GB2312" w:cs="Times New Roman"/>
          <w:b w:val="0"/>
          <w:bCs/>
          <w:sz w:val="32"/>
          <w:szCs w:val="32"/>
        </w:rPr>
        <w:t>统筹保障</w:t>
      </w:r>
      <w:r>
        <w:rPr>
          <w:rFonts w:hint="eastAsia" w:ascii="仿宋_GB2312" w:hAnsi="仿宋" w:eastAsia="仿宋_GB2312" w:cs="Times New Roman"/>
          <w:b w:val="0"/>
          <w:bCs/>
          <w:sz w:val="32"/>
          <w:szCs w:val="32"/>
          <w:lang w:val="en-US" w:eastAsia="zh-CN"/>
        </w:rPr>
        <w:t>磷矿、页岩气</w:t>
      </w:r>
      <w:r>
        <w:rPr>
          <w:rFonts w:hint="eastAsia" w:ascii="仿宋_GB2312" w:hAnsi="仿宋" w:eastAsia="仿宋_GB2312" w:cs="Times New Roman"/>
          <w:b w:val="0"/>
          <w:bCs/>
          <w:sz w:val="32"/>
          <w:szCs w:val="32"/>
        </w:rPr>
        <w:t>、玄武岩等重点矿产勘查开发及精深加工项目用地用林需求。优化矿业项目用地用林审批流程，推行并联办理，用好矿山临时用地政策，鼓励分期分区供地，推动土地复垦、植被恢复方案合并编制。强化国土空间规划约束，引导矿山节约集约用地，尽量避让重要保护空间。健全部门会商联动机制，提前介入项目前期选址，协调破解用地、用林、能耗等瓶颈制约，保障重点矿业项目顺利落地实施。</w:t>
      </w:r>
    </w:p>
    <w:bookmarkEnd w:id="47"/>
    <w:p w14:paraId="38F38545">
      <w:pPr>
        <w:pStyle w:val="3"/>
        <w:keepNext/>
        <w:keepLines/>
        <w:pageBreakBefore w:val="0"/>
        <w:widowControl w:val="0"/>
        <w:kinsoku/>
        <w:wordWrap/>
        <w:overflowPunct/>
        <w:topLinePunct w:val="0"/>
        <w:autoSpaceDE/>
        <w:autoSpaceDN/>
        <w:bidi w:val="0"/>
        <w:adjustRightInd/>
        <w:snapToGrid/>
        <w:spacing w:before="120" w:after="120" w:line="560" w:lineRule="exact"/>
        <w:ind w:left="0" w:leftChars="0" w:firstLine="720" w:firstLineChars="200"/>
        <w:jc w:val="left"/>
        <w:textAlignment w:val="auto"/>
        <w:rPr>
          <w:rFonts w:hint="default"/>
          <w:sz w:val="36"/>
          <w:szCs w:val="36"/>
          <w:lang w:val="en-US" w:eastAsia="zh-CN"/>
        </w:rPr>
      </w:pPr>
      <w:bookmarkStart w:id="60" w:name="_Toc9634"/>
      <w:bookmarkStart w:id="61" w:name="_Toc9409"/>
      <w:r>
        <w:rPr>
          <w:rFonts w:hint="eastAsia"/>
          <w:sz w:val="36"/>
          <w:szCs w:val="36"/>
          <w:lang w:val="en-US" w:eastAsia="zh-CN"/>
        </w:rPr>
        <w:t>八、规划保障</w:t>
      </w:r>
      <w:bookmarkEnd w:id="60"/>
      <w:r>
        <w:rPr>
          <w:rFonts w:hint="eastAsia"/>
          <w:sz w:val="36"/>
          <w:szCs w:val="36"/>
          <w:lang w:val="en-US" w:eastAsia="zh-CN"/>
        </w:rPr>
        <w:t>措施</w:t>
      </w:r>
      <w:bookmarkEnd w:id="61"/>
    </w:p>
    <w:p w14:paraId="2CBE57BD">
      <w:pPr>
        <w:pageBreakBefore w:val="0"/>
        <w:widowControl w:val="0"/>
        <w:kinsoku/>
        <w:wordWrap/>
        <w:overflowPunct/>
        <w:topLinePunct w:val="0"/>
        <w:bidi w:val="0"/>
        <w:snapToGrid/>
        <w:spacing w:line="560" w:lineRule="exact"/>
        <w:ind w:firstLine="640"/>
        <w:textAlignment w:val="auto"/>
        <w:rPr>
          <w:rFonts w:ascii="仿宋_GB2312" w:hAnsi="仿宋" w:eastAsia="仿宋_GB2312"/>
          <w:kern w:val="0"/>
          <w:szCs w:val="32"/>
        </w:rPr>
        <w:sectPr>
          <w:footerReference r:id="rId13" w:type="default"/>
          <w:pgSz w:w="11906" w:h="16838"/>
          <w:pgMar w:top="1440" w:right="1469" w:bottom="1440" w:left="1797" w:header="851" w:footer="992" w:gutter="0"/>
          <w:pgNumType w:fmt="numberInDash" w:start="1"/>
          <w:cols w:space="425" w:num="1"/>
          <w:docGrid w:type="lines" w:linePitch="312" w:charSpace="0"/>
        </w:sectPr>
      </w:pPr>
      <w:r>
        <w:rPr>
          <w:rFonts w:hint="eastAsia" w:ascii="仿宋_GB2312" w:hAnsi="仿宋" w:eastAsia="仿宋_GB2312" w:cs="Times New Roman"/>
          <w:kern w:val="0"/>
          <w:sz w:val="32"/>
          <w:szCs w:val="32"/>
          <w:lang w:val="en-US" w:eastAsia="zh-CN"/>
        </w:rPr>
        <w:t>贯彻落实省委、省政府、市委、市政府重大决策部署，在县委、县政府领导下，县级</w:t>
      </w:r>
      <w:r>
        <w:rPr>
          <w:rFonts w:hint="eastAsia" w:ascii="仿宋_GB2312" w:hAnsi="仿宋_GB2312" w:eastAsia="仿宋_GB2312" w:cs="仿宋_GB2312"/>
          <w:b w:val="0"/>
          <w:bCs/>
          <w:snapToGrid w:val="0"/>
          <w:kern w:val="0"/>
          <w:sz w:val="32"/>
          <w:szCs w:val="32"/>
          <w:highlight w:val="none"/>
          <w:u w:val="none"/>
          <w:lang w:val="en-US" w:eastAsia="zh-CN"/>
        </w:rPr>
        <w:t>各有关部门按照职责分工，加强信息共享联动，共同推动规划实施落地。</w:t>
      </w:r>
      <w:r>
        <w:rPr>
          <w:rFonts w:hint="eastAsia" w:ascii="仿宋_GB2312" w:hAnsi="仿宋_GB2312" w:eastAsia="仿宋_GB2312" w:cs="仿宋_GB2312"/>
          <w:sz w:val="32"/>
          <w:lang w:val="en-US" w:eastAsia="zh-CN"/>
        </w:rPr>
        <w:t>加强规划实施资金保障，依法开展规划实施年度监测和动态评估调整，及时发现并解决规划实施中出现的问题，提高规划实施成效。在规划实施中期和末期，及时开展总结评估。以自然资源管理和国土空间规划“一张图”系统为基础，加强规划数据与勘查、开发利用、资源储量、矿业权等基础数据的衔接和共享，提高规划管理效能。</w:t>
      </w:r>
    </w:p>
    <w:p w14:paraId="3D98E341">
      <w:pPr>
        <w:autoSpaceDE w:val="0"/>
        <w:autoSpaceDN w:val="0"/>
        <w:adjustRightInd w:val="0"/>
        <w:spacing w:line="360" w:lineRule="auto"/>
        <w:ind w:firstLine="0" w:firstLineChars="0"/>
        <w:jc w:val="center"/>
        <w:rPr>
          <w:rFonts w:hint="eastAsia" w:ascii="仿宋" w:hAnsi="仿宋" w:eastAsia="仿宋" w:cs="Times New Roman"/>
          <w:kern w:val="0"/>
          <w:sz w:val="21"/>
          <w:szCs w:val="21"/>
        </w:rPr>
      </w:pPr>
      <w:r>
        <w:rPr>
          <w:rFonts w:hint="eastAsia" w:ascii="黑体" w:hAnsi="黑体" w:eastAsia="黑体" w:cs="宋体"/>
          <w:color w:val="000000"/>
          <w:kern w:val="0"/>
          <w:sz w:val="30"/>
          <w:szCs w:val="30"/>
        </w:rPr>
        <w:t>附表1</w:t>
      </w:r>
      <w:r>
        <w:rPr>
          <w:rFonts w:hint="eastAsia" w:ascii="黑体" w:hAnsi="黑体" w:eastAsia="黑体" w:cs="宋体"/>
          <w:color w:val="000000"/>
          <w:kern w:val="0"/>
          <w:sz w:val="30"/>
          <w:szCs w:val="30"/>
          <w:lang w:val="en-US" w:eastAsia="zh-CN"/>
        </w:rPr>
        <w:t xml:space="preserve"> </w:t>
      </w:r>
      <w:r>
        <w:rPr>
          <w:rFonts w:hint="eastAsia" w:ascii="黑体" w:hAnsi="黑体" w:eastAsia="黑体" w:cs="宋体"/>
          <w:color w:val="000000"/>
          <w:kern w:val="0"/>
          <w:sz w:val="30"/>
          <w:szCs w:val="30"/>
        </w:rPr>
        <w:t xml:space="preserve"> </w:t>
      </w:r>
      <w:r>
        <w:rPr>
          <w:rFonts w:hint="eastAsia" w:ascii="黑体" w:hAnsi="黑体" w:eastAsia="黑体" w:cs="宋体"/>
          <w:color w:val="000000"/>
          <w:kern w:val="0"/>
          <w:sz w:val="30"/>
          <w:szCs w:val="30"/>
          <w:lang w:val="en-US" w:eastAsia="zh-CN"/>
        </w:rPr>
        <w:t>马边县</w:t>
      </w:r>
      <w:r>
        <w:rPr>
          <w:rFonts w:hint="eastAsia" w:ascii="黑体" w:hAnsi="黑体" w:eastAsia="黑体" w:cs="宋体"/>
          <w:color w:val="000000"/>
          <w:kern w:val="0"/>
          <w:sz w:val="30"/>
          <w:szCs w:val="30"/>
        </w:rPr>
        <w:t>能源资源基地表</w:t>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1"/>
        <w:gridCol w:w="1191"/>
        <w:gridCol w:w="1156"/>
        <w:gridCol w:w="730"/>
        <w:gridCol w:w="1106"/>
        <w:gridCol w:w="751"/>
        <w:gridCol w:w="861"/>
        <w:gridCol w:w="861"/>
        <w:gridCol w:w="775"/>
        <w:gridCol w:w="861"/>
        <w:gridCol w:w="1740"/>
        <w:gridCol w:w="861"/>
        <w:gridCol w:w="775"/>
        <w:gridCol w:w="689"/>
        <w:gridCol w:w="1566"/>
        <w:gridCol w:w="432"/>
      </w:tblGrid>
      <w:tr w14:paraId="477C4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065"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16A89">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序号</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63E80">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编号</w:t>
            </w:r>
          </w:p>
        </w:tc>
        <w:tc>
          <w:tcPr>
            <w:tcW w:w="3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39F5D">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名称</w:t>
            </w:r>
          </w:p>
        </w:tc>
        <w:tc>
          <w:tcPr>
            <w:tcW w:w="2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6DBA">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主要矿种</w:t>
            </w:r>
          </w:p>
        </w:tc>
        <w:tc>
          <w:tcPr>
            <w:tcW w:w="3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15A67">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面积（平方千米）</w:t>
            </w: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92396">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拐点坐标</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EA45F">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已设探矿权数量</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324360">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拟设探矿权数量</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07166">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勘查项目数量</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DF817">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已设采矿权数量</w:t>
            </w:r>
          </w:p>
        </w:tc>
        <w:tc>
          <w:tcPr>
            <w:tcW w:w="5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3B9A1">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已设采矿权设计开采规模（万吨/年）</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25C0">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拟设采矿权数量</w:t>
            </w:r>
          </w:p>
        </w:tc>
        <w:tc>
          <w:tcPr>
            <w:tcW w:w="2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881A9">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开采项目数量</w:t>
            </w:r>
          </w:p>
        </w:tc>
        <w:tc>
          <w:tcPr>
            <w:tcW w:w="2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96C14">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新增开采量</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DA6D6">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所在行政区</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61C58">
            <w:pPr>
              <w:widowControl/>
              <w:ind w:firstLine="0" w:firstLineChars="0"/>
              <w:jc w:val="center"/>
              <w:rPr>
                <w:rFonts w:hint="eastAsia" w:ascii="仿宋_GB2312" w:hAnsi="宋体" w:eastAsia="仿宋_GB2312" w:cs="宋体"/>
                <w:b/>
                <w:bCs/>
                <w:color w:val="000000"/>
                <w:kern w:val="0"/>
                <w:sz w:val="15"/>
                <w:szCs w:val="15"/>
              </w:rPr>
            </w:pPr>
            <w:r>
              <w:rPr>
                <w:rFonts w:hint="eastAsia" w:ascii="仿宋_GB2312" w:hAnsi="宋体" w:eastAsia="仿宋_GB2312" w:cs="宋体"/>
                <w:b/>
                <w:bCs/>
                <w:color w:val="000000"/>
                <w:kern w:val="0"/>
                <w:sz w:val="15"/>
                <w:szCs w:val="15"/>
                <w:lang w:val="en-US" w:eastAsia="zh-CN"/>
              </w:rPr>
              <w:t>备份</w:t>
            </w:r>
          </w:p>
        </w:tc>
      </w:tr>
      <w:tr w14:paraId="6F609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4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55E7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val="0"/>
                <w:bCs w:val="0"/>
                <w:color w:val="000000"/>
                <w:kern w:val="0"/>
                <w:sz w:val="15"/>
                <w:szCs w:val="15"/>
              </w:rPr>
            </w:pPr>
            <w:r>
              <w:rPr>
                <w:rFonts w:hint="eastAsia" w:ascii="仿宋" w:hAnsi="仿宋" w:eastAsia="仿宋" w:cs="仿宋"/>
                <w:i w:val="0"/>
                <w:iCs w:val="0"/>
                <w:color w:val="000000"/>
                <w:kern w:val="0"/>
                <w:sz w:val="15"/>
                <w:szCs w:val="15"/>
                <w:u w:val="none"/>
                <w:lang w:val="en-US" w:eastAsia="zh-CN" w:bidi="ar"/>
              </w:rPr>
              <w:t>1</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115B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eastAsia" w:ascii="仿宋" w:hAnsi="仿宋" w:eastAsia="仿宋" w:cs="仿宋"/>
                <w:b w:val="0"/>
                <w:bCs w:val="0"/>
                <w:color w:val="000000"/>
                <w:kern w:val="0"/>
                <w:sz w:val="15"/>
                <w:szCs w:val="15"/>
              </w:rPr>
            </w:pPr>
            <w:r>
              <w:rPr>
                <w:rFonts w:hint="eastAsia" w:ascii="仿宋" w:hAnsi="仿宋" w:eastAsia="仿宋" w:cs="仿宋"/>
                <w:i w:val="0"/>
                <w:iCs w:val="0"/>
                <w:color w:val="000000"/>
                <w:kern w:val="0"/>
                <w:sz w:val="15"/>
                <w:szCs w:val="15"/>
                <w:u w:val="none"/>
                <w:lang w:val="en-US" w:eastAsia="zh-CN" w:bidi="ar"/>
              </w:rPr>
              <w:t>NY5111</w:t>
            </w:r>
            <w:r>
              <w:rPr>
                <w:rFonts w:hint="eastAsia" w:ascii="仿宋" w:hAnsi="仿宋" w:cs="仿宋"/>
                <w:i w:val="0"/>
                <w:iCs w:val="0"/>
                <w:color w:val="000000"/>
                <w:kern w:val="0"/>
                <w:sz w:val="15"/>
                <w:szCs w:val="15"/>
                <w:u w:val="none"/>
                <w:lang w:val="en-US" w:eastAsia="zh-CN" w:bidi="ar"/>
              </w:rPr>
              <w:t>33</w:t>
            </w:r>
            <w:r>
              <w:rPr>
                <w:rFonts w:hint="eastAsia" w:ascii="仿宋" w:hAnsi="仿宋" w:eastAsia="仿宋" w:cs="仿宋"/>
                <w:i w:val="0"/>
                <w:iCs w:val="0"/>
                <w:color w:val="000000"/>
                <w:kern w:val="0"/>
                <w:sz w:val="15"/>
                <w:szCs w:val="15"/>
                <w:u w:val="none"/>
                <w:lang w:val="en-US" w:eastAsia="zh-CN" w:bidi="ar"/>
              </w:rPr>
              <w:t>00001</w:t>
            </w: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C4F9">
            <w:pPr>
              <w:widowControl/>
              <w:spacing w:line="240" w:lineRule="auto"/>
              <w:ind w:firstLine="0" w:firstLineChars="0"/>
              <w:jc w:val="center"/>
              <w:rPr>
                <w:rFonts w:hint="eastAsia" w:ascii="仿宋" w:hAnsi="仿宋" w:eastAsia="仿宋" w:cs="仿宋"/>
                <w:b w:val="0"/>
                <w:bCs w:val="0"/>
                <w:color w:val="000000"/>
                <w:kern w:val="0"/>
                <w:sz w:val="15"/>
                <w:szCs w:val="15"/>
              </w:rPr>
            </w:pPr>
            <w:r>
              <w:rPr>
                <w:rFonts w:hint="eastAsia" w:ascii="仿宋_GB2312" w:hAnsi="宋体" w:eastAsia="仿宋_GB2312" w:cs="宋体"/>
                <w:b w:val="0"/>
                <w:bCs w:val="0"/>
                <w:color w:val="000000"/>
                <w:kern w:val="0"/>
                <w:sz w:val="15"/>
                <w:szCs w:val="15"/>
                <w:lang w:val="en-US" w:eastAsia="zh-CN"/>
              </w:rPr>
              <w:t>四川马边</w:t>
            </w: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79307">
            <w:pPr>
              <w:widowControl/>
              <w:spacing w:line="240" w:lineRule="auto"/>
              <w:ind w:firstLine="0" w:firstLineChars="0"/>
              <w:jc w:val="center"/>
              <w:rPr>
                <w:rFonts w:hint="eastAsia" w:ascii="仿宋" w:hAnsi="仿宋" w:eastAsia="仿宋" w:cs="仿宋"/>
                <w:b w:val="0"/>
                <w:bCs w:val="0"/>
                <w:color w:val="000000"/>
                <w:kern w:val="0"/>
                <w:sz w:val="15"/>
                <w:szCs w:val="15"/>
              </w:rPr>
            </w:pPr>
            <w:r>
              <w:rPr>
                <w:rFonts w:hint="eastAsia" w:ascii="仿宋_GB2312" w:hAnsi="宋体" w:eastAsia="仿宋_GB2312" w:cs="宋体"/>
                <w:b w:val="0"/>
                <w:bCs w:val="0"/>
                <w:color w:val="000000"/>
                <w:kern w:val="0"/>
                <w:sz w:val="15"/>
                <w:szCs w:val="15"/>
                <w:lang w:val="en-US" w:eastAsia="zh-CN"/>
              </w:rPr>
              <w:t>磷</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5091">
            <w:pPr>
              <w:keepNext w:val="0"/>
              <w:keepLines w:val="0"/>
              <w:widowControl/>
              <w:suppressLineNumbers w:val="0"/>
              <w:spacing w:line="240" w:lineRule="auto"/>
              <w:ind w:firstLine="0" w:firstLineChars="0"/>
              <w:jc w:val="center"/>
              <w:textAlignment w:val="auto"/>
              <w:rPr>
                <w:rFonts w:hint="eastAsia" w:ascii="仿宋" w:hAnsi="仿宋" w:eastAsia="仿宋" w:cs="仿宋"/>
                <w:b w:val="0"/>
                <w:bCs w:val="0"/>
                <w:color w:val="000000"/>
                <w:kern w:val="0"/>
                <w:sz w:val="15"/>
                <w:szCs w:val="15"/>
              </w:rPr>
            </w:pPr>
            <w:r>
              <w:rPr>
                <w:rFonts w:hint="eastAsia" w:ascii="仿宋_GB2312" w:hAnsi="宋体" w:eastAsia="仿宋_GB2312" w:cs="宋体"/>
                <w:i w:val="0"/>
                <w:iCs w:val="0"/>
                <w:color w:val="000000"/>
                <w:kern w:val="0"/>
                <w:sz w:val="15"/>
                <w:szCs w:val="15"/>
                <w:highlight w:val="none"/>
                <w:u w:val="none"/>
                <w:lang w:val="en-US" w:eastAsia="zh-CN" w:bidi="ar"/>
              </w:rPr>
              <w:t xml:space="preserve">156.30 </w:t>
            </w:r>
          </w:p>
        </w:tc>
        <w:tc>
          <w:tcPr>
            <w:tcW w:w="7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10EA">
            <w:pPr>
              <w:widowControl/>
              <w:spacing w:line="240" w:lineRule="auto"/>
              <w:ind w:firstLine="0" w:firstLineChars="0"/>
              <w:jc w:val="center"/>
              <w:rPr>
                <w:rFonts w:hint="eastAsia" w:ascii="仿宋" w:hAnsi="仿宋" w:eastAsia="仿宋" w:cs="仿宋"/>
                <w:b w:val="0"/>
                <w:bCs w:val="0"/>
                <w:color w:val="000000"/>
                <w:kern w:val="0"/>
                <w:sz w:val="15"/>
                <w:szCs w:val="15"/>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3290">
            <w:pPr>
              <w:widowControl/>
              <w:spacing w:line="240" w:lineRule="auto"/>
              <w:ind w:firstLine="0" w:firstLineChars="0"/>
              <w:jc w:val="center"/>
              <w:rPr>
                <w:rFonts w:hint="eastAsia" w:ascii="仿宋" w:hAnsi="仿宋" w:eastAsia="仿宋" w:cs="仿宋"/>
                <w:b w:val="0"/>
                <w:bCs w:val="0"/>
                <w:color w:val="000000"/>
                <w:kern w:val="0"/>
                <w:sz w:val="15"/>
                <w:szCs w:val="15"/>
              </w:rPr>
            </w:pPr>
            <w:r>
              <w:rPr>
                <w:rFonts w:hint="eastAsia" w:ascii="仿宋_GB2312" w:hAnsi="宋体" w:eastAsia="仿宋_GB2312" w:cs="宋体"/>
                <w:b w:val="0"/>
                <w:bCs w:val="0"/>
                <w:color w:val="000000"/>
                <w:kern w:val="0"/>
                <w:sz w:val="15"/>
                <w:szCs w:val="15"/>
                <w:lang w:val="en-US" w:eastAsia="zh-CN"/>
              </w:rPr>
              <w:t>1</w:t>
            </w: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3B689">
            <w:pPr>
              <w:widowControl/>
              <w:spacing w:line="240" w:lineRule="auto"/>
              <w:ind w:firstLine="0" w:firstLineChars="0"/>
              <w:jc w:val="center"/>
              <w:rPr>
                <w:rFonts w:hint="eastAsia" w:ascii="仿宋" w:hAnsi="仿宋" w:eastAsia="仿宋" w:cs="仿宋"/>
                <w:b w:val="0"/>
                <w:bCs w:val="0"/>
                <w:color w:val="000000"/>
                <w:kern w:val="0"/>
                <w:sz w:val="15"/>
                <w:szCs w:val="15"/>
              </w:rPr>
            </w:pPr>
            <w:r>
              <w:rPr>
                <w:rFonts w:hint="eastAsia" w:ascii="仿宋_GB2312" w:hAnsi="宋体" w:eastAsia="仿宋_GB2312" w:cs="宋体"/>
                <w:b w:val="0"/>
                <w:bCs w:val="0"/>
                <w:color w:val="000000"/>
                <w:kern w:val="0"/>
                <w:sz w:val="15"/>
                <w:szCs w:val="15"/>
                <w:lang w:val="en-US" w:eastAsia="zh-CN"/>
              </w:rPr>
              <w:t>3</w:t>
            </w: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2342">
            <w:pPr>
              <w:widowControl/>
              <w:spacing w:line="240" w:lineRule="auto"/>
              <w:ind w:firstLine="0" w:firstLineChars="0"/>
              <w:jc w:val="center"/>
              <w:rPr>
                <w:rFonts w:hint="eastAsia" w:ascii="仿宋" w:hAnsi="仿宋" w:eastAsia="仿宋" w:cs="仿宋"/>
                <w:b w:val="0"/>
                <w:bCs w:val="0"/>
                <w:color w:val="000000"/>
                <w:kern w:val="0"/>
                <w:sz w:val="15"/>
                <w:szCs w:val="15"/>
              </w:rPr>
            </w:pP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96D55">
            <w:pPr>
              <w:widowControl/>
              <w:spacing w:line="240" w:lineRule="auto"/>
              <w:ind w:firstLine="0" w:firstLineChars="0"/>
              <w:jc w:val="center"/>
              <w:rPr>
                <w:rFonts w:hint="default" w:ascii="仿宋" w:hAnsi="仿宋" w:eastAsia="仿宋" w:cs="仿宋"/>
                <w:b w:val="0"/>
                <w:bCs w:val="0"/>
                <w:color w:val="000000"/>
                <w:kern w:val="0"/>
                <w:sz w:val="15"/>
                <w:szCs w:val="15"/>
                <w:lang w:val="en-US"/>
              </w:rPr>
            </w:pPr>
            <w:r>
              <w:rPr>
                <w:rFonts w:hint="eastAsia" w:ascii="仿宋_GB2312" w:hAnsi="宋体" w:eastAsia="仿宋_GB2312" w:cs="宋体"/>
                <w:b w:val="0"/>
                <w:bCs w:val="0"/>
                <w:color w:val="000000"/>
                <w:kern w:val="0"/>
                <w:sz w:val="15"/>
                <w:szCs w:val="15"/>
                <w:lang w:val="en-US" w:eastAsia="zh-CN"/>
              </w:rPr>
              <w:t>17</w:t>
            </w:r>
          </w:p>
        </w:tc>
        <w:tc>
          <w:tcPr>
            <w:tcW w:w="1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1D3F3">
            <w:pPr>
              <w:widowControl/>
              <w:spacing w:line="240" w:lineRule="auto"/>
              <w:ind w:firstLine="0" w:firstLineChars="0"/>
              <w:jc w:val="center"/>
              <w:rPr>
                <w:rFonts w:hint="default" w:ascii="仿宋" w:hAnsi="仿宋" w:eastAsia="仿宋" w:cs="仿宋"/>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1380</w:t>
            </w:r>
          </w:p>
        </w:tc>
        <w:tc>
          <w:tcPr>
            <w:tcW w:w="8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8FE52A">
            <w:pPr>
              <w:widowControl/>
              <w:spacing w:line="240" w:lineRule="auto"/>
              <w:ind w:firstLine="0" w:firstLineChars="0"/>
              <w:jc w:val="center"/>
              <w:rPr>
                <w:rFonts w:hint="eastAsia" w:ascii="仿宋" w:hAnsi="仿宋" w:eastAsia="仿宋" w:cs="仿宋"/>
                <w:b w:val="0"/>
                <w:bCs w:val="0"/>
                <w:color w:val="000000"/>
                <w:kern w:val="0"/>
                <w:sz w:val="15"/>
                <w:szCs w:val="15"/>
              </w:rPr>
            </w:pPr>
          </w:p>
        </w:tc>
        <w:tc>
          <w:tcPr>
            <w:tcW w:w="7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93A30">
            <w:pPr>
              <w:widowControl/>
              <w:spacing w:line="240" w:lineRule="auto"/>
              <w:ind w:firstLine="0" w:firstLineChars="0"/>
              <w:jc w:val="center"/>
              <w:rPr>
                <w:rFonts w:hint="eastAsia" w:ascii="仿宋" w:hAnsi="仿宋" w:eastAsia="仿宋" w:cs="仿宋"/>
                <w:b w:val="0"/>
                <w:bCs w:val="0"/>
                <w:color w:val="000000"/>
                <w:kern w:val="0"/>
                <w:sz w:val="15"/>
                <w:szCs w:val="15"/>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CCE74E">
            <w:pPr>
              <w:widowControl/>
              <w:spacing w:line="240" w:lineRule="auto"/>
              <w:ind w:firstLine="0" w:firstLineChars="0"/>
              <w:jc w:val="center"/>
              <w:rPr>
                <w:rFonts w:hint="eastAsia" w:ascii="仿宋" w:hAnsi="仿宋" w:eastAsia="仿宋" w:cs="仿宋"/>
                <w:b w:val="0"/>
                <w:bCs w:val="0"/>
                <w:color w:val="000000"/>
                <w:kern w:val="0"/>
                <w:sz w:val="15"/>
                <w:szCs w:val="15"/>
              </w:rPr>
            </w:pPr>
          </w:p>
        </w:tc>
        <w:tc>
          <w:tcPr>
            <w:tcW w:w="156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C4A88">
            <w:pPr>
              <w:widowControl/>
              <w:spacing w:line="240" w:lineRule="auto"/>
              <w:ind w:firstLine="0" w:firstLineChars="0"/>
              <w:jc w:val="center"/>
              <w:rPr>
                <w:rFonts w:hint="default" w:ascii="仿宋" w:hAnsi="仿宋" w:eastAsia="仿宋" w:cs="仿宋"/>
                <w:b w:val="0"/>
                <w:bCs w:val="0"/>
                <w:color w:val="000000"/>
                <w:kern w:val="0"/>
                <w:sz w:val="15"/>
                <w:szCs w:val="15"/>
                <w:lang w:val="en-US" w:eastAsia="zh-CN"/>
              </w:rPr>
            </w:pPr>
            <w:r>
              <w:rPr>
                <w:rFonts w:hint="eastAsia" w:ascii="仿宋_GB2312" w:hAnsi="宋体" w:eastAsia="仿宋_GB2312" w:cs="宋体"/>
                <w:kern w:val="0"/>
                <w:sz w:val="15"/>
                <w:szCs w:val="15"/>
                <w:lang w:val="en-US" w:eastAsia="zh-CN"/>
              </w:rPr>
              <w:t>雪口山镇、烟峰镇、高卓营乡、永红乡</w:t>
            </w:r>
          </w:p>
        </w:tc>
        <w:tc>
          <w:tcPr>
            <w:tcW w:w="4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8DAD">
            <w:pPr>
              <w:rPr>
                <w:rFonts w:hint="eastAsia" w:ascii="仿宋" w:hAnsi="仿宋" w:eastAsia="仿宋" w:cs="仿宋"/>
                <w:b w:val="0"/>
                <w:bCs w:val="0"/>
                <w:color w:val="000000"/>
                <w:kern w:val="0"/>
                <w:sz w:val="15"/>
                <w:szCs w:val="15"/>
              </w:rPr>
            </w:pPr>
          </w:p>
        </w:tc>
      </w:tr>
      <w:tr w14:paraId="124D4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1122" w:hRule="atLeast"/>
        </w:trPr>
        <w:tc>
          <w:tcPr>
            <w:tcW w:w="1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EF2CDC">
            <w:pPr>
              <w:widowControl/>
              <w:ind w:firstLine="0" w:firstLineChars="0"/>
              <w:jc w:val="center"/>
              <w:rPr>
                <w:rFonts w:hint="eastAsia" w:ascii="仿宋_GB2312" w:hAnsi="宋体" w:eastAsia="仿宋_GB2312" w:cs="宋体"/>
                <w:b w:val="0"/>
                <w:bCs w:val="0"/>
                <w:color w:val="000000"/>
                <w:kern w:val="0"/>
                <w:sz w:val="15"/>
                <w:szCs w:val="15"/>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FDFE7">
            <w:pPr>
              <w:widowControl/>
              <w:ind w:firstLine="0" w:firstLineChars="0"/>
              <w:jc w:val="center"/>
              <w:rPr>
                <w:rFonts w:hint="eastAsia" w:ascii="仿宋_GB2312" w:hAnsi="宋体" w:eastAsia="仿宋_GB2312" w:cs="宋体"/>
                <w:b w:val="0"/>
                <w:bCs w:val="0"/>
                <w:color w:val="000000"/>
                <w:kern w:val="0"/>
                <w:sz w:val="15"/>
                <w:szCs w:val="15"/>
              </w:rPr>
            </w:pPr>
          </w:p>
        </w:tc>
        <w:tc>
          <w:tcPr>
            <w:tcW w:w="11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EC696">
            <w:pPr>
              <w:widowControl/>
              <w:ind w:firstLine="0" w:firstLineChars="0"/>
              <w:jc w:val="center"/>
              <w:rPr>
                <w:rFonts w:hint="eastAsia" w:ascii="仿宋_GB2312" w:hAnsi="宋体" w:eastAsia="仿宋_GB2312" w:cs="宋体"/>
                <w:b w:val="0"/>
                <w:bCs w:val="0"/>
                <w:color w:val="000000"/>
                <w:kern w:val="0"/>
                <w:sz w:val="15"/>
                <w:szCs w:val="15"/>
              </w:rPr>
            </w:pPr>
          </w:p>
        </w:tc>
        <w:tc>
          <w:tcPr>
            <w:tcW w:w="7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C9CCE">
            <w:pPr>
              <w:widowControl/>
              <w:ind w:firstLine="0" w:firstLineChars="0"/>
              <w:jc w:val="center"/>
              <w:rPr>
                <w:rFonts w:hint="eastAsia" w:ascii="仿宋_GB2312" w:hAnsi="宋体" w:eastAsia="仿宋_GB2312" w:cs="宋体"/>
                <w:b w:val="0"/>
                <w:bCs w:val="0"/>
                <w:color w:val="000000"/>
                <w:kern w:val="0"/>
                <w:sz w:val="15"/>
                <w:szCs w:val="15"/>
              </w:rPr>
            </w:pP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416B3">
            <w:pPr>
              <w:widowControl/>
              <w:ind w:firstLine="0" w:firstLineChars="0"/>
              <w:jc w:val="center"/>
              <w:rPr>
                <w:rFonts w:hint="default" w:ascii="仿宋_GB2312" w:hAnsi="宋体" w:eastAsia="仿宋_GB2312" w:cs="宋体"/>
                <w:b w:val="0"/>
                <w:bCs w:val="0"/>
                <w:color w:val="000000"/>
                <w:kern w:val="0"/>
                <w:sz w:val="15"/>
                <w:szCs w:val="15"/>
                <w:lang w:val="en-US"/>
              </w:rPr>
            </w:pPr>
          </w:p>
        </w:tc>
        <w:tc>
          <w:tcPr>
            <w:tcW w:w="2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1FD0E">
            <w:pPr>
              <w:widowControl/>
              <w:ind w:firstLine="0" w:firstLineChars="0"/>
              <w:jc w:val="center"/>
              <w:rPr>
                <w:rFonts w:hint="eastAsia" w:ascii="仿宋_GB2312" w:hAnsi="宋体" w:eastAsia="仿宋_GB2312" w:cs="宋体"/>
                <w:b w:val="0"/>
                <w:bCs w:val="0"/>
                <w:color w:val="000000"/>
                <w:kern w:val="0"/>
                <w:sz w:val="15"/>
                <w:szCs w:val="15"/>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1C583">
            <w:pPr>
              <w:widowControl/>
              <w:ind w:firstLine="0" w:firstLineChars="0"/>
              <w:jc w:val="center"/>
              <w:rPr>
                <w:rFonts w:hint="eastAsia" w:ascii="仿宋_GB2312" w:hAnsi="宋体" w:eastAsia="仿宋_GB2312" w:cs="宋体"/>
                <w:b w:val="0"/>
                <w:bCs w:val="0"/>
                <w:color w:val="000000"/>
                <w:kern w:val="0"/>
                <w:sz w:val="15"/>
                <w:szCs w:val="15"/>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2A733">
            <w:pPr>
              <w:widowControl/>
              <w:ind w:firstLine="0" w:firstLineChars="0"/>
              <w:jc w:val="center"/>
              <w:rPr>
                <w:rFonts w:hint="eastAsia" w:ascii="仿宋_GB2312" w:hAnsi="宋体" w:eastAsia="仿宋_GB2312" w:cs="宋体"/>
                <w:b w:val="0"/>
                <w:bCs w:val="0"/>
                <w:color w:val="000000"/>
                <w:kern w:val="0"/>
                <w:sz w:val="15"/>
                <w:szCs w:val="15"/>
              </w:rPr>
            </w:pP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762BC">
            <w:pPr>
              <w:widowControl/>
              <w:ind w:firstLine="0" w:firstLineChars="0"/>
              <w:jc w:val="center"/>
              <w:rPr>
                <w:rFonts w:hint="eastAsia" w:ascii="仿宋_GB2312" w:hAnsi="宋体" w:eastAsia="仿宋_GB2312" w:cs="宋体"/>
                <w:b w:val="0"/>
                <w:bCs w:val="0"/>
                <w:color w:val="000000"/>
                <w:kern w:val="0"/>
                <w:sz w:val="15"/>
                <w:szCs w:val="15"/>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3F742">
            <w:pPr>
              <w:widowControl/>
              <w:ind w:firstLine="0" w:firstLineChars="0"/>
              <w:jc w:val="center"/>
              <w:rPr>
                <w:rFonts w:hint="eastAsia" w:ascii="仿宋_GB2312" w:hAnsi="宋体" w:eastAsia="仿宋_GB2312" w:cs="宋体"/>
                <w:b w:val="0"/>
                <w:bCs w:val="0"/>
                <w:color w:val="000000"/>
                <w:kern w:val="0"/>
                <w:sz w:val="15"/>
                <w:szCs w:val="15"/>
              </w:rPr>
            </w:pPr>
          </w:p>
        </w:tc>
        <w:tc>
          <w:tcPr>
            <w:tcW w:w="5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912CF">
            <w:pPr>
              <w:widowControl/>
              <w:ind w:firstLine="0" w:firstLineChars="0"/>
              <w:jc w:val="center"/>
              <w:rPr>
                <w:rFonts w:hint="default" w:ascii="仿宋_GB2312" w:hAnsi="宋体" w:eastAsia="仿宋_GB2312" w:cs="宋体"/>
                <w:b w:val="0"/>
                <w:bCs w:val="0"/>
                <w:color w:val="000000"/>
                <w:kern w:val="0"/>
                <w:sz w:val="15"/>
                <w:szCs w:val="15"/>
                <w:lang w:val="en-US" w:eastAsia="zh-CN"/>
              </w:rPr>
            </w:pP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70660">
            <w:pPr>
              <w:widowControl/>
              <w:ind w:firstLine="0" w:firstLineChars="0"/>
              <w:jc w:val="center"/>
              <w:rPr>
                <w:rFonts w:hint="eastAsia" w:ascii="仿宋_GB2312" w:hAnsi="宋体" w:eastAsia="仿宋_GB2312" w:cs="宋体"/>
                <w:b w:val="0"/>
                <w:bCs w:val="0"/>
                <w:color w:val="000000"/>
                <w:kern w:val="0"/>
                <w:sz w:val="15"/>
                <w:szCs w:val="15"/>
              </w:rPr>
            </w:pPr>
          </w:p>
        </w:tc>
        <w:tc>
          <w:tcPr>
            <w:tcW w:w="26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3E2F5">
            <w:pPr>
              <w:widowControl/>
              <w:ind w:firstLine="0" w:firstLineChars="0"/>
              <w:jc w:val="center"/>
              <w:rPr>
                <w:rFonts w:hint="eastAsia" w:ascii="仿宋_GB2312" w:hAnsi="宋体" w:eastAsia="仿宋_GB2312" w:cs="宋体"/>
                <w:b w:val="0"/>
                <w:bCs w:val="0"/>
                <w:color w:val="000000"/>
                <w:kern w:val="0"/>
                <w:sz w:val="15"/>
                <w:szCs w:val="15"/>
              </w:rPr>
            </w:pPr>
          </w:p>
        </w:tc>
        <w:tc>
          <w:tcPr>
            <w:tcW w:w="24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3C42D">
            <w:pPr>
              <w:widowControl/>
              <w:ind w:firstLine="0" w:firstLineChars="0"/>
              <w:jc w:val="center"/>
              <w:rPr>
                <w:rFonts w:hint="eastAsia" w:ascii="仿宋_GB2312" w:hAnsi="宋体" w:eastAsia="仿宋_GB2312" w:cs="宋体"/>
                <w:b w:val="0"/>
                <w:bCs w:val="0"/>
                <w:color w:val="000000"/>
                <w:kern w:val="0"/>
                <w:sz w:val="15"/>
                <w:szCs w:val="15"/>
              </w:rPr>
            </w:pPr>
          </w:p>
        </w:tc>
        <w:tc>
          <w:tcPr>
            <w:tcW w:w="4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FB971">
            <w:pPr>
              <w:widowControl/>
              <w:ind w:firstLine="0" w:firstLineChars="0"/>
              <w:jc w:val="center"/>
              <w:rPr>
                <w:rFonts w:hint="eastAsia" w:ascii="仿宋_GB2312" w:hAnsi="宋体" w:eastAsia="仿宋_GB2312" w:cs="宋体"/>
                <w:b w:val="0"/>
                <w:bCs w:val="0"/>
                <w:color w:val="000000"/>
                <w:kern w:val="0"/>
                <w:sz w:val="15"/>
                <w:szCs w:val="15"/>
              </w:rPr>
            </w:pPr>
          </w:p>
        </w:tc>
        <w:tc>
          <w:tcPr>
            <w:tcW w:w="153" w:type="pct"/>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CCECD0">
            <w:pPr>
              <w:widowControl/>
              <w:ind w:firstLine="0" w:firstLineChars="0"/>
              <w:jc w:val="center"/>
              <w:rPr>
                <w:rFonts w:hint="eastAsia" w:ascii="仿宋_GB2312" w:hAnsi="宋体" w:eastAsia="仿宋_GB2312" w:cs="宋体"/>
                <w:b w:val="0"/>
                <w:bCs w:val="0"/>
                <w:color w:val="000000"/>
                <w:kern w:val="0"/>
                <w:sz w:val="15"/>
                <w:szCs w:val="15"/>
              </w:rPr>
            </w:pPr>
          </w:p>
        </w:tc>
      </w:tr>
    </w:tbl>
    <w:p w14:paraId="723991D0">
      <w:pPr>
        <w:ind w:firstLine="420" w:firstLineChars="200"/>
        <w:jc w:val="left"/>
        <w:rPr>
          <w:rFonts w:ascii="仿宋" w:hAnsi="仿宋" w:eastAsia="仿宋" w:cs="Times New Roman"/>
          <w:kern w:val="0"/>
          <w:sz w:val="21"/>
          <w:szCs w:val="21"/>
        </w:rPr>
      </w:pPr>
      <w:r>
        <w:rPr>
          <w:rFonts w:hint="eastAsia" w:ascii="仿宋" w:hAnsi="仿宋" w:eastAsia="仿宋" w:cs="Times New Roman"/>
          <w:kern w:val="0"/>
          <w:sz w:val="21"/>
          <w:szCs w:val="21"/>
        </w:rPr>
        <w:t>备注：1.拐点坐标及空间范围以规划数据库为准；</w:t>
      </w:r>
    </w:p>
    <w:p w14:paraId="1D51BAD0">
      <w:pPr>
        <w:ind w:firstLine="1050" w:firstLineChars="500"/>
        <w:jc w:val="left"/>
        <w:rPr>
          <w:rFonts w:hint="eastAsia" w:ascii="仿宋" w:hAnsi="仿宋" w:eastAsia="仿宋" w:cs="Times New Roman"/>
          <w:kern w:val="0"/>
          <w:szCs w:val="21"/>
        </w:rPr>
        <w:sectPr>
          <w:pgSz w:w="16838" w:h="11906" w:orient="landscape"/>
          <w:pgMar w:top="1797" w:right="1134" w:bottom="1797" w:left="1134" w:header="851" w:footer="992" w:gutter="0"/>
          <w:pgNumType w:fmt="numberInDash"/>
          <w:cols w:space="425" w:num="1"/>
          <w:docGrid w:type="lines" w:linePitch="312" w:charSpace="0"/>
        </w:sectPr>
      </w:pPr>
      <w:r>
        <w:rPr>
          <w:rFonts w:hint="eastAsia" w:ascii="仿宋" w:hAnsi="仿宋" w:eastAsia="仿宋" w:cs="Times New Roman"/>
          <w:kern w:val="0"/>
          <w:sz w:val="21"/>
          <w:szCs w:val="21"/>
        </w:rPr>
        <w:t>2.能源资源基地内设置矿业权时应符合国土空间规划管控要求。</w:t>
      </w:r>
    </w:p>
    <w:p w14:paraId="1CCE12D6">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附表2</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国家规划矿区表</w:t>
      </w:r>
    </w:p>
    <w:tbl>
      <w:tblPr>
        <w:tblStyle w:val="17"/>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9"/>
        <w:gridCol w:w="1190"/>
        <w:gridCol w:w="2545"/>
        <w:gridCol w:w="702"/>
        <w:gridCol w:w="806"/>
        <w:gridCol w:w="619"/>
        <w:gridCol w:w="1191"/>
        <w:gridCol w:w="436"/>
        <w:gridCol w:w="578"/>
        <w:gridCol w:w="578"/>
        <w:gridCol w:w="542"/>
        <w:gridCol w:w="578"/>
        <w:gridCol w:w="1025"/>
        <w:gridCol w:w="578"/>
        <w:gridCol w:w="542"/>
        <w:gridCol w:w="507"/>
        <w:gridCol w:w="1567"/>
        <w:gridCol w:w="403"/>
      </w:tblGrid>
      <w:tr w14:paraId="4DDD0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70" w:hRule="atLeast"/>
        </w:trPr>
        <w:tc>
          <w:tcPr>
            <w:tcW w:w="1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0F98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98A0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8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44D7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2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6EC3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2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1A7A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面积(平方千米)</w:t>
            </w: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16E9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4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B3A5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资源量单位</w:t>
            </w: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2ACD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309C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已设探矿权数量</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7F70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拟设探矿权数量</w:t>
            </w:r>
          </w:p>
        </w:tc>
        <w:tc>
          <w:tcPr>
            <w:tcW w:w="1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69A8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勘查项目数量</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91C0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已设采矿权数量</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41FE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已设采矿权设计开采规划（万吨/年）</w:t>
            </w:r>
          </w:p>
        </w:tc>
        <w:tc>
          <w:tcPr>
            <w:tcW w:w="1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405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拟设采矿权数量</w:t>
            </w:r>
          </w:p>
        </w:tc>
        <w:tc>
          <w:tcPr>
            <w:tcW w:w="183" w:type="pct"/>
            <w:tcBorders>
              <w:top w:val="single" w:color="000000" w:sz="4" w:space="0"/>
              <w:left w:val="single" w:color="000000" w:sz="4" w:space="0"/>
              <w:bottom w:val="single" w:color="auto" w:sz="4" w:space="0"/>
              <w:right w:val="single" w:color="000000" w:sz="4" w:space="0"/>
            </w:tcBorders>
            <w:shd w:val="clear" w:color="auto" w:fill="auto"/>
            <w:vAlign w:val="center"/>
          </w:tcPr>
          <w:p w14:paraId="25FAF85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开采项目数量</w:t>
            </w:r>
          </w:p>
        </w:tc>
        <w:tc>
          <w:tcPr>
            <w:tcW w:w="171" w:type="pct"/>
            <w:tcBorders>
              <w:top w:val="single" w:color="000000" w:sz="4" w:space="0"/>
              <w:left w:val="single" w:color="000000" w:sz="4" w:space="0"/>
              <w:bottom w:val="single" w:color="auto" w:sz="4" w:space="0"/>
              <w:right w:val="single" w:color="000000" w:sz="4" w:space="0"/>
            </w:tcBorders>
            <w:shd w:val="clear" w:color="auto" w:fill="auto"/>
            <w:vAlign w:val="center"/>
          </w:tcPr>
          <w:p w14:paraId="14309A2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新增开采量</w:t>
            </w:r>
          </w:p>
        </w:tc>
        <w:tc>
          <w:tcPr>
            <w:tcW w:w="529" w:type="pct"/>
            <w:tcBorders>
              <w:top w:val="single" w:color="000000" w:sz="4" w:space="0"/>
              <w:left w:val="single" w:color="000000" w:sz="4" w:space="0"/>
              <w:bottom w:val="single" w:color="auto" w:sz="4" w:space="0"/>
              <w:right w:val="single" w:color="000000" w:sz="4" w:space="0"/>
            </w:tcBorders>
            <w:shd w:val="clear" w:color="auto" w:fill="auto"/>
            <w:vAlign w:val="center"/>
          </w:tcPr>
          <w:p w14:paraId="57ED2EC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136" w:type="pct"/>
            <w:tcBorders>
              <w:top w:val="single" w:color="000000" w:sz="4" w:space="0"/>
              <w:left w:val="single" w:color="000000" w:sz="4" w:space="0"/>
              <w:bottom w:val="single" w:color="auto" w:sz="4" w:space="0"/>
              <w:right w:val="single" w:color="000000" w:sz="4" w:space="0"/>
            </w:tcBorders>
            <w:shd w:val="clear" w:color="auto" w:fill="auto"/>
            <w:vAlign w:val="center"/>
          </w:tcPr>
          <w:p w14:paraId="776B408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507DE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3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53A8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仿宋" w:hAnsi="仿宋" w:eastAsia="仿宋" w:cs="仿宋"/>
                <w:i w:val="0"/>
                <w:iCs w:val="0"/>
                <w:color w:val="000000"/>
                <w:kern w:val="0"/>
                <w:sz w:val="15"/>
                <w:szCs w:val="15"/>
                <w:u w:val="none"/>
                <w:lang w:val="en-US" w:eastAsia="zh-CN" w:bidi="ar"/>
              </w:rPr>
            </w:pPr>
            <w:r>
              <w:rPr>
                <w:rFonts w:hint="eastAsia" w:ascii="仿宋" w:hAnsi="仿宋" w:cs="仿宋"/>
                <w:i w:val="0"/>
                <w:iCs w:val="0"/>
                <w:color w:val="000000"/>
                <w:kern w:val="0"/>
                <w:sz w:val="15"/>
                <w:szCs w:val="15"/>
                <w:u w:val="none"/>
                <w:lang w:val="en-US" w:eastAsia="zh-CN" w:bidi="ar"/>
              </w:rPr>
              <w:t>/</w:t>
            </w:r>
          </w:p>
        </w:tc>
        <w:tc>
          <w:tcPr>
            <w:tcW w:w="119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726F7E">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091A19">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70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B38605">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938E36">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619"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B3163A1">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1191"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37CE40">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9EB1C86">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76C000">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4F84DA">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4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FE93A9">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78"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D5943C">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2D1C996">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78" w:type="dxa"/>
            <w:tcBorders>
              <w:top w:val="single" w:color="000000" w:sz="4" w:space="0"/>
              <w:left w:val="single" w:color="000000" w:sz="4" w:space="0"/>
              <w:bottom w:val="single" w:color="000000" w:sz="4" w:space="0"/>
              <w:right w:val="single" w:color="auto" w:sz="4" w:space="0"/>
            </w:tcBorders>
            <w:shd w:val="clear" w:color="auto" w:fill="auto"/>
            <w:vAlign w:val="bottom"/>
          </w:tcPr>
          <w:p w14:paraId="2B677873">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42" w:type="dxa"/>
            <w:tcBorders>
              <w:top w:val="single" w:color="auto" w:sz="4" w:space="0"/>
              <w:left w:val="single" w:color="auto" w:sz="4" w:space="0"/>
              <w:bottom w:val="single" w:color="auto" w:sz="4" w:space="0"/>
              <w:right w:val="single" w:color="auto" w:sz="4" w:space="0"/>
            </w:tcBorders>
            <w:shd w:val="clear" w:color="auto" w:fill="auto"/>
            <w:vAlign w:val="bottom"/>
          </w:tcPr>
          <w:p w14:paraId="0845109E">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507" w:type="dxa"/>
            <w:tcBorders>
              <w:top w:val="single" w:color="auto" w:sz="4" w:space="0"/>
              <w:left w:val="single" w:color="auto" w:sz="4" w:space="0"/>
              <w:bottom w:val="single" w:color="auto" w:sz="4" w:space="0"/>
              <w:right w:val="single" w:color="auto" w:sz="4" w:space="0"/>
            </w:tcBorders>
            <w:shd w:val="clear" w:color="auto" w:fill="auto"/>
            <w:vAlign w:val="bottom"/>
          </w:tcPr>
          <w:p w14:paraId="205BF982">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156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5D4BACC">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c>
          <w:tcPr>
            <w:tcW w:w="403" w:type="dxa"/>
            <w:tcBorders>
              <w:top w:val="single" w:color="auto" w:sz="4" w:space="0"/>
              <w:left w:val="single" w:color="auto" w:sz="4" w:space="0"/>
              <w:bottom w:val="single" w:color="auto" w:sz="4" w:space="0"/>
              <w:right w:val="single" w:color="auto" w:sz="4" w:space="0"/>
            </w:tcBorders>
            <w:shd w:val="clear" w:color="auto" w:fill="auto"/>
            <w:vAlign w:val="bottom"/>
          </w:tcPr>
          <w:p w14:paraId="25FAB95F">
            <w:pPr>
              <w:widowControl/>
              <w:ind w:firstLine="0" w:firstLineChars="0"/>
              <w:jc w:val="center"/>
              <w:rPr>
                <w:rFonts w:hint="eastAsia" w:ascii="仿宋" w:hAnsi="仿宋" w:eastAsia="仿宋" w:cs="仿宋"/>
                <w:i w:val="0"/>
                <w:iCs w:val="0"/>
                <w:color w:val="000000"/>
                <w:kern w:val="0"/>
                <w:sz w:val="15"/>
                <w:szCs w:val="15"/>
                <w:u w:val="none"/>
                <w:lang w:val="en-US" w:eastAsia="zh-CN" w:bidi="ar"/>
              </w:rPr>
            </w:pPr>
            <w:r>
              <w:rPr>
                <w:rFonts w:hint="eastAsia" w:ascii="仿宋_GB2312" w:hAnsi="宋体" w:eastAsia="仿宋_GB2312" w:cs="宋体"/>
                <w:color w:val="000000"/>
                <w:kern w:val="0"/>
                <w:sz w:val="21"/>
                <w:szCs w:val="21"/>
              </w:rPr>
              <w:t>/</w:t>
            </w:r>
          </w:p>
        </w:tc>
      </w:tr>
      <w:tr w14:paraId="7F769F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1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79AD9C">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457B">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85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3D1C">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3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5B218">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7EE8E5">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F895">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4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B342B">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F8D88">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E09EB">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B1115">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D0BA6">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9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72ACF">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8AF22">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95" w:type="pct"/>
            <w:tcBorders>
              <w:top w:val="single" w:color="000000" w:sz="4" w:space="0"/>
              <w:left w:val="single" w:color="000000" w:sz="4" w:space="0"/>
              <w:bottom w:val="single" w:color="000000" w:sz="4" w:space="0"/>
              <w:right w:val="single" w:color="auto" w:sz="4" w:space="0"/>
            </w:tcBorders>
            <w:shd w:val="clear" w:color="auto" w:fill="auto"/>
            <w:vAlign w:val="center"/>
          </w:tcPr>
          <w:p w14:paraId="1DE7287F">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83" w:type="pct"/>
            <w:tcBorders>
              <w:top w:val="single" w:color="auto" w:sz="4" w:space="0"/>
              <w:left w:val="single" w:color="auto" w:sz="4" w:space="0"/>
              <w:bottom w:val="single" w:color="auto" w:sz="4" w:space="0"/>
              <w:right w:val="single" w:color="auto" w:sz="4" w:space="0"/>
            </w:tcBorders>
            <w:shd w:val="clear" w:color="auto" w:fill="auto"/>
            <w:vAlign w:val="center"/>
          </w:tcPr>
          <w:p w14:paraId="71D6F718">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71" w:type="pct"/>
            <w:tcBorders>
              <w:top w:val="single" w:color="auto" w:sz="4" w:space="0"/>
              <w:left w:val="single" w:color="auto" w:sz="4" w:space="0"/>
              <w:bottom w:val="single" w:color="auto" w:sz="4" w:space="0"/>
              <w:right w:val="single" w:color="auto" w:sz="4" w:space="0"/>
            </w:tcBorders>
            <w:shd w:val="clear" w:color="auto" w:fill="auto"/>
            <w:vAlign w:val="center"/>
          </w:tcPr>
          <w:p w14:paraId="59954843">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52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566067">
            <w:pPr>
              <w:widowControl/>
              <w:ind w:firstLine="0" w:firstLineChars="0"/>
              <w:jc w:val="center"/>
              <w:rPr>
                <w:rFonts w:hint="default" w:ascii="仿宋_GB2312" w:hAnsi="宋体" w:eastAsia="仿宋_GB2312" w:cs="宋体"/>
                <w:b w:val="0"/>
                <w:bCs w:val="0"/>
                <w:color w:val="000000"/>
                <w:kern w:val="0"/>
                <w:sz w:val="15"/>
                <w:szCs w:val="15"/>
                <w:lang w:val="en-US" w:eastAsia="zh-CN"/>
              </w:rPr>
            </w:pPr>
          </w:p>
        </w:tc>
        <w:tc>
          <w:tcPr>
            <w:tcW w:w="136" w:type="pct"/>
            <w:tcBorders>
              <w:top w:val="single" w:color="auto" w:sz="4" w:space="0"/>
              <w:left w:val="single" w:color="auto" w:sz="4" w:space="0"/>
              <w:bottom w:val="single" w:color="auto" w:sz="4" w:space="0"/>
              <w:right w:val="single" w:color="auto" w:sz="4" w:space="0"/>
            </w:tcBorders>
            <w:shd w:val="clear" w:color="auto" w:fill="auto"/>
            <w:vAlign w:val="center"/>
          </w:tcPr>
          <w:p w14:paraId="28D4F17B">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bl>
    <w:p w14:paraId="49BD17B3">
      <w:pPr>
        <w:ind w:firstLine="420" w:firstLineChars="200"/>
        <w:jc w:val="left"/>
        <w:rPr>
          <w:rFonts w:ascii="仿宋" w:hAnsi="仿宋" w:eastAsia="仿宋" w:cs="Times New Roman"/>
          <w:kern w:val="0"/>
          <w:sz w:val="21"/>
          <w:szCs w:val="21"/>
        </w:rPr>
      </w:pPr>
      <w:r>
        <w:rPr>
          <w:rFonts w:hint="eastAsia" w:ascii="仿宋" w:hAnsi="仿宋" w:eastAsia="仿宋" w:cs="Times New Roman"/>
          <w:kern w:val="0"/>
          <w:sz w:val="21"/>
          <w:szCs w:val="21"/>
        </w:rPr>
        <w:t>备注：1.拐点坐标及空间范围以规划数据库为准；</w:t>
      </w:r>
    </w:p>
    <w:p w14:paraId="0FED8504">
      <w:pPr>
        <w:ind w:firstLine="1050" w:firstLineChars="500"/>
        <w:jc w:val="left"/>
        <w:rPr>
          <w:rFonts w:hint="eastAsia" w:ascii="仿宋" w:hAnsi="仿宋" w:eastAsia="仿宋" w:cs="Times New Roman"/>
          <w:kern w:val="0"/>
          <w:sz w:val="21"/>
          <w:szCs w:val="21"/>
        </w:rPr>
      </w:pPr>
      <w:r>
        <w:rPr>
          <w:rFonts w:hint="eastAsia" w:ascii="仿宋" w:hAnsi="仿宋" w:eastAsia="仿宋" w:cs="Times New Roman"/>
          <w:kern w:val="0"/>
          <w:sz w:val="21"/>
          <w:szCs w:val="21"/>
        </w:rPr>
        <w:t>2.国家规划矿区内设置矿业权时应符合国土空间规划管控要求。</w:t>
      </w:r>
    </w:p>
    <w:p w14:paraId="3EA7D136">
      <w:pPr>
        <w:ind w:firstLine="1050" w:firstLineChars="500"/>
        <w:jc w:val="left"/>
        <w:rPr>
          <w:rFonts w:hint="eastAsia" w:ascii="仿宋" w:hAnsi="仿宋" w:eastAsia="仿宋" w:cs="Times New Roman"/>
          <w:kern w:val="0"/>
          <w:sz w:val="21"/>
          <w:szCs w:val="21"/>
        </w:rPr>
      </w:pPr>
    </w:p>
    <w:p w14:paraId="5BC0858B">
      <w:pPr>
        <w:ind w:firstLine="1050" w:firstLineChars="500"/>
        <w:jc w:val="left"/>
        <w:rPr>
          <w:rFonts w:hint="eastAsia" w:ascii="仿宋" w:hAnsi="仿宋" w:eastAsia="仿宋" w:cs="Times New Roman"/>
          <w:kern w:val="0"/>
          <w:sz w:val="21"/>
          <w:szCs w:val="21"/>
        </w:rPr>
      </w:pPr>
    </w:p>
    <w:p w14:paraId="749DB057">
      <w:pPr>
        <w:ind w:firstLine="1050" w:firstLineChars="500"/>
        <w:jc w:val="left"/>
        <w:rPr>
          <w:rFonts w:hint="eastAsia" w:ascii="仿宋" w:hAnsi="仿宋" w:eastAsia="仿宋" w:cs="Times New Roman"/>
          <w:kern w:val="0"/>
          <w:sz w:val="21"/>
          <w:szCs w:val="21"/>
        </w:rPr>
      </w:pPr>
    </w:p>
    <w:p w14:paraId="1B7409F7">
      <w:pPr>
        <w:ind w:firstLine="1050" w:firstLineChars="500"/>
        <w:jc w:val="left"/>
        <w:rPr>
          <w:rFonts w:hint="eastAsia" w:ascii="仿宋" w:hAnsi="仿宋" w:eastAsia="仿宋" w:cs="Times New Roman"/>
          <w:kern w:val="0"/>
          <w:sz w:val="21"/>
          <w:szCs w:val="21"/>
        </w:rPr>
      </w:pPr>
    </w:p>
    <w:p w14:paraId="54CEF84A">
      <w:pPr>
        <w:ind w:firstLine="1050" w:firstLineChars="500"/>
        <w:jc w:val="left"/>
        <w:rPr>
          <w:rFonts w:hint="eastAsia" w:ascii="仿宋" w:hAnsi="仿宋" w:eastAsia="仿宋" w:cs="Times New Roman"/>
          <w:kern w:val="0"/>
          <w:sz w:val="21"/>
          <w:szCs w:val="21"/>
        </w:rPr>
      </w:pPr>
    </w:p>
    <w:p w14:paraId="3E3D9628">
      <w:pPr>
        <w:ind w:firstLine="1600" w:firstLineChars="500"/>
        <w:jc w:val="left"/>
        <w:rPr>
          <w:rFonts w:hint="eastAsia" w:ascii="仿宋" w:hAnsi="仿宋" w:eastAsia="仿宋" w:cs="Times New Roman"/>
          <w:kern w:val="0"/>
          <w:szCs w:val="21"/>
        </w:rPr>
        <w:sectPr>
          <w:pgSz w:w="16838" w:h="11906" w:orient="landscape"/>
          <w:pgMar w:top="1797" w:right="1134" w:bottom="1797" w:left="1134" w:header="851" w:footer="992" w:gutter="0"/>
          <w:pgNumType w:fmt="numberInDash"/>
          <w:cols w:space="425" w:num="1"/>
          <w:docGrid w:type="lines" w:linePitch="312" w:charSpace="0"/>
        </w:sectPr>
      </w:pPr>
    </w:p>
    <w:p w14:paraId="774841C7">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附表3</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战略性矿产资源储备矿产地表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8"/>
        <w:gridCol w:w="1009"/>
        <w:gridCol w:w="1009"/>
        <w:gridCol w:w="1595"/>
        <w:gridCol w:w="2477"/>
        <w:gridCol w:w="1595"/>
        <w:gridCol w:w="1888"/>
        <w:gridCol w:w="1302"/>
        <w:gridCol w:w="1888"/>
        <w:gridCol w:w="1009"/>
      </w:tblGrid>
      <w:tr w14:paraId="650C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30"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FE5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9DD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062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B428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2005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面积(平方千米)</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E3D7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4D9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资源量单位</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184B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E79A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943E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3251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341"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0161C1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bottom"/>
          </w:tcPr>
          <w:p w14:paraId="41216B9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C739A5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bottom"/>
          </w:tcPr>
          <w:p w14:paraId="3D7264C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837" w:type="pct"/>
            <w:tcBorders>
              <w:top w:val="single" w:color="000000" w:sz="4" w:space="0"/>
              <w:left w:val="single" w:color="000000" w:sz="4" w:space="0"/>
              <w:bottom w:val="single" w:color="000000" w:sz="4" w:space="0"/>
              <w:right w:val="single" w:color="000000" w:sz="4" w:space="0"/>
            </w:tcBorders>
            <w:shd w:val="clear" w:color="auto" w:fill="auto"/>
            <w:vAlign w:val="bottom"/>
          </w:tcPr>
          <w:p w14:paraId="732EF22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EF3980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1DC62A8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40" w:type="pct"/>
            <w:tcBorders>
              <w:top w:val="single" w:color="000000" w:sz="4" w:space="0"/>
              <w:left w:val="single" w:color="000000" w:sz="4" w:space="0"/>
              <w:bottom w:val="single" w:color="000000" w:sz="4" w:space="0"/>
              <w:right w:val="single" w:color="000000" w:sz="4" w:space="0"/>
            </w:tcBorders>
            <w:shd w:val="clear" w:color="auto" w:fill="auto"/>
            <w:vAlign w:val="bottom"/>
          </w:tcPr>
          <w:p w14:paraId="0986316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638" w:type="pct"/>
            <w:tcBorders>
              <w:top w:val="single" w:color="000000" w:sz="4" w:space="0"/>
              <w:left w:val="single" w:color="000000" w:sz="4" w:space="0"/>
              <w:bottom w:val="single" w:color="000000" w:sz="4" w:space="0"/>
              <w:right w:val="single" w:color="000000" w:sz="4" w:space="0"/>
            </w:tcBorders>
            <w:shd w:val="clear" w:color="auto" w:fill="auto"/>
            <w:vAlign w:val="bottom"/>
          </w:tcPr>
          <w:p w14:paraId="5D2842D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bottom"/>
          </w:tcPr>
          <w:p w14:paraId="65FF015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r>
    </w:tbl>
    <w:p w14:paraId="312A322D">
      <w:pPr>
        <w:spacing w:line="360" w:lineRule="auto"/>
        <w:ind w:firstLine="480" w:firstLineChars="200"/>
        <w:rPr>
          <w:rFonts w:hint="eastAsia" w:ascii="仿宋_GB2312" w:hAnsi="仿宋" w:eastAsia="仿宋_GB2312"/>
          <w:sz w:val="24"/>
          <w:szCs w:val="24"/>
        </w:rPr>
      </w:pPr>
    </w:p>
    <w:p w14:paraId="21D284A6">
      <w:pPr>
        <w:spacing w:line="360" w:lineRule="auto"/>
        <w:ind w:firstLine="480" w:firstLineChars="200"/>
        <w:rPr>
          <w:rFonts w:hint="eastAsia" w:ascii="仿宋_GB2312" w:hAnsi="仿宋" w:eastAsia="仿宋_GB2312"/>
          <w:sz w:val="24"/>
          <w:szCs w:val="24"/>
        </w:rPr>
      </w:pPr>
    </w:p>
    <w:p w14:paraId="0E005949">
      <w:pPr>
        <w:spacing w:line="360" w:lineRule="auto"/>
        <w:ind w:firstLine="480" w:firstLineChars="200"/>
        <w:rPr>
          <w:rFonts w:hint="eastAsia" w:ascii="仿宋_GB2312" w:hAnsi="仿宋" w:eastAsia="仿宋_GB2312"/>
          <w:sz w:val="24"/>
          <w:szCs w:val="24"/>
        </w:rPr>
      </w:pPr>
    </w:p>
    <w:p w14:paraId="43AD4360">
      <w:pPr>
        <w:spacing w:line="360" w:lineRule="auto"/>
        <w:ind w:firstLine="480" w:firstLineChars="200"/>
        <w:rPr>
          <w:rFonts w:hint="eastAsia" w:ascii="仿宋_GB2312" w:hAnsi="仿宋" w:eastAsia="仿宋_GB2312"/>
          <w:sz w:val="24"/>
          <w:szCs w:val="24"/>
        </w:rPr>
      </w:pPr>
    </w:p>
    <w:p w14:paraId="44B603E6">
      <w:pPr>
        <w:spacing w:line="360" w:lineRule="auto"/>
        <w:ind w:firstLine="480" w:firstLineChars="200"/>
        <w:rPr>
          <w:rFonts w:hint="eastAsia" w:ascii="仿宋_GB2312" w:hAnsi="仿宋" w:eastAsia="仿宋_GB2312"/>
          <w:sz w:val="24"/>
          <w:szCs w:val="24"/>
        </w:rPr>
      </w:pPr>
    </w:p>
    <w:p w14:paraId="47086847">
      <w:pPr>
        <w:spacing w:line="360" w:lineRule="auto"/>
        <w:ind w:firstLine="480" w:firstLineChars="200"/>
        <w:rPr>
          <w:rFonts w:hint="eastAsia" w:ascii="仿宋_GB2312" w:hAnsi="仿宋" w:eastAsia="仿宋_GB2312"/>
          <w:sz w:val="24"/>
          <w:szCs w:val="24"/>
        </w:rPr>
      </w:pPr>
    </w:p>
    <w:p w14:paraId="5BDED5A8">
      <w:pPr>
        <w:spacing w:line="360" w:lineRule="auto"/>
        <w:ind w:firstLine="480" w:firstLineChars="200"/>
        <w:rPr>
          <w:rFonts w:hint="eastAsia" w:ascii="仿宋_GB2312" w:hAnsi="仿宋" w:eastAsia="仿宋_GB2312"/>
          <w:sz w:val="24"/>
          <w:szCs w:val="24"/>
        </w:rPr>
      </w:pPr>
    </w:p>
    <w:p w14:paraId="0E041756">
      <w:pPr>
        <w:spacing w:line="360" w:lineRule="auto"/>
        <w:ind w:firstLine="480" w:firstLineChars="200"/>
        <w:rPr>
          <w:rFonts w:hint="eastAsia" w:ascii="仿宋_GB2312" w:hAnsi="仿宋" w:eastAsia="仿宋_GB2312"/>
          <w:sz w:val="24"/>
          <w:szCs w:val="24"/>
        </w:rPr>
      </w:pPr>
    </w:p>
    <w:p w14:paraId="1A13A5F1">
      <w:pPr>
        <w:spacing w:line="360" w:lineRule="auto"/>
        <w:ind w:firstLine="480" w:firstLineChars="200"/>
        <w:rPr>
          <w:rFonts w:hint="eastAsia" w:ascii="仿宋_GB2312" w:hAnsi="仿宋" w:eastAsia="仿宋_GB2312"/>
          <w:sz w:val="24"/>
          <w:szCs w:val="24"/>
        </w:rPr>
      </w:pPr>
    </w:p>
    <w:p w14:paraId="0393AE50">
      <w:pPr>
        <w:spacing w:line="360" w:lineRule="auto"/>
        <w:ind w:firstLine="480" w:firstLineChars="200"/>
        <w:rPr>
          <w:rFonts w:hint="eastAsia" w:ascii="仿宋_GB2312" w:hAnsi="仿宋" w:eastAsia="仿宋_GB2312"/>
          <w:sz w:val="24"/>
          <w:szCs w:val="24"/>
        </w:rPr>
      </w:pPr>
    </w:p>
    <w:p w14:paraId="665A9714">
      <w:pPr>
        <w:spacing w:line="360" w:lineRule="auto"/>
        <w:ind w:firstLine="480" w:firstLineChars="200"/>
        <w:rPr>
          <w:rFonts w:hint="eastAsia" w:ascii="仿宋_GB2312" w:hAnsi="仿宋" w:eastAsia="仿宋_GB2312"/>
          <w:sz w:val="24"/>
          <w:szCs w:val="24"/>
        </w:rPr>
      </w:pPr>
    </w:p>
    <w:p w14:paraId="2880D2A0">
      <w:pPr>
        <w:spacing w:line="360" w:lineRule="auto"/>
        <w:ind w:firstLine="480" w:firstLineChars="200"/>
        <w:rPr>
          <w:rFonts w:hint="eastAsia" w:ascii="仿宋_GB2312" w:hAnsi="仿宋" w:eastAsia="仿宋_GB2312"/>
          <w:sz w:val="24"/>
          <w:szCs w:val="24"/>
        </w:rPr>
      </w:pPr>
    </w:p>
    <w:p w14:paraId="5A7647F0">
      <w:pPr>
        <w:spacing w:line="360" w:lineRule="auto"/>
        <w:ind w:firstLine="480" w:firstLineChars="200"/>
        <w:rPr>
          <w:rFonts w:hint="eastAsia" w:ascii="仿宋_GB2312" w:hAnsi="仿宋" w:eastAsia="仿宋_GB2312"/>
          <w:sz w:val="24"/>
          <w:szCs w:val="24"/>
        </w:rPr>
      </w:pPr>
    </w:p>
    <w:p w14:paraId="2CCDA4FB">
      <w:pPr>
        <w:spacing w:line="360" w:lineRule="auto"/>
        <w:ind w:firstLine="480" w:firstLineChars="200"/>
        <w:rPr>
          <w:rFonts w:hint="eastAsia" w:ascii="仿宋_GB2312" w:hAnsi="仿宋" w:eastAsia="仿宋_GB2312"/>
          <w:sz w:val="24"/>
          <w:szCs w:val="24"/>
        </w:rPr>
      </w:pPr>
    </w:p>
    <w:p w14:paraId="7670285C">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附表4</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矿产资源重点勘查区表</w:t>
      </w:r>
    </w:p>
    <w:tbl>
      <w:tblPr>
        <w:tblStyle w:val="17"/>
        <w:tblpPr w:leftFromText="180" w:rightFromText="180" w:vertAnchor="text" w:horzAnchor="page" w:tblpX="1080" w:tblpY="59"/>
        <w:tblOverlap w:val="never"/>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1512"/>
        <w:gridCol w:w="2316"/>
        <w:gridCol w:w="1021"/>
        <w:gridCol w:w="1802"/>
        <w:gridCol w:w="1021"/>
        <w:gridCol w:w="1606"/>
        <w:gridCol w:w="1606"/>
        <w:gridCol w:w="1411"/>
        <w:gridCol w:w="1216"/>
        <w:gridCol w:w="630"/>
      </w:tblGrid>
      <w:tr w14:paraId="69E98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33" w:hRule="atLeast"/>
        </w:trPr>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7072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5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2237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C846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DBD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6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92C3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面积（平方千米）</w:t>
            </w: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47093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0695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已设探矿权数量</w:t>
            </w:r>
          </w:p>
        </w:tc>
        <w:tc>
          <w:tcPr>
            <w:tcW w:w="5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B6BE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拟设探矿权数量</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B5D1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重点勘查</w:t>
            </w:r>
          </w:p>
          <w:p w14:paraId="0AAD5BD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项目数量</w:t>
            </w: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2F68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841B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4B2A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33" w:hRule="atLeast"/>
        </w:trPr>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29B2C">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1</w:t>
            </w: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8768D">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KZ51113300001</w:t>
            </w: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01C85">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马边—雷波磷矿重点勘查区</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1B479">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磷</w:t>
            </w: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1E638">
            <w:pPr>
              <w:keepNext w:val="0"/>
              <w:keepLines w:val="0"/>
              <w:widowControl/>
              <w:suppressLineNumbers w:val="0"/>
              <w:spacing w:line="240" w:lineRule="auto"/>
              <w:ind w:firstLine="0" w:firstLineChars="0"/>
              <w:jc w:val="center"/>
              <w:textAlignment w:val="auto"/>
              <w:rPr>
                <w:rFonts w:hint="default" w:ascii="仿宋_GB2312" w:hAnsi="宋体" w:eastAsia="仿宋_GB2312" w:cs="宋体"/>
                <w:b w:val="0"/>
                <w:bCs w:val="0"/>
                <w:color w:val="000000"/>
                <w:kern w:val="0"/>
                <w:sz w:val="15"/>
                <w:szCs w:val="15"/>
                <w:lang w:val="en-US" w:eastAsia="zh-CN"/>
              </w:rPr>
            </w:pPr>
            <w:r>
              <w:rPr>
                <w:rFonts w:hint="eastAsia" w:ascii="仿宋_GB2312" w:hAnsi="宋体" w:eastAsia="仿宋_GB2312" w:cs="宋体"/>
                <w:i w:val="0"/>
                <w:iCs w:val="0"/>
                <w:color w:val="000000"/>
                <w:kern w:val="0"/>
                <w:sz w:val="15"/>
                <w:szCs w:val="15"/>
                <w:u w:val="none"/>
                <w:lang w:val="en-US" w:eastAsia="zh-CN" w:bidi="ar"/>
              </w:rPr>
              <w:t>1057.49</w:t>
            </w: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F387">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12BD6">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1</w:t>
            </w:r>
          </w:p>
        </w:tc>
        <w:tc>
          <w:tcPr>
            <w:tcW w:w="16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BE413">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3</w:t>
            </w:r>
          </w:p>
        </w:tc>
        <w:tc>
          <w:tcPr>
            <w:tcW w:w="1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44D6">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2</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A7A9D">
            <w:pPr>
              <w:widowControl/>
              <w:spacing w:line="240" w:lineRule="auto"/>
              <w:ind w:firstLine="0" w:firstLineChars="0"/>
              <w:jc w:val="center"/>
              <w:rPr>
                <w:rFonts w:hint="default" w:ascii="仿宋_GB2312" w:hAnsi="宋体" w:eastAsia="仿宋_GB2312" w:cs="宋体"/>
                <w:b w:val="0"/>
                <w:bCs w:val="0"/>
                <w:color w:val="000000"/>
                <w:kern w:val="0"/>
                <w:sz w:val="15"/>
                <w:szCs w:val="15"/>
                <w:lang w:val="en-US" w:eastAsia="zh-CN"/>
              </w:rPr>
            </w:pPr>
            <w:r>
              <w:rPr>
                <w:rFonts w:hint="eastAsia" w:ascii="仿宋_GB2312" w:hAnsi="宋体" w:eastAsia="仿宋_GB2312" w:cs="宋体"/>
                <w:b w:val="0"/>
                <w:bCs w:val="0"/>
                <w:color w:val="000000"/>
                <w:kern w:val="0"/>
                <w:sz w:val="15"/>
                <w:szCs w:val="15"/>
                <w:lang w:val="en-US" w:eastAsia="zh-CN"/>
              </w:rPr>
              <w:t>雪口山镇、烟峰镇、高竹营乡、永红乡</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8EB9D">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78D70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33" w:hRule="atLeast"/>
        </w:trPr>
        <w:tc>
          <w:tcPr>
            <w:tcW w:w="2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8DF17">
            <w:pPr>
              <w:widowControl/>
              <w:ind w:firstLine="0" w:firstLineChars="0"/>
              <w:jc w:val="center"/>
              <w:rPr>
                <w:rFonts w:hint="default" w:ascii="仿宋_GB2312" w:hAnsi="宋体" w:eastAsia="仿宋_GB2312" w:cs="宋体"/>
                <w:b w:val="0"/>
                <w:bCs w:val="0"/>
                <w:color w:val="000000"/>
                <w:kern w:val="0"/>
                <w:sz w:val="15"/>
                <w:szCs w:val="15"/>
                <w:lang w:val="en-US" w:eastAsia="zh-CN"/>
              </w:rPr>
            </w:pPr>
          </w:p>
        </w:tc>
        <w:tc>
          <w:tcPr>
            <w:tcW w:w="15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B0C6B">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3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5424">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10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438B0">
            <w:pPr>
              <w:widowControl/>
              <w:ind w:firstLine="0" w:firstLineChars="0"/>
              <w:jc w:val="center"/>
              <w:rPr>
                <w:rFonts w:hint="default" w:ascii="仿宋_GB2312" w:hAnsi="宋体" w:eastAsia="仿宋_GB2312" w:cs="宋体"/>
                <w:b w:val="0"/>
                <w:bCs w:val="0"/>
                <w:color w:val="000000"/>
                <w:kern w:val="0"/>
                <w:sz w:val="15"/>
                <w:szCs w:val="15"/>
                <w:lang w:val="en-US" w:eastAsia="zh-CN"/>
              </w:rPr>
            </w:pPr>
          </w:p>
        </w:tc>
        <w:tc>
          <w:tcPr>
            <w:tcW w:w="18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F08C8">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3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C807">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8D49">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5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F952">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7B7F1">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4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3C559">
            <w:pPr>
              <w:widowControl/>
              <w:ind w:firstLine="0" w:firstLineChars="0"/>
              <w:jc w:val="center"/>
              <w:rPr>
                <w:rFonts w:hint="default" w:ascii="仿宋_GB2312" w:hAnsi="宋体" w:eastAsia="仿宋_GB2312" w:cs="宋体"/>
                <w:b w:val="0"/>
                <w:bCs w:val="0"/>
                <w:color w:val="000000"/>
                <w:kern w:val="0"/>
                <w:sz w:val="15"/>
                <w:szCs w:val="15"/>
                <w:lang w:val="en-US" w:eastAsia="zh-CN"/>
              </w:rPr>
            </w:pP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8B0B1">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bl>
    <w:p w14:paraId="72EECB5A">
      <w:pPr>
        <w:ind w:firstLine="420" w:firstLineChars="200"/>
        <w:jc w:val="left"/>
        <w:rPr>
          <w:rFonts w:ascii="仿宋" w:hAnsi="仿宋" w:eastAsia="仿宋" w:cs="Times New Roman"/>
          <w:kern w:val="0"/>
          <w:sz w:val="21"/>
          <w:szCs w:val="21"/>
        </w:rPr>
      </w:pPr>
      <w:r>
        <w:rPr>
          <w:rFonts w:hint="eastAsia" w:ascii="仿宋" w:hAnsi="仿宋" w:eastAsia="仿宋" w:cs="Times New Roman"/>
          <w:kern w:val="0"/>
          <w:sz w:val="21"/>
          <w:szCs w:val="21"/>
        </w:rPr>
        <w:t>备注：1.拐点坐标及空间范围以规划数据库为准；</w:t>
      </w:r>
    </w:p>
    <w:p w14:paraId="62B5A078">
      <w:pPr>
        <w:spacing w:line="360" w:lineRule="auto"/>
        <w:ind w:firstLine="1050" w:firstLineChars="500"/>
        <w:rPr>
          <w:rFonts w:hint="eastAsia" w:ascii="仿宋_GB2312" w:hAnsi="仿宋" w:eastAsia="仿宋_GB2312"/>
          <w:sz w:val="24"/>
          <w:szCs w:val="24"/>
        </w:rPr>
      </w:pPr>
      <w:r>
        <w:rPr>
          <w:rFonts w:hint="eastAsia" w:ascii="仿宋" w:hAnsi="仿宋" w:eastAsia="仿宋" w:cs="Times New Roman"/>
          <w:kern w:val="0"/>
          <w:sz w:val="21"/>
          <w:szCs w:val="21"/>
        </w:rPr>
        <w:t>2.重点勘查区内设置矿业权时应符合国土空间规划管控要求。</w:t>
      </w:r>
    </w:p>
    <w:p w14:paraId="63577406">
      <w:pPr>
        <w:spacing w:line="360" w:lineRule="auto"/>
        <w:ind w:firstLine="480" w:firstLineChars="200"/>
        <w:rPr>
          <w:rFonts w:hint="eastAsia" w:ascii="仿宋_GB2312" w:hAnsi="仿宋" w:eastAsia="仿宋_GB2312"/>
          <w:sz w:val="24"/>
          <w:szCs w:val="24"/>
        </w:rPr>
      </w:pPr>
    </w:p>
    <w:p w14:paraId="39E3EC6D">
      <w:pPr>
        <w:spacing w:line="360" w:lineRule="auto"/>
        <w:ind w:firstLine="480" w:firstLineChars="200"/>
        <w:rPr>
          <w:rFonts w:hint="eastAsia" w:ascii="仿宋_GB2312" w:hAnsi="仿宋" w:eastAsia="仿宋_GB2312"/>
          <w:sz w:val="24"/>
          <w:szCs w:val="24"/>
        </w:rPr>
      </w:pPr>
    </w:p>
    <w:p w14:paraId="549DB003">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0638064B">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02A70B16">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049CE1F">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6D6171D">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29D4DC39">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7EFFE5E4">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附表5</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勘查规划区块表</w:t>
      </w:r>
    </w:p>
    <w:tbl>
      <w:tblPr>
        <w:tblStyle w:val="17"/>
        <w:tblW w:w="499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2"/>
        <w:gridCol w:w="1458"/>
        <w:gridCol w:w="4501"/>
        <w:gridCol w:w="1547"/>
        <w:gridCol w:w="1730"/>
        <w:gridCol w:w="1006"/>
        <w:gridCol w:w="1364"/>
        <w:gridCol w:w="1913"/>
        <w:gridCol w:w="628"/>
      </w:tblGrid>
      <w:tr w14:paraId="144F2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698" w:hRule="atLeast"/>
          <w:tblHeader/>
        </w:trPr>
        <w:tc>
          <w:tcPr>
            <w:tcW w:w="2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B62E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4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4A33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1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6FCA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区块名称</w:t>
            </w:r>
          </w:p>
        </w:tc>
        <w:tc>
          <w:tcPr>
            <w:tcW w:w="5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30D1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勘查主矿种</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88B2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面积（平方千米）</w:t>
            </w:r>
          </w:p>
        </w:tc>
        <w:tc>
          <w:tcPr>
            <w:tcW w:w="3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E22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F4C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现有勘查程度</w:t>
            </w:r>
          </w:p>
        </w:tc>
        <w:tc>
          <w:tcPr>
            <w:tcW w:w="6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D5E9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拟设探矿权勘查阶段</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F087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03C51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97A19">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1</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F192F">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KQ51113300001</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94AC">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四川省马边彝族自治县大院子磷矿</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76308">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磷</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E317">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20.24</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5DD1">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略（下同）</w:t>
            </w: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F825">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普查</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5A6A1">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详查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9F1E5">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33D31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79B9B">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2</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A70C">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KQ51113300002</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00880">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四川省马边彝族自治县瓦吉乃峨磷矿</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FDA5E">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磷</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6049F">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1.39</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0DE3">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D4589">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普查</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0AD0">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详查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AA95A">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p>
        </w:tc>
      </w:tr>
      <w:tr w14:paraId="54A1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2043D">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3</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27D1">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KQ51113300003</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4BAD3">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四川省马边彝族自治县老虎堡磷矿</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241E3">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磷</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346B">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10.36</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C55F">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AC8FB">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调查评价</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90AB6">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普查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7916A">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6264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61E0">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4</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6ACA6">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KQ51113300004</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DBE0">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四川省马边彝族自治县金家沟铜矿</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6B22">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铜</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0E4D1">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16.90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AA54A">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9335">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调查评价</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94A14">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普查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5C146">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4BD2C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2DDF">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5</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D175">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KQ51113300005</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581FE">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四川省马边彝族自治县瓦嘎乃拖玄武岩</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DB64">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玄武岩</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DE40B">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6.00</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B320E">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1E911">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调查评价</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4A4A7">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olor w:val="000000"/>
                <w:kern w:val="0"/>
                <w:sz w:val="15"/>
                <w:szCs w:val="15"/>
              </w:rPr>
              <w:t>普查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CFAD01">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6DD975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C3A5">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6</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7CCF7">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KQ51113300006</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81BA">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四川省马边彝族自治县石灰溪-黄泥槽石膏矿</w:t>
            </w:r>
            <w:r>
              <w:rPr>
                <w:rFonts w:hint="eastAsia" w:ascii="仿宋_GB2312" w:hAnsi="宋体" w:eastAsia="仿宋_GB2312"/>
                <w:color w:val="000000"/>
                <w:kern w:val="0"/>
                <w:sz w:val="15"/>
                <w:szCs w:val="15"/>
                <w:lang w:val="en-US" w:eastAsia="zh-CN"/>
              </w:rPr>
              <w:t>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261F">
            <w:pPr>
              <w:widowControl/>
              <w:ind w:firstLine="300" w:firstLineChars="20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石膏</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8361B">
            <w:pPr>
              <w:widowControl/>
              <w:ind w:firstLine="300" w:firstLineChars="20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4.33</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F30C">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1DAB5">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调查评价</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CEF88">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普查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16B92">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2CB22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40" w:hRule="atLeast"/>
        </w:trPr>
        <w:tc>
          <w:tcPr>
            <w:tcW w:w="6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8C5B9">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7</w:t>
            </w:r>
          </w:p>
        </w:tc>
        <w:tc>
          <w:tcPr>
            <w:tcW w:w="14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C94DE">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KQ51113300007</w:t>
            </w:r>
          </w:p>
        </w:tc>
        <w:tc>
          <w:tcPr>
            <w:tcW w:w="45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DB177">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四川省马边彝族自治县民建镇</w:t>
            </w:r>
            <w:r>
              <w:rPr>
                <w:rFonts w:hint="eastAsia" w:ascii="仿宋_GB2312" w:hAnsi="宋体" w:eastAsia="仿宋_GB2312"/>
                <w:color w:val="000000"/>
                <w:kern w:val="0"/>
                <w:sz w:val="15"/>
                <w:szCs w:val="15"/>
                <w:lang w:val="en-US" w:eastAsia="zh-CN"/>
              </w:rPr>
              <w:t>地下水勘查</w:t>
            </w:r>
          </w:p>
        </w:tc>
        <w:tc>
          <w:tcPr>
            <w:tcW w:w="15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2BF3">
            <w:pPr>
              <w:widowControl/>
              <w:ind w:firstLine="300" w:firstLineChars="20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地热</w:t>
            </w:r>
          </w:p>
        </w:tc>
        <w:tc>
          <w:tcPr>
            <w:tcW w:w="1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9033">
            <w:pPr>
              <w:widowControl/>
              <w:ind w:firstLine="300" w:firstLineChars="20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34.61</w:t>
            </w:r>
          </w:p>
        </w:tc>
        <w:tc>
          <w:tcPr>
            <w:tcW w:w="9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D0D9">
            <w:pPr>
              <w:widowControl/>
              <w:ind w:firstLine="300" w:firstLineChars="200"/>
              <w:jc w:val="center"/>
              <w:rPr>
                <w:rFonts w:hint="eastAsia" w:ascii="仿宋_GB2312" w:hAnsi="宋体" w:eastAsia="仿宋_GB2312" w:cs="宋体"/>
                <w:b w:val="0"/>
                <w:bCs w:val="0"/>
                <w:color w:val="000000"/>
                <w:kern w:val="0"/>
                <w:sz w:val="15"/>
                <w:szCs w:val="15"/>
                <w:lang w:val="en-US" w:eastAsia="zh-CN" w:bidi="ar-SA"/>
              </w:rPr>
            </w:pPr>
          </w:p>
        </w:tc>
        <w:tc>
          <w:tcPr>
            <w:tcW w:w="13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991A">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调查评价</w:t>
            </w:r>
          </w:p>
        </w:tc>
        <w:tc>
          <w:tcPr>
            <w:tcW w:w="1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70303">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olor w:val="000000"/>
                <w:kern w:val="0"/>
                <w:sz w:val="15"/>
                <w:szCs w:val="15"/>
              </w:rPr>
              <w:t>普查</w:t>
            </w:r>
          </w:p>
        </w:tc>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11D6A">
            <w:pPr>
              <w:widowControl/>
              <w:ind w:firstLine="0" w:firstLineChars="0"/>
              <w:jc w:val="center"/>
              <w:rPr>
                <w:rFonts w:hint="eastAsia" w:ascii="仿宋_GB2312" w:hAnsi="宋体" w:eastAsia="仿宋_GB2312" w:cs="宋体"/>
                <w:b w:val="0"/>
                <w:bCs w:val="0"/>
                <w:color w:val="000000"/>
                <w:kern w:val="0"/>
                <w:sz w:val="15"/>
                <w:szCs w:val="15"/>
                <w:lang w:val="en-US" w:eastAsia="zh-CN"/>
              </w:rPr>
            </w:pPr>
          </w:p>
        </w:tc>
      </w:tr>
    </w:tbl>
    <w:p w14:paraId="498985B5">
      <w:pPr>
        <w:autoSpaceDE w:val="0"/>
        <w:autoSpaceDN w:val="0"/>
        <w:adjustRightInd w:val="0"/>
        <w:spacing w:line="360" w:lineRule="auto"/>
        <w:ind w:firstLine="0" w:firstLineChars="0"/>
        <w:jc w:val="left"/>
        <w:rPr>
          <w:rFonts w:hint="eastAsia" w:ascii="黑体" w:hAnsi="黑体" w:eastAsia="黑体" w:cs="宋体"/>
          <w:color w:val="000000"/>
          <w:kern w:val="0"/>
          <w:sz w:val="30"/>
          <w:szCs w:val="30"/>
        </w:rPr>
      </w:pPr>
      <w:r>
        <w:rPr>
          <w:rFonts w:hint="eastAsia" w:ascii="仿宋" w:hAnsi="仿宋" w:eastAsia="仿宋" w:cs="Times New Roman"/>
          <w:kern w:val="0"/>
          <w:sz w:val="21"/>
          <w:szCs w:val="21"/>
        </w:rPr>
        <w:t>备注：拐点坐标及空间范围以规划数据库为准。</w:t>
      </w:r>
    </w:p>
    <w:p w14:paraId="6B7BD617">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83B595C">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4930D0C9">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74F6F8A8">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307C778">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附表6</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矿产资源重点开采区表</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24"/>
        <w:gridCol w:w="624"/>
        <w:gridCol w:w="624"/>
        <w:gridCol w:w="991"/>
        <w:gridCol w:w="1539"/>
        <w:gridCol w:w="991"/>
        <w:gridCol w:w="1172"/>
        <w:gridCol w:w="808"/>
        <w:gridCol w:w="1539"/>
        <w:gridCol w:w="1539"/>
        <w:gridCol w:w="1355"/>
        <w:gridCol w:w="1173"/>
        <w:gridCol w:w="1173"/>
        <w:gridCol w:w="625"/>
      </w:tblGrid>
      <w:tr w14:paraId="49E6C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C28B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BF1F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F68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4497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0C26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w:t>
            </w:r>
            <w:r>
              <w:rPr>
                <w:rFonts w:hint="default" w:ascii="仿宋_GB2312" w:hAnsi="宋体" w:eastAsia="仿宋_GB2312" w:cs="宋体"/>
                <w:b/>
                <w:bCs/>
                <w:color w:val="000000"/>
                <w:kern w:val="0"/>
                <w:sz w:val="15"/>
                <w:szCs w:val="15"/>
                <w:lang w:val="en-US" w:eastAsia="zh-CN"/>
              </w:rPr>
              <w:t>(</w:t>
            </w:r>
            <w:r>
              <w:rPr>
                <w:rFonts w:hint="eastAsia" w:ascii="仿宋_GB2312" w:hAnsi="宋体" w:eastAsia="仿宋_GB2312" w:cs="宋体"/>
                <w:b/>
                <w:bCs/>
                <w:color w:val="000000"/>
                <w:kern w:val="0"/>
                <w:sz w:val="15"/>
                <w:szCs w:val="15"/>
                <w:lang w:val="en-US" w:eastAsia="zh-CN"/>
              </w:rPr>
              <w:t>平方千米</w:t>
            </w:r>
            <w:r>
              <w:rPr>
                <w:rFonts w:hint="default" w:ascii="仿宋_GB2312" w:hAnsi="宋体" w:eastAsia="仿宋_GB2312" w:cs="宋体"/>
                <w:b/>
                <w:bCs/>
                <w:color w:val="000000"/>
                <w:kern w:val="0"/>
                <w:sz w:val="15"/>
                <w:szCs w:val="15"/>
                <w:lang w:val="en-US" w:eastAsia="zh-CN"/>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5AC5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D52B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资源量单位</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3001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079F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已设采矿权数量</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766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拟设采矿权数量</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793B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开采项目数量</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458D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新增开采量</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39A9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A153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7FBE0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6E58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F20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1FDF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606F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1806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A123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017C8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3AC9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DA28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52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B71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4AF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CF21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9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A4AD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5089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r>
    </w:tbl>
    <w:p w14:paraId="3DB37A8F">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D796760">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4F0F64A">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79C757A">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4D01FE0B">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04720EE4">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42882B5">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F2E89AE">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40E46925">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9A3625E">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A7F8891">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附表7</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开采规划区块表</w:t>
      </w:r>
    </w:p>
    <w:tbl>
      <w:tblPr>
        <w:tblStyle w:val="17"/>
        <w:tblW w:w="498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57"/>
        <w:gridCol w:w="1338"/>
        <w:gridCol w:w="3816"/>
        <w:gridCol w:w="1423"/>
        <w:gridCol w:w="1090"/>
        <w:gridCol w:w="1258"/>
        <w:gridCol w:w="918"/>
        <w:gridCol w:w="1338"/>
        <w:gridCol w:w="833"/>
        <w:gridCol w:w="1598"/>
        <w:gridCol w:w="582"/>
      </w:tblGrid>
      <w:tr w14:paraId="3898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67" w:hRule="atLeast"/>
          <w:tblHeader/>
        </w:trPr>
        <w:tc>
          <w:tcPr>
            <w:tcW w:w="1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A48C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818A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1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12A2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区块名称</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7B3D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开采主矿种</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529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涉及开采总</w:t>
            </w:r>
          </w:p>
          <w:p w14:paraId="231092A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量控制矿种</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5E94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w:t>
            </w:r>
          </w:p>
          <w:p w14:paraId="558835F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（平方千米）</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8D5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A66B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资源量单位</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01C6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1D04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预计需求采矿用</w:t>
            </w:r>
          </w:p>
          <w:p w14:paraId="3BD1587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地规模（平方米）</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9502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62D69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62" w:hRule="atLeast"/>
        </w:trPr>
        <w:tc>
          <w:tcPr>
            <w:tcW w:w="1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7609">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B4867">
            <w:pPr>
              <w:widowControl/>
              <w:ind w:firstLine="0" w:firstLineChars="0"/>
              <w:jc w:val="center"/>
              <w:rPr>
                <w:rFonts w:hint="eastAsia" w:ascii="仿宋_GB2312" w:hAnsi="宋体" w:eastAsia="仿宋_GB2312" w:cs="宋体"/>
                <w:b w:val="0"/>
                <w:bCs w:val="0"/>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12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BEDBC">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4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21C82">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3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E7914">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42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71E61">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72135">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4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C890B">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FE4E">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5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29553">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c>
          <w:tcPr>
            <w:tcW w:w="1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EE17F">
            <w:pPr>
              <w:widowControl/>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仿宋_GB2312" w:hAnsi="宋体" w:eastAsia="仿宋_GB2312" w:cs="宋体"/>
                <w:color w:val="000000"/>
                <w:kern w:val="0"/>
                <w:sz w:val="21"/>
                <w:szCs w:val="21"/>
              </w:rPr>
              <w:t>/</w:t>
            </w:r>
          </w:p>
        </w:tc>
      </w:tr>
    </w:tbl>
    <w:p w14:paraId="577DAB94">
      <w:pPr>
        <w:autoSpaceDE w:val="0"/>
        <w:autoSpaceDN w:val="0"/>
        <w:adjustRightInd w:val="0"/>
        <w:spacing w:line="360" w:lineRule="auto"/>
        <w:ind w:firstLine="0" w:firstLineChars="0"/>
        <w:jc w:val="left"/>
        <w:rPr>
          <w:rFonts w:hint="eastAsia" w:ascii="仿宋" w:hAnsi="仿宋" w:eastAsia="仿宋" w:cs="Times New Roman"/>
          <w:kern w:val="0"/>
          <w:sz w:val="21"/>
          <w:szCs w:val="21"/>
        </w:rPr>
      </w:pPr>
      <w:r>
        <w:rPr>
          <w:rFonts w:hint="eastAsia" w:ascii="仿宋" w:hAnsi="仿宋" w:eastAsia="仿宋" w:cs="Times New Roman"/>
          <w:kern w:val="0"/>
          <w:sz w:val="21"/>
          <w:szCs w:val="21"/>
        </w:rPr>
        <w:t>备注：拐点坐标及空间范围以规划数据库为准。</w:t>
      </w:r>
    </w:p>
    <w:p w14:paraId="09A6DDBA">
      <w:pPr>
        <w:autoSpaceDE w:val="0"/>
        <w:autoSpaceDN w:val="0"/>
        <w:adjustRightInd w:val="0"/>
        <w:spacing w:line="360" w:lineRule="auto"/>
        <w:ind w:firstLine="0" w:firstLineChars="0"/>
        <w:jc w:val="left"/>
        <w:rPr>
          <w:rFonts w:hint="eastAsia" w:ascii="仿宋" w:hAnsi="仿宋" w:eastAsia="仿宋" w:cs="Times New Roman"/>
          <w:kern w:val="0"/>
          <w:sz w:val="21"/>
          <w:szCs w:val="21"/>
        </w:rPr>
      </w:pPr>
    </w:p>
    <w:p w14:paraId="748A2709">
      <w:pPr>
        <w:autoSpaceDE w:val="0"/>
        <w:autoSpaceDN w:val="0"/>
        <w:adjustRightInd w:val="0"/>
        <w:spacing w:line="360" w:lineRule="auto"/>
        <w:ind w:firstLine="0" w:firstLineChars="0"/>
        <w:jc w:val="left"/>
        <w:rPr>
          <w:rFonts w:hint="eastAsia" w:ascii="仿宋" w:hAnsi="仿宋" w:eastAsia="仿宋" w:cs="Times New Roman"/>
          <w:kern w:val="0"/>
          <w:sz w:val="21"/>
          <w:szCs w:val="21"/>
        </w:rPr>
      </w:pPr>
    </w:p>
    <w:p w14:paraId="125B64B5">
      <w:pPr>
        <w:autoSpaceDE w:val="0"/>
        <w:autoSpaceDN w:val="0"/>
        <w:adjustRightInd w:val="0"/>
        <w:spacing w:line="360" w:lineRule="auto"/>
        <w:ind w:firstLine="0" w:firstLineChars="0"/>
        <w:jc w:val="left"/>
        <w:rPr>
          <w:rFonts w:hint="eastAsia" w:ascii="仿宋" w:hAnsi="仿宋" w:eastAsia="仿宋" w:cs="Times New Roman"/>
          <w:kern w:val="0"/>
          <w:sz w:val="21"/>
          <w:szCs w:val="21"/>
        </w:rPr>
      </w:pPr>
    </w:p>
    <w:p w14:paraId="2C73A632">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sectPr>
          <w:pgSz w:w="16838" w:h="11906" w:orient="landscape"/>
          <w:pgMar w:top="1797" w:right="1134" w:bottom="1797" w:left="1134" w:header="851" w:footer="992" w:gutter="0"/>
          <w:pgNumType w:fmt="numberInDash"/>
          <w:cols w:space="425" w:num="1"/>
          <w:docGrid w:type="lines" w:linePitch="312" w:charSpace="0"/>
        </w:sectPr>
      </w:pPr>
    </w:p>
    <w:p w14:paraId="1616F684">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lang w:val="en-US" w:eastAsia="zh-CN"/>
        </w:rPr>
      </w:pPr>
      <w:r>
        <w:rPr>
          <w:rFonts w:hint="eastAsia" w:ascii="黑体" w:hAnsi="黑体" w:eastAsia="黑体" w:cs="宋体"/>
          <w:color w:val="000000"/>
          <w:kern w:val="0"/>
          <w:sz w:val="30"/>
          <w:szCs w:val="30"/>
        </w:rPr>
        <w:t>附表8</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砂石土类集中开采区</w:t>
      </w:r>
      <w:r>
        <w:rPr>
          <w:rFonts w:hint="eastAsia" w:ascii="黑体" w:hAnsi="黑体" w:eastAsia="黑体" w:cs="宋体"/>
          <w:color w:val="000000"/>
          <w:kern w:val="0"/>
          <w:sz w:val="30"/>
          <w:szCs w:val="30"/>
          <w:lang w:val="en-US" w:eastAsia="zh-CN"/>
        </w:rPr>
        <w:t>表</w:t>
      </w:r>
    </w:p>
    <w:tbl>
      <w:tblPr>
        <w:tblStyle w:val="17"/>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42"/>
        <w:gridCol w:w="642"/>
        <w:gridCol w:w="642"/>
        <w:gridCol w:w="1015"/>
        <w:gridCol w:w="1201"/>
        <w:gridCol w:w="1015"/>
        <w:gridCol w:w="829"/>
        <w:gridCol w:w="829"/>
        <w:gridCol w:w="1201"/>
        <w:gridCol w:w="1858"/>
        <w:gridCol w:w="1201"/>
        <w:gridCol w:w="1858"/>
        <w:gridCol w:w="1201"/>
        <w:gridCol w:w="643"/>
      </w:tblGrid>
      <w:tr w14:paraId="4E5799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DBA4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6A64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2697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A72D5">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开采矿种</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9A6C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w:t>
            </w:r>
          </w:p>
          <w:p w14:paraId="361EDDB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default" w:ascii="仿宋_GB2312" w:hAnsi="宋体" w:eastAsia="仿宋_GB2312" w:cs="宋体"/>
                <w:b/>
                <w:bCs/>
                <w:color w:val="000000"/>
                <w:kern w:val="0"/>
                <w:sz w:val="15"/>
                <w:szCs w:val="15"/>
                <w:lang w:val="en-US" w:eastAsia="zh-CN"/>
              </w:rPr>
              <w:t>(</w:t>
            </w:r>
            <w:r>
              <w:rPr>
                <w:rFonts w:hint="eastAsia" w:ascii="仿宋_GB2312" w:hAnsi="宋体" w:eastAsia="仿宋_GB2312" w:cs="宋体"/>
                <w:b/>
                <w:bCs/>
                <w:color w:val="000000"/>
                <w:kern w:val="0"/>
                <w:sz w:val="15"/>
                <w:szCs w:val="15"/>
                <w:lang w:val="en-US" w:eastAsia="zh-CN"/>
              </w:rPr>
              <w:t>平方千米</w:t>
            </w:r>
            <w:r>
              <w:rPr>
                <w:rFonts w:hint="default" w:ascii="仿宋_GB2312" w:hAnsi="宋体" w:eastAsia="仿宋_GB2312" w:cs="宋体"/>
                <w:b/>
                <w:bCs/>
                <w:color w:val="000000"/>
                <w:kern w:val="0"/>
                <w:sz w:val="15"/>
                <w:szCs w:val="15"/>
                <w:lang w:val="en-US" w:eastAsia="zh-CN"/>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60E9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015C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p w14:paraId="6CD544E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单位</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1E18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1BEC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已设采矿权</w:t>
            </w:r>
          </w:p>
          <w:p w14:paraId="0D7E0A5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数量</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2229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已设采矿权设计开</w:t>
            </w:r>
          </w:p>
          <w:p w14:paraId="0D4958B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采规模（万吨</w:t>
            </w:r>
            <w:r>
              <w:rPr>
                <w:rFonts w:hint="default" w:ascii="仿宋_GB2312" w:hAnsi="宋体" w:eastAsia="仿宋_GB2312" w:cs="宋体"/>
                <w:b/>
                <w:bCs/>
                <w:color w:val="000000"/>
                <w:kern w:val="0"/>
                <w:sz w:val="15"/>
                <w:szCs w:val="15"/>
                <w:lang w:val="en-US" w:eastAsia="zh-CN"/>
              </w:rPr>
              <w:t>/</w:t>
            </w:r>
            <w:r>
              <w:rPr>
                <w:rFonts w:hint="eastAsia" w:ascii="仿宋_GB2312" w:hAnsi="宋体" w:eastAsia="仿宋_GB2312" w:cs="宋体"/>
                <w:b/>
                <w:bCs/>
                <w:color w:val="000000"/>
                <w:kern w:val="0"/>
                <w:sz w:val="15"/>
                <w:szCs w:val="15"/>
                <w:lang w:val="en-US" w:eastAsia="zh-CN"/>
              </w:rPr>
              <w:t>年）</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5CED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拟设采矿权</w:t>
            </w:r>
          </w:p>
          <w:p w14:paraId="0E85660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数量</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5A92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拟设采矿权设计开</w:t>
            </w:r>
          </w:p>
          <w:p w14:paraId="1C58A7D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采规模（万吨</w:t>
            </w:r>
            <w:r>
              <w:rPr>
                <w:rFonts w:hint="default" w:ascii="仿宋_GB2312" w:hAnsi="宋体" w:eastAsia="仿宋_GB2312" w:cs="宋体"/>
                <w:b/>
                <w:bCs/>
                <w:color w:val="000000"/>
                <w:kern w:val="0"/>
                <w:sz w:val="15"/>
                <w:szCs w:val="15"/>
                <w:lang w:val="en-US" w:eastAsia="zh-CN"/>
              </w:rPr>
              <w:t>/</w:t>
            </w:r>
            <w:r>
              <w:rPr>
                <w:rFonts w:hint="eastAsia" w:ascii="仿宋_GB2312" w:hAnsi="宋体" w:eastAsia="仿宋_GB2312" w:cs="宋体"/>
                <w:b/>
                <w:bCs/>
                <w:color w:val="000000"/>
                <w:kern w:val="0"/>
                <w:sz w:val="15"/>
                <w:szCs w:val="15"/>
                <w:lang w:val="en-US" w:eastAsia="zh-CN"/>
              </w:rPr>
              <w:t>年）</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6349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FED0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70F1A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A761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20B1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3208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F200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409B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3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695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8DF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100AE">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122F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A1D4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BEE9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6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95C5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4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CC1C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c>
          <w:tcPr>
            <w:tcW w:w="2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1B4B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color w:val="000000"/>
                <w:kern w:val="0"/>
                <w:sz w:val="21"/>
                <w:szCs w:val="21"/>
              </w:rPr>
              <w:t>/</w:t>
            </w:r>
          </w:p>
        </w:tc>
      </w:tr>
    </w:tbl>
    <w:p w14:paraId="3715635A">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lang w:val="en-US" w:eastAsia="zh-CN"/>
        </w:rPr>
      </w:pPr>
    </w:p>
    <w:p w14:paraId="3E95B335">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91E1E43">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C95388F">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737AAF3">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8143556">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F1A0D93">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39A8E84">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459F36F2">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B697B5F">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3086D8B5">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附表9</w:t>
      </w:r>
      <w:r>
        <w:rPr>
          <w:rFonts w:hint="eastAsia" w:ascii="黑体" w:hAnsi="黑体" w:eastAsia="黑体" w:cs="宋体"/>
          <w:color w:val="000000"/>
          <w:kern w:val="0"/>
          <w:sz w:val="30"/>
          <w:szCs w:val="30"/>
          <w:lang w:val="en-US" w:eastAsia="zh-CN"/>
        </w:rPr>
        <w:t xml:space="preserve">  马边县</w:t>
      </w:r>
      <w:r>
        <w:rPr>
          <w:rFonts w:hint="eastAsia" w:ascii="黑体" w:hAnsi="黑体" w:eastAsia="黑体" w:cs="宋体"/>
          <w:color w:val="000000"/>
          <w:kern w:val="0"/>
          <w:sz w:val="30"/>
          <w:szCs w:val="30"/>
        </w:rPr>
        <w:t>矿产资源重点勘查项目规划表</w:t>
      </w:r>
    </w:p>
    <w:tbl>
      <w:tblPr>
        <w:tblStyle w:val="1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07"/>
        <w:gridCol w:w="508"/>
        <w:gridCol w:w="2050"/>
        <w:gridCol w:w="790"/>
        <w:gridCol w:w="1229"/>
        <w:gridCol w:w="790"/>
        <w:gridCol w:w="790"/>
        <w:gridCol w:w="930"/>
        <w:gridCol w:w="930"/>
        <w:gridCol w:w="1363"/>
        <w:gridCol w:w="790"/>
        <w:gridCol w:w="1042"/>
        <w:gridCol w:w="1629"/>
        <w:gridCol w:w="930"/>
        <w:gridCol w:w="508"/>
      </w:tblGrid>
      <w:tr w14:paraId="4302A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E7C3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00E57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F5CFD7">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A78C7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6FC3B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面积(平方千米)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F732A7D">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BF919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勘查阶段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04A1B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资源量单位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10027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新增资源量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FDD5BB">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预期投入（万元）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D9FDB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资金类型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A9FE6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项目时限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A1EC0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实施主体</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0663A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DB046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1D3C3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B44F75">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1</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A41C781">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89526">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四川省马边彝族自治县大院子磷矿普查</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21D45">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磷</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325FE">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20.2431</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7E431">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2FDCA">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普查</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BDC42">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矿石 亿吨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B22B2">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eastAsia" w:ascii="Times New Roman" w:hAnsi="Times New Roman" w:eastAsia="仿宋_GB2312" w:cs="Times New Roman"/>
                <w:b w:val="0"/>
                <w:bCs w:val="0"/>
                <w:color w:val="000000"/>
                <w:kern w:val="0"/>
                <w:sz w:val="15"/>
                <w:szCs w:val="15"/>
                <w:lang w:val="en-US" w:eastAsia="zh-CN"/>
              </w:rPr>
              <w:t>2</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E4D05">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2900</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5C027">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省财政</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A806">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2024-2026年</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BF0B4">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四川省自然资源厅</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04911">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马边县</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2E87A">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p>
        </w:tc>
      </w:tr>
      <w:tr w14:paraId="2CEA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5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544E">
            <w:pPr>
              <w:widowControl/>
              <w:spacing w:line="240" w:lineRule="auto"/>
              <w:ind w:firstLine="0" w:firstLineChars="0"/>
              <w:jc w:val="center"/>
              <w:rPr>
                <w:rFonts w:hint="default" w:ascii="仿宋_GB2312" w:hAnsi="宋体" w:eastAsia="仿宋_GB2312" w:cs="宋体"/>
                <w:b w:val="0"/>
                <w:bCs w:val="0"/>
                <w:color w:val="000000"/>
                <w:kern w:val="0"/>
                <w:sz w:val="15"/>
                <w:szCs w:val="15"/>
                <w:lang w:val="en-US" w:eastAsia="zh-CN"/>
              </w:rPr>
            </w:pPr>
            <w:r>
              <w:rPr>
                <w:rFonts w:hint="eastAsia" w:eastAsia="仿宋_GB2312" w:cs="Times New Roman"/>
                <w:b w:val="0"/>
                <w:bCs w:val="0"/>
                <w:color w:val="000000"/>
                <w:kern w:val="0"/>
                <w:sz w:val="15"/>
                <w:szCs w:val="15"/>
                <w:lang w:val="en-US" w:eastAsia="zh-CN"/>
              </w:rPr>
              <w:t>2</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250A788">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p>
        </w:tc>
        <w:tc>
          <w:tcPr>
            <w:tcW w:w="2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65B1E">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马边福马磷化有限公司麦子坪矿区北矿段铅锌萤石生产勘探</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4CA2B">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铅锌、萤石</w:t>
            </w:r>
          </w:p>
        </w:tc>
        <w:tc>
          <w:tcPr>
            <w:tcW w:w="12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52B0B">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 xml:space="preserve">2.6490 </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A1CA0">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A33E1">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勘探</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EC75A">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万吨</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F584A">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金属量：2；矿物量：</w:t>
            </w:r>
            <w:r>
              <w:rPr>
                <w:rFonts w:hint="eastAsia" w:ascii="Times New Roman" w:hAnsi="Times New Roman" w:eastAsia="仿宋_GB2312" w:cs="Times New Roman"/>
                <w:b w:val="0"/>
                <w:bCs w:val="0"/>
                <w:color w:val="000000"/>
                <w:kern w:val="0"/>
                <w:sz w:val="15"/>
                <w:szCs w:val="15"/>
                <w:lang w:val="en-US" w:eastAsia="zh-CN"/>
              </w:rPr>
              <w:t>3</w:t>
            </w:r>
            <w:r>
              <w:rPr>
                <w:rFonts w:hint="default" w:ascii="Times New Roman" w:hAnsi="Times New Roman" w:eastAsia="仿宋_GB2312" w:cs="Times New Roman"/>
                <w:b w:val="0"/>
                <w:bCs w:val="0"/>
                <w:color w:val="000000"/>
                <w:kern w:val="0"/>
                <w:sz w:val="15"/>
                <w:szCs w:val="15"/>
                <w:lang w:val="en-US" w:eastAsia="zh-CN"/>
              </w:rPr>
              <w:t>0</w:t>
            </w:r>
          </w:p>
        </w:tc>
        <w:tc>
          <w:tcPr>
            <w:tcW w:w="13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D0D9C">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3000</w:t>
            </w:r>
          </w:p>
        </w:tc>
        <w:tc>
          <w:tcPr>
            <w:tcW w:w="7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1750">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社会资金</w:t>
            </w:r>
          </w:p>
        </w:tc>
        <w:tc>
          <w:tcPr>
            <w:tcW w:w="10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5874">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2024-2026年</w:t>
            </w:r>
          </w:p>
        </w:tc>
        <w:tc>
          <w:tcPr>
            <w:tcW w:w="16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8EC44">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马边福马磷化有限公司</w:t>
            </w:r>
          </w:p>
        </w:tc>
        <w:tc>
          <w:tcPr>
            <w:tcW w:w="9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7A38A">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bidi="ar-SA"/>
              </w:rPr>
            </w:pPr>
            <w:r>
              <w:rPr>
                <w:rFonts w:hint="default" w:ascii="Times New Roman" w:hAnsi="Times New Roman" w:eastAsia="仿宋_GB2312" w:cs="Times New Roman"/>
                <w:b w:val="0"/>
                <w:bCs w:val="0"/>
                <w:color w:val="000000"/>
                <w:kern w:val="0"/>
                <w:sz w:val="15"/>
                <w:szCs w:val="15"/>
                <w:lang w:val="en-US" w:eastAsia="zh-CN"/>
              </w:rPr>
              <w:t>马边县</w:t>
            </w:r>
          </w:p>
        </w:tc>
        <w:tc>
          <w:tcPr>
            <w:tcW w:w="5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ED28C">
            <w:pPr>
              <w:widowControl/>
              <w:spacing w:line="240" w:lineRule="auto"/>
              <w:ind w:firstLine="0" w:firstLineChars="0"/>
              <w:jc w:val="center"/>
              <w:rPr>
                <w:rFonts w:hint="eastAsia" w:ascii="仿宋_GB2312" w:hAnsi="宋体" w:eastAsia="仿宋_GB2312" w:cs="宋体"/>
                <w:b w:val="0"/>
                <w:bCs w:val="0"/>
                <w:color w:val="000000"/>
                <w:kern w:val="0"/>
                <w:sz w:val="15"/>
                <w:szCs w:val="15"/>
                <w:lang w:val="en-US" w:eastAsia="zh-CN"/>
              </w:rPr>
            </w:pPr>
          </w:p>
        </w:tc>
      </w:tr>
    </w:tbl>
    <w:p w14:paraId="3AFF0AB7">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AC401E7">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027FC931">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B7427F0">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ECB894D">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4CC822E2">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A065761">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74D194C">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19536071">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r>
        <w:rPr>
          <w:rFonts w:hint="eastAsia" w:ascii="黑体" w:hAnsi="黑体" w:eastAsia="黑体" w:cs="宋体"/>
          <w:color w:val="000000"/>
          <w:kern w:val="0"/>
          <w:sz w:val="30"/>
          <w:szCs w:val="30"/>
        </w:rPr>
        <w:t>附表</w:t>
      </w:r>
      <w:r>
        <w:rPr>
          <w:rFonts w:hint="eastAsia" w:ascii="黑体" w:hAnsi="黑体" w:eastAsia="黑体" w:cs="宋体"/>
          <w:color w:val="000000"/>
          <w:kern w:val="0"/>
          <w:sz w:val="30"/>
          <w:szCs w:val="30"/>
          <w:lang w:val="en-US" w:eastAsia="zh-CN"/>
        </w:rPr>
        <w:t>10  马边县</w:t>
      </w:r>
      <w:r>
        <w:rPr>
          <w:rFonts w:hint="eastAsia" w:ascii="黑体" w:hAnsi="黑体" w:eastAsia="黑体" w:cs="宋体"/>
          <w:color w:val="000000"/>
          <w:kern w:val="0"/>
          <w:sz w:val="30"/>
          <w:szCs w:val="30"/>
        </w:rPr>
        <w:t>矿产资源重点开采项目规划表</w:t>
      </w:r>
    </w:p>
    <w:tbl>
      <w:tblPr>
        <w:tblStyle w:val="17"/>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71"/>
        <w:gridCol w:w="671"/>
        <w:gridCol w:w="672"/>
        <w:gridCol w:w="1063"/>
        <w:gridCol w:w="1258"/>
        <w:gridCol w:w="1063"/>
        <w:gridCol w:w="1063"/>
        <w:gridCol w:w="1063"/>
        <w:gridCol w:w="1258"/>
        <w:gridCol w:w="1356"/>
        <w:gridCol w:w="1063"/>
        <w:gridCol w:w="1649"/>
        <w:gridCol w:w="1258"/>
        <w:gridCol w:w="672"/>
      </w:tblGrid>
      <w:tr w14:paraId="261A0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ABB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序号</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A5E2F">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编号</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A9D74">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名称</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7D7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主要矿种</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F53D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面积</w:t>
            </w:r>
          </w:p>
          <w:p w14:paraId="07FA9796">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(平方千米)</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B1F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拐点坐标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9D83">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项目类别</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935E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预期投入</w:t>
            </w:r>
          </w:p>
          <w:p w14:paraId="7B186D6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(万元)</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AF19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项目时限</w:t>
            </w:r>
          </w:p>
          <w:p w14:paraId="70E0368C">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(实施周期)</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D2290">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实施主体</w:t>
            </w:r>
          </w:p>
          <w:p w14:paraId="35C911B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(牵头单位）</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872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预期新增</w:t>
            </w:r>
          </w:p>
          <w:p w14:paraId="5AE0070A">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设计产能</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30FB1">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预计需求采矿用</w:t>
            </w:r>
          </w:p>
          <w:p w14:paraId="6C6564E2">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地规模(平方米)</w:t>
            </w:r>
          </w:p>
        </w:tc>
        <w:tc>
          <w:tcPr>
            <w:tcW w:w="42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D51E9">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所在行政区</w:t>
            </w:r>
          </w:p>
        </w:tc>
        <w:tc>
          <w:tcPr>
            <w:tcW w:w="22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436A8">
            <w:pPr>
              <w:widowControl/>
              <w:ind w:firstLine="0" w:firstLineChars="0"/>
              <w:jc w:val="center"/>
              <w:rPr>
                <w:rFonts w:hint="eastAsia" w:ascii="仿宋_GB2312" w:hAnsi="宋体" w:eastAsia="仿宋_GB2312" w:cs="宋体"/>
                <w:b/>
                <w:bCs/>
                <w:color w:val="000000"/>
                <w:kern w:val="0"/>
                <w:sz w:val="15"/>
                <w:szCs w:val="15"/>
                <w:lang w:val="en-US" w:eastAsia="zh-CN"/>
              </w:rPr>
            </w:pPr>
            <w:r>
              <w:rPr>
                <w:rFonts w:hint="eastAsia" w:ascii="仿宋_GB2312" w:hAnsi="宋体" w:eastAsia="仿宋_GB2312" w:cs="宋体"/>
                <w:b/>
                <w:bCs/>
                <w:color w:val="000000"/>
                <w:kern w:val="0"/>
                <w:sz w:val="15"/>
                <w:szCs w:val="15"/>
                <w:lang w:val="en-US" w:eastAsia="zh-CN"/>
              </w:rPr>
              <w:t>备注</w:t>
            </w:r>
          </w:p>
        </w:tc>
      </w:tr>
      <w:tr w14:paraId="7EE2D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59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431FE">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1</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79994">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4EBB9">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四川省马边县黄家坪磷矿</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09186">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磷</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00CB">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21.0026</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8D7CF">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2AAAC">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新建</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FA4BC">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500000</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F7265">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2026-2030年</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74543">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四川蜀宏矿业有限责任公司</w:t>
            </w:r>
          </w:p>
        </w:tc>
        <w:tc>
          <w:tcPr>
            <w:tcW w:w="1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F7A6">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500吨/年</w:t>
            </w:r>
          </w:p>
        </w:tc>
        <w:tc>
          <w:tcPr>
            <w:tcW w:w="1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CE6D">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110</w:t>
            </w:r>
          </w:p>
        </w:tc>
        <w:tc>
          <w:tcPr>
            <w:tcW w:w="12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9666B">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马边县</w:t>
            </w:r>
          </w:p>
        </w:tc>
        <w:tc>
          <w:tcPr>
            <w:tcW w:w="6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30BCC">
            <w:pPr>
              <w:widowControl/>
              <w:spacing w:line="240" w:lineRule="auto"/>
              <w:ind w:firstLine="0" w:firstLineChars="0"/>
              <w:jc w:val="center"/>
              <w:rPr>
                <w:rFonts w:hint="eastAsia" w:ascii="仿宋_GB2312" w:hAnsi="宋体" w:eastAsia="仿宋_GB2312" w:cs="宋体"/>
                <w:b/>
                <w:bCs/>
                <w:color w:val="000000"/>
                <w:kern w:val="0"/>
                <w:sz w:val="15"/>
                <w:szCs w:val="15"/>
                <w:lang w:val="en-US" w:eastAsia="zh-CN"/>
              </w:rPr>
            </w:pPr>
            <w:r>
              <w:rPr>
                <w:rFonts w:hint="default" w:ascii="Times New Roman" w:hAnsi="Times New Roman" w:eastAsia="仿宋_GB2312" w:cs="Times New Roman"/>
                <w:b w:val="0"/>
                <w:bCs w:val="0"/>
                <w:color w:val="000000"/>
                <w:kern w:val="0"/>
                <w:sz w:val="15"/>
                <w:szCs w:val="15"/>
                <w:lang w:val="en-US" w:eastAsia="zh-CN"/>
              </w:rPr>
              <w:t>1</w:t>
            </w:r>
          </w:p>
        </w:tc>
      </w:tr>
    </w:tbl>
    <w:p w14:paraId="2065DC32">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04ADC8E1">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3007ADC">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C4F660E">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A0AC3C3">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503FA88F">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2ACD72DD">
      <w:pPr>
        <w:autoSpaceDE w:val="0"/>
        <w:autoSpaceDN w:val="0"/>
        <w:adjustRightInd w:val="0"/>
        <w:spacing w:line="360" w:lineRule="auto"/>
        <w:ind w:firstLine="0" w:firstLineChars="0"/>
        <w:jc w:val="center"/>
        <w:rPr>
          <w:rFonts w:hint="eastAsia" w:ascii="黑体" w:hAnsi="黑体" w:eastAsia="黑体" w:cs="宋体"/>
          <w:color w:val="000000"/>
          <w:kern w:val="0"/>
          <w:sz w:val="30"/>
          <w:szCs w:val="30"/>
        </w:rPr>
      </w:pPr>
    </w:p>
    <w:p w14:paraId="6785FF75">
      <w:pPr>
        <w:autoSpaceDE w:val="0"/>
        <w:autoSpaceDN w:val="0"/>
        <w:adjustRightInd w:val="0"/>
        <w:spacing w:line="360" w:lineRule="auto"/>
        <w:jc w:val="center"/>
        <w:rPr>
          <w:rFonts w:hint="eastAsia" w:ascii="黑体" w:hAnsi="黑体" w:eastAsia="黑体" w:cs="宋体"/>
          <w:color w:val="000000"/>
          <w:kern w:val="0"/>
          <w:sz w:val="30"/>
          <w:szCs w:val="30"/>
        </w:rPr>
        <w:sectPr>
          <w:pgSz w:w="16838" w:h="11906" w:orient="landscape"/>
          <w:pgMar w:top="1797" w:right="1134" w:bottom="1797" w:left="1134" w:header="851" w:footer="992" w:gutter="0"/>
          <w:pgNumType w:fmt="numberInDash"/>
          <w:cols w:space="425" w:num="1"/>
          <w:docGrid w:type="lines" w:linePitch="312" w:charSpace="0"/>
        </w:sectPr>
      </w:pPr>
    </w:p>
    <w:p w14:paraId="10A0D589">
      <w:pPr>
        <w:spacing w:line="360" w:lineRule="auto"/>
        <w:ind w:left="0" w:leftChars="0" w:firstLine="0" w:firstLineChars="0"/>
        <w:rPr>
          <w:rFonts w:ascii="仿宋_GB2312" w:hAnsi="仿宋" w:eastAsia="仿宋_GB2312"/>
          <w:kern w:val="0"/>
          <w:szCs w:val="32"/>
        </w:rPr>
      </w:pPr>
    </w:p>
    <w:sectPr>
      <w:pgSz w:w="11906" w:h="16838"/>
      <w:pgMar w:top="1134" w:right="1797" w:bottom="1134" w:left="1797" w:header="851" w:footer="992" w:gutter="0"/>
      <w:pgNumType w:fmt="numberInDash"/>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FangSong_GB2312">
    <w:panose1 w:val="02010609030101010101"/>
    <w:charset w:val="86"/>
    <w:family w:val="auto"/>
    <w:pitch w:val="default"/>
    <w:sig w:usb0="00000001" w:usb1="080E0000" w:usb2="00000000" w:usb3="00000000" w:csb0="00040000"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06206">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C7226">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79A66">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9DDA8">
    <w:pPr>
      <w:pStyle w:val="10"/>
      <w:ind w:firstLine="360"/>
      <w:jc w:val="center"/>
    </w:pPr>
  </w:p>
  <w:p w14:paraId="0E2933B3">
    <w:pPr>
      <w:pStyle w:val="10"/>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31930">
    <w:pPr>
      <w:pStyle w:val="10"/>
      <w:ind w:firstLine="360"/>
      <w:jc w:val="center"/>
    </w:pPr>
    <w:r>
      <w:rPr>
        <w:sz w:val="18"/>
      </w:rPr>
      <w:pict>
        <v:shape id="_x0000_s4100" o:spid="_x0000_s4100"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899FD9F">
                <w:pPr>
                  <w:pStyle w:val="10"/>
                </w:pPr>
                <w:r>
                  <w:fldChar w:fldCharType="begin"/>
                </w:r>
                <w:r>
                  <w:instrText xml:space="preserve"> PAGE  \* MERGEFORMAT </w:instrText>
                </w:r>
                <w:r>
                  <w:fldChar w:fldCharType="separate"/>
                </w:r>
                <w:r>
                  <w:t>- 1 -</w:t>
                </w:r>
                <w:r>
                  <w:fldChar w:fldCharType="end"/>
                </w:r>
              </w:p>
            </w:txbxContent>
          </v:textbox>
        </v:shape>
      </w:pict>
    </w:r>
  </w:p>
  <w:p w14:paraId="2B7850E0">
    <w:pPr>
      <w:pStyle w:val="10"/>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6F54EC">
    <w:pPr>
      <w:ind w:firstLine="640"/>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1C0EB">
    <w:pPr>
      <w:pStyle w:val="11"/>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B8C16">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574E7">
    <w:pPr>
      <w:pStyle w:val="11"/>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jBkOGY2N2QwNGJmZTE4NjA2OTJiMTA5NTEwOTliYmYifQ=="/>
  </w:docVars>
  <w:rsids>
    <w:rsidRoot w:val="00331973"/>
    <w:rsid w:val="000006BF"/>
    <w:rsid w:val="00003442"/>
    <w:rsid w:val="00003C85"/>
    <w:rsid w:val="00003F88"/>
    <w:rsid w:val="00004B11"/>
    <w:rsid w:val="0000504C"/>
    <w:rsid w:val="000054F4"/>
    <w:rsid w:val="00006434"/>
    <w:rsid w:val="00006BB7"/>
    <w:rsid w:val="00007998"/>
    <w:rsid w:val="00007C31"/>
    <w:rsid w:val="00010091"/>
    <w:rsid w:val="00010895"/>
    <w:rsid w:val="00011B1B"/>
    <w:rsid w:val="00011C20"/>
    <w:rsid w:val="0001221D"/>
    <w:rsid w:val="0001277F"/>
    <w:rsid w:val="000127CF"/>
    <w:rsid w:val="00012C9C"/>
    <w:rsid w:val="00013181"/>
    <w:rsid w:val="00016601"/>
    <w:rsid w:val="000166AA"/>
    <w:rsid w:val="00016902"/>
    <w:rsid w:val="00017178"/>
    <w:rsid w:val="000171F4"/>
    <w:rsid w:val="00020FCD"/>
    <w:rsid w:val="00021598"/>
    <w:rsid w:val="00025B78"/>
    <w:rsid w:val="00026FC3"/>
    <w:rsid w:val="0002753D"/>
    <w:rsid w:val="00031405"/>
    <w:rsid w:val="0003384A"/>
    <w:rsid w:val="00034485"/>
    <w:rsid w:val="00034A6F"/>
    <w:rsid w:val="00034CF3"/>
    <w:rsid w:val="00035EDF"/>
    <w:rsid w:val="000365D2"/>
    <w:rsid w:val="0003704C"/>
    <w:rsid w:val="000371F4"/>
    <w:rsid w:val="00037723"/>
    <w:rsid w:val="000403FA"/>
    <w:rsid w:val="0004101E"/>
    <w:rsid w:val="00041299"/>
    <w:rsid w:val="00041D68"/>
    <w:rsid w:val="00041DCD"/>
    <w:rsid w:val="000421D0"/>
    <w:rsid w:val="000430BE"/>
    <w:rsid w:val="00043352"/>
    <w:rsid w:val="00043C5C"/>
    <w:rsid w:val="000444EE"/>
    <w:rsid w:val="0004469E"/>
    <w:rsid w:val="000447B7"/>
    <w:rsid w:val="00046425"/>
    <w:rsid w:val="00046E8B"/>
    <w:rsid w:val="000470A6"/>
    <w:rsid w:val="00052D65"/>
    <w:rsid w:val="0005339C"/>
    <w:rsid w:val="00053C8C"/>
    <w:rsid w:val="00054211"/>
    <w:rsid w:val="00060A59"/>
    <w:rsid w:val="00063179"/>
    <w:rsid w:val="0006322E"/>
    <w:rsid w:val="00064757"/>
    <w:rsid w:val="000651BA"/>
    <w:rsid w:val="0006677E"/>
    <w:rsid w:val="0006695C"/>
    <w:rsid w:val="00066E9C"/>
    <w:rsid w:val="00073DE9"/>
    <w:rsid w:val="00073FC3"/>
    <w:rsid w:val="00074D14"/>
    <w:rsid w:val="000752D7"/>
    <w:rsid w:val="000769E7"/>
    <w:rsid w:val="00077B86"/>
    <w:rsid w:val="0008251E"/>
    <w:rsid w:val="00085368"/>
    <w:rsid w:val="00085E15"/>
    <w:rsid w:val="00085F22"/>
    <w:rsid w:val="00086BCB"/>
    <w:rsid w:val="00090616"/>
    <w:rsid w:val="00090B41"/>
    <w:rsid w:val="00091684"/>
    <w:rsid w:val="00091C70"/>
    <w:rsid w:val="0009253D"/>
    <w:rsid w:val="000950B5"/>
    <w:rsid w:val="00096379"/>
    <w:rsid w:val="000968BD"/>
    <w:rsid w:val="000972C3"/>
    <w:rsid w:val="000A0522"/>
    <w:rsid w:val="000A1A0C"/>
    <w:rsid w:val="000A3075"/>
    <w:rsid w:val="000A3A03"/>
    <w:rsid w:val="000A46CD"/>
    <w:rsid w:val="000A49AD"/>
    <w:rsid w:val="000A4A9D"/>
    <w:rsid w:val="000A4BAA"/>
    <w:rsid w:val="000A6265"/>
    <w:rsid w:val="000A653D"/>
    <w:rsid w:val="000B0320"/>
    <w:rsid w:val="000B0F6E"/>
    <w:rsid w:val="000B1FE4"/>
    <w:rsid w:val="000B381E"/>
    <w:rsid w:val="000B4492"/>
    <w:rsid w:val="000B4773"/>
    <w:rsid w:val="000B4DDE"/>
    <w:rsid w:val="000B514D"/>
    <w:rsid w:val="000B5507"/>
    <w:rsid w:val="000B6A96"/>
    <w:rsid w:val="000B7B33"/>
    <w:rsid w:val="000C0D4F"/>
    <w:rsid w:val="000C1DAF"/>
    <w:rsid w:val="000C2330"/>
    <w:rsid w:val="000C31C5"/>
    <w:rsid w:val="000C3352"/>
    <w:rsid w:val="000C364A"/>
    <w:rsid w:val="000C4958"/>
    <w:rsid w:val="000C5441"/>
    <w:rsid w:val="000C5818"/>
    <w:rsid w:val="000C5FCC"/>
    <w:rsid w:val="000C700E"/>
    <w:rsid w:val="000C7E72"/>
    <w:rsid w:val="000D08C3"/>
    <w:rsid w:val="000D12D2"/>
    <w:rsid w:val="000D200E"/>
    <w:rsid w:val="000D398C"/>
    <w:rsid w:val="000D3F4E"/>
    <w:rsid w:val="000D4A4D"/>
    <w:rsid w:val="000D57D1"/>
    <w:rsid w:val="000D5CAA"/>
    <w:rsid w:val="000D639D"/>
    <w:rsid w:val="000D64C3"/>
    <w:rsid w:val="000D6CAE"/>
    <w:rsid w:val="000D76A9"/>
    <w:rsid w:val="000E049A"/>
    <w:rsid w:val="000E167E"/>
    <w:rsid w:val="000E201E"/>
    <w:rsid w:val="000E20C8"/>
    <w:rsid w:val="000E3706"/>
    <w:rsid w:val="000E370C"/>
    <w:rsid w:val="000E3898"/>
    <w:rsid w:val="000E42BA"/>
    <w:rsid w:val="000E46FB"/>
    <w:rsid w:val="000E5EA9"/>
    <w:rsid w:val="000E60E4"/>
    <w:rsid w:val="000E7000"/>
    <w:rsid w:val="000E7427"/>
    <w:rsid w:val="000F0506"/>
    <w:rsid w:val="000F26D7"/>
    <w:rsid w:val="000F61F1"/>
    <w:rsid w:val="000F6DE9"/>
    <w:rsid w:val="000F77FD"/>
    <w:rsid w:val="000F7BC5"/>
    <w:rsid w:val="00101915"/>
    <w:rsid w:val="00101BA7"/>
    <w:rsid w:val="001025B5"/>
    <w:rsid w:val="0010319C"/>
    <w:rsid w:val="001039C5"/>
    <w:rsid w:val="001040B1"/>
    <w:rsid w:val="00106EE2"/>
    <w:rsid w:val="00107DEC"/>
    <w:rsid w:val="00110957"/>
    <w:rsid w:val="001121A2"/>
    <w:rsid w:val="00112DE9"/>
    <w:rsid w:val="00113339"/>
    <w:rsid w:val="001136A8"/>
    <w:rsid w:val="00114595"/>
    <w:rsid w:val="001172E2"/>
    <w:rsid w:val="00117A8B"/>
    <w:rsid w:val="001216D5"/>
    <w:rsid w:val="00121D4B"/>
    <w:rsid w:val="00122619"/>
    <w:rsid w:val="0012324B"/>
    <w:rsid w:val="00123D70"/>
    <w:rsid w:val="00125A79"/>
    <w:rsid w:val="00126147"/>
    <w:rsid w:val="001276AB"/>
    <w:rsid w:val="001278B3"/>
    <w:rsid w:val="00127ECC"/>
    <w:rsid w:val="00130B33"/>
    <w:rsid w:val="00133AED"/>
    <w:rsid w:val="001345D6"/>
    <w:rsid w:val="001354AD"/>
    <w:rsid w:val="00135B4C"/>
    <w:rsid w:val="00135C57"/>
    <w:rsid w:val="001406EC"/>
    <w:rsid w:val="00140B50"/>
    <w:rsid w:val="00140C0C"/>
    <w:rsid w:val="00142063"/>
    <w:rsid w:val="00142A95"/>
    <w:rsid w:val="00144A24"/>
    <w:rsid w:val="00145A8F"/>
    <w:rsid w:val="001466E3"/>
    <w:rsid w:val="00146B66"/>
    <w:rsid w:val="00147B33"/>
    <w:rsid w:val="00151675"/>
    <w:rsid w:val="00151C87"/>
    <w:rsid w:val="00151EC1"/>
    <w:rsid w:val="00152125"/>
    <w:rsid w:val="001525BE"/>
    <w:rsid w:val="00152659"/>
    <w:rsid w:val="00154838"/>
    <w:rsid w:val="00155154"/>
    <w:rsid w:val="00157455"/>
    <w:rsid w:val="001600B0"/>
    <w:rsid w:val="00161F96"/>
    <w:rsid w:val="00163AA8"/>
    <w:rsid w:val="00163B54"/>
    <w:rsid w:val="001642C0"/>
    <w:rsid w:val="001650CC"/>
    <w:rsid w:val="001659C2"/>
    <w:rsid w:val="0016646E"/>
    <w:rsid w:val="00166A2B"/>
    <w:rsid w:val="00170CD1"/>
    <w:rsid w:val="00170ED6"/>
    <w:rsid w:val="00171A48"/>
    <w:rsid w:val="00171C97"/>
    <w:rsid w:val="00172CDA"/>
    <w:rsid w:val="00174932"/>
    <w:rsid w:val="001749F0"/>
    <w:rsid w:val="00174A59"/>
    <w:rsid w:val="00176518"/>
    <w:rsid w:val="00176E03"/>
    <w:rsid w:val="00176FCA"/>
    <w:rsid w:val="00180266"/>
    <w:rsid w:val="00181C51"/>
    <w:rsid w:val="00182558"/>
    <w:rsid w:val="0018258D"/>
    <w:rsid w:val="0018364E"/>
    <w:rsid w:val="00183D5F"/>
    <w:rsid w:val="00185A82"/>
    <w:rsid w:val="001863FF"/>
    <w:rsid w:val="001871A9"/>
    <w:rsid w:val="00190DA1"/>
    <w:rsid w:val="001911A1"/>
    <w:rsid w:val="00192769"/>
    <w:rsid w:val="00192A3D"/>
    <w:rsid w:val="001931D4"/>
    <w:rsid w:val="00193804"/>
    <w:rsid w:val="00193AE7"/>
    <w:rsid w:val="001945DE"/>
    <w:rsid w:val="00195001"/>
    <w:rsid w:val="0019532D"/>
    <w:rsid w:val="001974C3"/>
    <w:rsid w:val="001A1DE4"/>
    <w:rsid w:val="001A4B97"/>
    <w:rsid w:val="001A76B2"/>
    <w:rsid w:val="001B0666"/>
    <w:rsid w:val="001B0FB0"/>
    <w:rsid w:val="001B2A6F"/>
    <w:rsid w:val="001B3170"/>
    <w:rsid w:val="001B3421"/>
    <w:rsid w:val="001B4A09"/>
    <w:rsid w:val="001B5824"/>
    <w:rsid w:val="001B70DE"/>
    <w:rsid w:val="001B79C7"/>
    <w:rsid w:val="001B7FE0"/>
    <w:rsid w:val="001C254D"/>
    <w:rsid w:val="001C2815"/>
    <w:rsid w:val="001C3CF7"/>
    <w:rsid w:val="001C4A78"/>
    <w:rsid w:val="001C66B1"/>
    <w:rsid w:val="001C7798"/>
    <w:rsid w:val="001D069F"/>
    <w:rsid w:val="001D0B0C"/>
    <w:rsid w:val="001D163A"/>
    <w:rsid w:val="001D18A9"/>
    <w:rsid w:val="001D4AA5"/>
    <w:rsid w:val="001D55E6"/>
    <w:rsid w:val="001D66B8"/>
    <w:rsid w:val="001D7B47"/>
    <w:rsid w:val="001E0315"/>
    <w:rsid w:val="001E08AB"/>
    <w:rsid w:val="001E116E"/>
    <w:rsid w:val="001E31A0"/>
    <w:rsid w:val="001E3670"/>
    <w:rsid w:val="001E48A5"/>
    <w:rsid w:val="001E50C7"/>
    <w:rsid w:val="001E7663"/>
    <w:rsid w:val="001F2CB3"/>
    <w:rsid w:val="001F4A29"/>
    <w:rsid w:val="001F5B04"/>
    <w:rsid w:val="001F64F4"/>
    <w:rsid w:val="001F67B2"/>
    <w:rsid w:val="00203CB2"/>
    <w:rsid w:val="00205457"/>
    <w:rsid w:val="002055C1"/>
    <w:rsid w:val="00205F08"/>
    <w:rsid w:val="002072FC"/>
    <w:rsid w:val="00210081"/>
    <w:rsid w:val="00211487"/>
    <w:rsid w:val="00211E3A"/>
    <w:rsid w:val="00213446"/>
    <w:rsid w:val="0021398E"/>
    <w:rsid w:val="002141A7"/>
    <w:rsid w:val="0021444A"/>
    <w:rsid w:val="00215256"/>
    <w:rsid w:val="002154CF"/>
    <w:rsid w:val="002160CC"/>
    <w:rsid w:val="002200A0"/>
    <w:rsid w:val="00220319"/>
    <w:rsid w:val="002207FB"/>
    <w:rsid w:val="002209FB"/>
    <w:rsid w:val="00220E86"/>
    <w:rsid w:val="0022187F"/>
    <w:rsid w:val="00222756"/>
    <w:rsid w:val="00222757"/>
    <w:rsid w:val="00222B7E"/>
    <w:rsid w:val="002238F7"/>
    <w:rsid w:val="00223E53"/>
    <w:rsid w:val="002240EC"/>
    <w:rsid w:val="0022460C"/>
    <w:rsid w:val="00225C25"/>
    <w:rsid w:val="00226413"/>
    <w:rsid w:val="002266B0"/>
    <w:rsid w:val="00226C84"/>
    <w:rsid w:val="00227060"/>
    <w:rsid w:val="00227738"/>
    <w:rsid w:val="0022780B"/>
    <w:rsid w:val="0023171D"/>
    <w:rsid w:val="002317ED"/>
    <w:rsid w:val="002335AD"/>
    <w:rsid w:val="00235BCC"/>
    <w:rsid w:val="00235E31"/>
    <w:rsid w:val="0023626A"/>
    <w:rsid w:val="00236435"/>
    <w:rsid w:val="00237145"/>
    <w:rsid w:val="002408A0"/>
    <w:rsid w:val="0024112A"/>
    <w:rsid w:val="002419E7"/>
    <w:rsid w:val="00241BF0"/>
    <w:rsid w:val="00243D75"/>
    <w:rsid w:val="00245517"/>
    <w:rsid w:val="00245F04"/>
    <w:rsid w:val="00247EDB"/>
    <w:rsid w:val="002502F0"/>
    <w:rsid w:val="00251445"/>
    <w:rsid w:val="002516EB"/>
    <w:rsid w:val="0025173A"/>
    <w:rsid w:val="00251CCA"/>
    <w:rsid w:val="00251E04"/>
    <w:rsid w:val="00251F10"/>
    <w:rsid w:val="0025273B"/>
    <w:rsid w:val="00252784"/>
    <w:rsid w:val="00252E04"/>
    <w:rsid w:val="00253853"/>
    <w:rsid w:val="00253B22"/>
    <w:rsid w:val="00253C1B"/>
    <w:rsid w:val="002550FD"/>
    <w:rsid w:val="00255F7F"/>
    <w:rsid w:val="00255F87"/>
    <w:rsid w:val="00257228"/>
    <w:rsid w:val="00257C1F"/>
    <w:rsid w:val="00260E5B"/>
    <w:rsid w:val="00261AD4"/>
    <w:rsid w:val="00262608"/>
    <w:rsid w:val="00262A1A"/>
    <w:rsid w:val="00262C1D"/>
    <w:rsid w:val="00263976"/>
    <w:rsid w:val="00263ACF"/>
    <w:rsid w:val="0026453D"/>
    <w:rsid w:val="002656D9"/>
    <w:rsid w:val="002716C5"/>
    <w:rsid w:val="002732CF"/>
    <w:rsid w:val="00273631"/>
    <w:rsid w:val="00274098"/>
    <w:rsid w:val="002741F4"/>
    <w:rsid w:val="002745DB"/>
    <w:rsid w:val="00274E12"/>
    <w:rsid w:val="00275C35"/>
    <w:rsid w:val="00280264"/>
    <w:rsid w:val="0028034F"/>
    <w:rsid w:val="002812B6"/>
    <w:rsid w:val="00282440"/>
    <w:rsid w:val="00282931"/>
    <w:rsid w:val="00283289"/>
    <w:rsid w:val="00283F94"/>
    <w:rsid w:val="00284302"/>
    <w:rsid w:val="002856B7"/>
    <w:rsid w:val="0029001E"/>
    <w:rsid w:val="00290D48"/>
    <w:rsid w:val="00290E1F"/>
    <w:rsid w:val="00290E42"/>
    <w:rsid w:val="00294FBA"/>
    <w:rsid w:val="00295704"/>
    <w:rsid w:val="00295C94"/>
    <w:rsid w:val="002A0CE5"/>
    <w:rsid w:val="002A184C"/>
    <w:rsid w:val="002A1C2A"/>
    <w:rsid w:val="002A1ED3"/>
    <w:rsid w:val="002A2563"/>
    <w:rsid w:val="002A2863"/>
    <w:rsid w:val="002A420F"/>
    <w:rsid w:val="002A5BFD"/>
    <w:rsid w:val="002B074B"/>
    <w:rsid w:val="002B08EF"/>
    <w:rsid w:val="002B17AE"/>
    <w:rsid w:val="002B20FC"/>
    <w:rsid w:val="002B49F3"/>
    <w:rsid w:val="002B53D1"/>
    <w:rsid w:val="002B5A68"/>
    <w:rsid w:val="002B5B5A"/>
    <w:rsid w:val="002B5E24"/>
    <w:rsid w:val="002B6853"/>
    <w:rsid w:val="002B6DE3"/>
    <w:rsid w:val="002B6E8C"/>
    <w:rsid w:val="002B718A"/>
    <w:rsid w:val="002C00A3"/>
    <w:rsid w:val="002C1E92"/>
    <w:rsid w:val="002C2589"/>
    <w:rsid w:val="002C3E07"/>
    <w:rsid w:val="002D0A15"/>
    <w:rsid w:val="002D19B4"/>
    <w:rsid w:val="002D3119"/>
    <w:rsid w:val="002D36C4"/>
    <w:rsid w:val="002D481F"/>
    <w:rsid w:val="002D4AFE"/>
    <w:rsid w:val="002D4F8E"/>
    <w:rsid w:val="002D5486"/>
    <w:rsid w:val="002D5F69"/>
    <w:rsid w:val="002D7227"/>
    <w:rsid w:val="002D7FEA"/>
    <w:rsid w:val="002E2315"/>
    <w:rsid w:val="002E24C5"/>
    <w:rsid w:val="002E256C"/>
    <w:rsid w:val="002E4922"/>
    <w:rsid w:val="002E7132"/>
    <w:rsid w:val="002E7583"/>
    <w:rsid w:val="002E7DFF"/>
    <w:rsid w:val="002E7E30"/>
    <w:rsid w:val="002F0D9D"/>
    <w:rsid w:val="002F41E6"/>
    <w:rsid w:val="002F45B1"/>
    <w:rsid w:val="002F4FCC"/>
    <w:rsid w:val="002F523F"/>
    <w:rsid w:val="002F5ADE"/>
    <w:rsid w:val="002F5D8F"/>
    <w:rsid w:val="002F6D31"/>
    <w:rsid w:val="00300A22"/>
    <w:rsid w:val="00300BD5"/>
    <w:rsid w:val="00300F74"/>
    <w:rsid w:val="00303995"/>
    <w:rsid w:val="00303CBE"/>
    <w:rsid w:val="00304005"/>
    <w:rsid w:val="003042BA"/>
    <w:rsid w:val="00304993"/>
    <w:rsid w:val="00305B9C"/>
    <w:rsid w:val="00307EFA"/>
    <w:rsid w:val="00310EFB"/>
    <w:rsid w:val="00311102"/>
    <w:rsid w:val="00313351"/>
    <w:rsid w:val="0031401A"/>
    <w:rsid w:val="003143F0"/>
    <w:rsid w:val="00315003"/>
    <w:rsid w:val="00315271"/>
    <w:rsid w:val="00315B49"/>
    <w:rsid w:val="0031693F"/>
    <w:rsid w:val="00317DEA"/>
    <w:rsid w:val="003203A3"/>
    <w:rsid w:val="00321CD9"/>
    <w:rsid w:val="00322124"/>
    <w:rsid w:val="003228C1"/>
    <w:rsid w:val="00323775"/>
    <w:rsid w:val="00324AB9"/>
    <w:rsid w:val="00325137"/>
    <w:rsid w:val="00325D6F"/>
    <w:rsid w:val="0032617C"/>
    <w:rsid w:val="003272CD"/>
    <w:rsid w:val="0033150D"/>
    <w:rsid w:val="00331973"/>
    <w:rsid w:val="00331BAC"/>
    <w:rsid w:val="00331FBE"/>
    <w:rsid w:val="00332354"/>
    <w:rsid w:val="0033236F"/>
    <w:rsid w:val="00333562"/>
    <w:rsid w:val="0033364D"/>
    <w:rsid w:val="003351E0"/>
    <w:rsid w:val="0033639C"/>
    <w:rsid w:val="00336545"/>
    <w:rsid w:val="003367D0"/>
    <w:rsid w:val="00340604"/>
    <w:rsid w:val="00341AA6"/>
    <w:rsid w:val="00341EB3"/>
    <w:rsid w:val="00346D39"/>
    <w:rsid w:val="0034738C"/>
    <w:rsid w:val="003506AE"/>
    <w:rsid w:val="00350DC0"/>
    <w:rsid w:val="0035116D"/>
    <w:rsid w:val="003526BD"/>
    <w:rsid w:val="003572DC"/>
    <w:rsid w:val="003624D2"/>
    <w:rsid w:val="00362651"/>
    <w:rsid w:val="003630D1"/>
    <w:rsid w:val="00364539"/>
    <w:rsid w:val="00364FF1"/>
    <w:rsid w:val="003650F2"/>
    <w:rsid w:val="0036553A"/>
    <w:rsid w:val="00365569"/>
    <w:rsid w:val="00367E16"/>
    <w:rsid w:val="00371B6D"/>
    <w:rsid w:val="00372715"/>
    <w:rsid w:val="003729B6"/>
    <w:rsid w:val="003733FF"/>
    <w:rsid w:val="0037342F"/>
    <w:rsid w:val="003735CF"/>
    <w:rsid w:val="00373B21"/>
    <w:rsid w:val="003756DD"/>
    <w:rsid w:val="0037616F"/>
    <w:rsid w:val="003764AB"/>
    <w:rsid w:val="003769D0"/>
    <w:rsid w:val="00376DCD"/>
    <w:rsid w:val="00377117"/>
    <w:rsid w:val="00377C14"/>
    <w:rsid w:val="0038055B"/>
    <w:rsid w:val="00382F55"/>
    <w:rsid w:val="00384260"/>
    <w:rsid w:val="0038622F"/>
    <w:rsid w:val="0038746D"/>
    <w:rsid w:val="003932CA"/>
    <w:rsid w:val="003962CF"/>
    <w:rsid w:val="003A2620"/>
    <w:rsid w:val="003A33E2"/>
    <w:rsid w:val="003A7959"/>
    <w:rsid w:val="003A7A1E"/>
    <w:rsid w:val="003B004C"/>
    <w:rsid w:val="003B1959"/>
    <w:rsid w:val="003B22CC"/>
    <w:rsid w:val="003B2687"/>
    <w:rsid w:val="003B31B6"/>
    <w:rsid w:val="003B5209"/>
    <w:rsid w:val="003B5451"/>
    <w:rsid w:val="003B5819"/>
    <w:rsid w:val="003B6BA8"/>
    <w:rsid w:val="003C0D06"/>
    <w:rsid w:val="003C0E96"/>
    <w:rsid w:val="003C1E28"/>
    <w:rsid w:val="003C36E1"/>
    <w:rsid w:val="003C4298"/>
    <w:rsid w:val="003C715B"/>
    <w:rsid w:val="003C7461"/>
    <w:rsid w:val="003C7511"/>
    <w:rsid w:val="003D0C4D"/>
    <w:rsid w:val="003D1D74"/>
    <w:rsid w:val="003D2166"/>
    <w:rsid w:val="003D2520"/>
    <w:rsid w:val="003D3207"/>
    <w:rsid w:val="003D3217"/>
    <w:rsid w:val="003D52ED"/>
    <w:rsid w:val="003D6CEA"/>
    <w:rsid w:val="003D6EA9"/>
    <w:rsid w:val="003D7079"/>
    <w:rsid w:val="003E2417"/>
    <w:rsid w:val="003E39BF"/>
    <w:rsid w:val="003E3D44"/>
    <w:rsid w:val="003E455D"/>
    <w:rsid w:val="003E4C2A"/>
    <w:rsid w:val="003E54CD"/>
    <w:rsid w:val="003E5DD8"/>
    <w:rsid w:val="003E7062"/>
    <w:rsid w:val="003E7943"/>
    <w:rsid w:val="003F03F1"/>
    <w:rsid w:val="003F0CD8"/>
    <w:rsid w:val="003F1E45"/>
    <w:rsid w:val="003F26E3"/>
    <w:rsid w:val="003F2792"/>
    <w:rsid w:val="003F2968"/>
    <w:rsid w:val="003F2D2B"/>
    <w:rsid w:val="003F350A"/>
    <w:rsid w:val="003F36F9"/>
    <w:rsid w:val="003F3CD0"/>
    <w:rsid w:val="003F4C26"/>
    <w:rsid w:val="003F5403"/>
    <w:rsid w:val="003F7504"/>
    <w:rsid w:val="00404F0D"/>
    <w:rsid w:val="00405F3D"/>
    <w:rsid w:val="00406B43"/>
    <w:rsid w:val="004072E4"/>
    <w:rsid w:val="00410172"/>
    <w:rsid w:val="00410781"/>
    <w:rsid w:val="00411607"/>
    <w:rsid w:val="00411740"/>
    <w:rsid w:val="00413A85"/>
    <w:rsid w:val="0041407E"/>
    <w:rsid w:val="00416724"/>
    <w:rsid w:val="0042060B"/>
    <w:rsid w:val="004209C9"/>
    <w:rsid w:val="004228DA"/>
    <w:rsid w:val="00423409"/>
    <w:rsid w:val="0042399A"/>
    <w:rsid w:val="00424E2E"/>
    <w:rsid w:val="00425398"/>
    <w:rsid w:val="004254B9"/>
    <w:rsid w:val="004258FC"/>
    <w:rsid w:val="004275F4"/>
    <w:rsid w:val="00430332"/>
    <w:rsid w:val="00430A29"/>
    <w:rsid w:val="004311FD"/>
    <w:rsid w:val="00433410"/>
    <w:rsid w:val="004339FD"/>
    <w:rsid w:val="00434575"/>
    <w:rsid w:val="0043467B"/>
    <w:rsid w:val="00434C41"/>
    <w:rsid w:val="00434E2F"/>
    <w:rsid w:val="00436B42"/>
    <w:rsid w:val="0043722B"/>
    <w:rsid w:val="00437AF0"/>
    <w:rsid w:val="004407CC"/>
    <w:rsid w:val="0044195B"/>
    <w:rsid w:val="00441A83"/>
    <w:rsid w:val="004437F0"/>
    <w:rsid w:val="004439A6"/>
    <w:rsid w:val="00444B72"/>
    <w:rsid w:val="004460F4"/>
    <w:rsid w:val="004469B8"/>
    <w:rsid w:val="00451230"/>
    <w:rsid w:val="00451F3F"/>
    <w:rsid w:val="004522EC"/>
    <w:rsid w:val="00453192"/>
    <w:rsid w:val="00453CA7"/>
    <w:rsid w:val="004547B3"/>
    <w:rsid w:val="00454B8F"/>
    <w:rsid w:val="00455545"/>
    <w:rsid w:val="004577AB"/>
    <w:rsid w:val="004603E2"/>
    <w:rsid w:val="00460725"/>
    <w:rsid w:val="00460E4A"/>
    <w:rsid w:val="00460EDC"/>
    <w:rsid w:val="00463B31"/>
    <w:rsid w:val="00466E56"/>
    <w:rsid w:val="004678A6"/>
    <w:rsid w:val="00470AE3"/>
    <w:rsid w:val="004710F9"/>
    <w:rsid w:val="00471459"/>
    <w:rsid w:val="004718C2"/>
    <w:rsid w:val="004747F3"/>
    <w:rsid w:val="004759B9"/>
    <w:rsid w:val="00476D00"/>
    <w:rsid w:val="00476F0A"/>
    <w:rsid w:val="00477CEE"/>
    <w:rsid w:val="00477EB4"/>
    <w:rsid w:val="00481D09"/>
    <w:rsid w:val="0048258F"/>
    <w:rsid w:val="00483D7B"/>
    <w:rsid w:val="00485314"/>
    <w:rsid w:val="0048582E"/>
    <w:rsid w:val="00486042"/>
    <w:rsid w:val="00487EAE"/>
    <w:rsid w:val="0049015E"/>
    <w:rsid w:val="00492F20"/>
    <w:rsid w:val="00494674"/>
    <w:rsid w:val="00494C54"/>
    <w:rsid w:val="00495ED0"/>
    <w:rsid w:val="00497822"/>
    <w:rsid w:val="004A0BE6"/>
    <w:rsid w:val="004A15B3"/>
    <w:rsid w:val="004A1608"/>
    <w:rsid w:val="004A1C3B"/>
    <w:rsid w:val="004A26C3"/>
    <w:rsid w:val="004A3470"/>
    <w:rsid w:val="004A3637"/>
    <w:rsid w:val="004A6001"/>
    <w:rsid w:val="004A6641"/>
    <w:rsid w:val="004A6CDA"/>
    <w:rsid w:val="004B1D20"/>
    <w:rsid w:val="004B2252"/>
    <w:rsid w:val="004B277A"/>
    <w:rsid w:val="004B29F4"/>
    <w:rsid w:val="004B2B34"/>
    <w:rsid w:val="004B353A"/>
    <w:rsid w:val="004B364C"/>
    <w:rsid w:val="004B394F"/>
    <w:rsid w:val="004B426F"/>
    <w:rsid w:val="004B42C5"/>
    <w:rsid w:val="004B527D"/>
    <w:rsid w:val="004B7CF0"/>
    <w:rsid w:val="004C0449"/>
    <w:rsid w:val="004C0DF6"/>
    <w:rsid w:val="004C0FCA"/>
    <w:rsid w:val="004C178E"/>
    <w:rsid w:val="004C38CC"/>
    <w:rsid w:val="004C4251"/>
    <w:rsid w:val="004C6B3E"/>
    <w:rsid w:val="004C6ECD"/>
    <w:rsid w:val="004C74A9"/>
    <w:rsid w:val="004C7DC4"/>
    <w:rsid w:val="004D03DD"/>
    <w:rsid w:val="004D0949"/>
    <w:rsid w:val="004D3145"/>
    <w:rsid w:val="004D41AD"/>
    <w:rsid w:val="004D60AF"/>
    <w:rsid w:val="004D7708"/>
    <w:rsid w:val="004E08E8"/>
    <w:rsid w:val="004E0D30"/>
    <w:rsid w:val="004E225B"/>
    <w:rsid w:val="004E29C6"/>
    <w:rsid w:val="004E38D4"/>
    <w:rsid w:val="004E66B3"/>
    <w:rsid w:val="004F0048"/>
    <w:rsid w:val="004F01DA"/>
    <w:rsid w:val="004F183E"/>
    <w:rsid w:val="004F22EF"/>
    <w:rsid w:val="004F28B3"/>
    <w:rsid w:val="004F2ECE"/>
    <w:rsid w:val="004F429A"/>
    <w:rsid w:val="004F5A2E"/>
    <w:rsid w:val="004F6446"/>
    <w:rsid w:val="004F692A"/>
    <w:rsid w:val="004F70C9"/>
    <w:rsid w:val="00500CE7"/>
    <w:rsid w:val="00501008"/>
    <w:rsid w:val="00501B2F"/>
    <w:rsid w:val="00501C2B"/>
    <w:rsid w:val="0050282E"/>
    <w:rsid w:val="00502930"/>
    <w:rsid w:val="00502B97"/>
    <w:rsid w:val="00505783"/>
    <w:rsid w:val="0051081B"/>
    <w:rsid w:val="00510BD8"/>
    <w:rsid w:val="00511566"/>
    <w:rsid w:val="00511915"/>
    <w:rsid w:val="00512205"/>
    <w:rsid w:val="00512770"/>
    <w:rsid w:val="00512BF1"/>
    <w:rsid w:val="005131BA"/>
    <w:rsid w:val="005131BF"/>
    <w:rsid w:val="005138C3"/>
    <w:rsid w:val="00514874"/>
    <w:rsid w:val="005148D1"/>
    <w:rsid w:val="0051502F"/>
    <w:rsid w:val="005152DE"/>
    <w:rsid w:val="005174CE"/>
    <w:rsid w:val="005177A7"/>
    <w:rsid w:val="00520059"/>
    <w:rsid w:val="005214CC"/>
    <w:rsid w:val="00522653"/>
    <w:rsid w:val="00522B40"/>
    <w:rsid w:val="00522BBD"/>
    <w:rsid w:val="00522D05"/>
    <w:rsid w:val="00522F36"/>
    <w:rsid w:val="00523B18"/>
    <w:rsid w:val="00524EF3"/>
    <w:rsid w:val="00525FA2"/>
    <w:rsid w:val="0052607D"/>
    <w:rsid w:val="0052686D"/>
    <w:rsid w:val="005268BE"/>
    <w:rsid w:val="0052691E"/>
    <w:rsid w:val="00527404"/>
    <w:rsid w:val="005278B6"/>
    <w:rsid w:val="00527C53"/>
    <w:rsid w:val="0053312E"/>
    <w:rsid w:val="00533A94"/>
    <w:rsid w:val="00533B9E"/>
    <w:rsid w:val="0053475E"/>
    <w:rsid w:val="005373D4"/>
    <w:rsid w:val="005375C2"/>
    <w:rsid w:val="0054025F"/>
    <w:rsid w:val="00541FA8"/>
    <w:rsid w:val="005447CC"/>
    <w:rsid w:val="005454E0"/>
    <w:rsid w:val="005457BC"/>
    <w:rsid w:val="00546256"/>
    <w:rsid w:val="00546730"/>
    <w:rsid w:val="0054736A"/>
    <w:rsid w:val="00547624"/>
    <w:rsid w:val="00547A5E"/>
    <w:rsid w:val="005504EF"/>
    <w:rsid w:val="005517F9"/>
    <w:rsid w:val="0055530F"/>
    <w:rsid w:val="00555B53"/>
    <w:rsid w:val="00555C7D"/>
    <w:rsid w:val="00555E09"/>
    <w:rsid w:val="00556734"/>
    <w:rsid w:val="0055694E"/>
    <w:rsid w:val="00557A27"/>
    <w:rsid w:val="005600A2"/>
    <w:rsid w:val="005600DB"/>
    <w:rsid w:val="005640D3"/>
    <w:rsid w:val="00564718"/>
    <w:rsid w:val="0056493D"/>
    <w:rsid w:val="00565676"/>
    <w:rsid w:val="00566674"/>
    <w:rsid w:val="00566EAC"/>
    <w:rsid w:val="00566FAB"/>
    <w:rsid w:val="0056711C"/>
    <w:rsid w:val="0056719F"/>
    <w:rsid w:val="00567A9B"/>
    <w:rsid w:val="005705BD"/>
    <w:rsid w:val="00571D58"/>
    <w:rsid w:val="00575EE1"/>
    <w:rsid w:val="00577ED5"/>
    <w:rsid w:val="005800C9"/>
    <w:rsid w:val="00582154"/>
    <w:rsid w:val="0058309E"/>
    <w:rsid w:val="005838D3"/>
    <w:rsid w:val="00583A3E"/>
    <w:rsid w:val="005867CF"/>
    <w:rsid w:val="00587284"/>
    <w:rsid w:val="005875A4"/>
    <w:rsid w:val="0058765C"/>
    <w:rsid w:val="00591B91"/>
    <w:rsid w:val="00592A3A"/>
    <w:rsid w:val="00593093"/>
    <w:rsid w:val="00593C9D"/>
    <w:rsid w:val="0059414C"/>
    <w:rsid w:val="00594B3B"/>
    <w:rsid w:val="00594E25"/>
    <w:rsid w:val="0059587D"/>
    <w:rsid w:val="00596533"/>
    <w:rsid w:val="00597A27"/>
    <w:rsid w:val="00597D2C"/>
    <w:rsid w:val="005A06E9"/>
    <w:rsid w:val="005A16FE"/>
    <w:rsid w:val="005A2458"/>
    <w:rsid w:val="005A286D"/>
    <w:rsid w:val="005A2996"/>
    <w:rsid w:val="005A2E1F"/>
    <w:rsid w:val="005A429B"/>
    <w:rsid w:val="005A4AAA"/>
    <w:rsid w:val="005A5D89"/>
    <w:rsid w:val="005A6399"/>
    <w:rsid w:val="005A6824"/>
    <w:rsid w:val="005A7A9A"/>
    <w:rsid w:val="005B05F3"/>
    <w:rsid w:val="005B19F3"/>
    <w:rsid w:val="005B1D90"/>
    <w:rsid w:val="005B3390"/>
    <w:rsid w:val="005B3A9F"/>
    <w:rsid w:val="005B402B"/>
    <w:rsid w:val="005B511A"/>
    <w:rsid w:val="005B5C07"/>
    <w:rsid w:val="005B7926"/>
    <w:rsid w:val="005C0238"/>
    <w:rsid w:val="005C25F9"/>
    <w:rsid w:val="005C332B"/>
    <w:rsid w:val="005C5015"/>
    <w:rsid w:val="005C65AD"/>
    <w:rsid w:val="005C70A4"/>
    <w:rsid w:val="005C751C"/>
    <w:rsid w:val="005D0715"/>
    <w:rsid w:val="005D0ABB"/>
    <w:rsid w:val="005D26F0"/>
    <w:rsid w:val="005D4534"/>
    <w:rsid w:val="005D6902"/>
    <w:rsid w:val="005E053D"/>
    <w:rsid w:val="005E05C4"/>
    <w:rsid w:val="005E090F"/>
    <w:rsid w:val="005E0990"/>
    <w:rsid w:val="005E19B7"/>
    <w:rsid w:val="005E21AC"/>
    <w:rsid w:val="005E24F5"/>
    <w:rsid w:val="005E2C78"/>
    <w:rsid w:val="005E5509"/>
    <w:rsid w:val="005E5561"/>
    <w:rsid w:val="005E5590"/>
    <w:rsid w:val="005E735B"/>
    <w:rsid w:val="005F080B"/>
    <w:rsid w:val="005F293F"/>
    <w:rsid w:val="005F3235"/>
    <w:rsid w:val="005F4505"/>
    <w:rsid w:val="005F6255"/>
    <w:rsid w:val="005F6358"/>
    <w:rsid w:val="005F6897"/>
    <w:rsid w:val="005F6D51"/>
    <w:rsid w:val="00600361"/>
    <w:rsid w:val="00602507"/>
    <w:rsid w:val="00603643"/>
    <w:rsid w:val="006038B7"/>
    <w:rsid w:val="00603BBF"/>
    <w:rsid w:val="00604A75"/>
    <w:rsid w:val="00605153"/>
    <w:rsid w:val="00606124"/>
    <w:rsid w:val="006065FE"/>
    <w:rsid w:val="00610A67"/>
    <w:rsid w:val="00611777"/>
    <w:rsid w:val="00614514"/>
    <w:rsid w:val="00614F97"/>
    <w:rsid w:val="00615394"/>
    <w:rsid w:val="00615B95"/>
    <w:rsid w:val="00615CF3"/>
    <w:rsid w:val="00615D5F"/>
    <w:rsid w:val="006167B7"/>
    <w:rsid w:val="006167CB"/>
    <w:rsid w:val="0061693C"/>
    <w:rsid w:val="00617AD8"/>
    <w:rsid w:val="00617D72"/>
    <w:rsid w:val="00620240"/>
    <w:rsid w:val="0062089B"/>
    <w:rsid w:val="0062333B"/>
    <w:rsid w:val="00624297"/>
    <w:rsid w:val="00624C9A"/>
    <w:rsid w:val="00625F4D"/>
    <w:rsid w:val="00625F50"/>
    <w:rsid w:val="00625FC0"/>
    <w:rsid w:val="00631FDA"/>
    <w:rsid w:val="0063363D"/>
    <w:rsid w:val="00634B1D"/>
    <w:rsid w:val="00634B36"/>
    <w:rsid w:val="00635156"/>
    <w:rsid w:val="006358C3"/>
    <w:rsid w:val="00635B42"/>
    <w:rsid w:val="00640098"/>
    <w:rsid w:val="0064113F"/>
    <w:rsid w:val="00641D48"/>
    <w:rsid w:val="0064298F"/>
    <w:rsid w:val="0064303E"/>
    <w:rsid w:val="00643351"/>
    <w:rsid w:val="00644E5C"/>
    <w:rsid w:val="00645361"/>
    <w:rsid w:val="006453FD"/>
    <w:rsid w:val="00645963"/>
    <w:rsid w:val="006466B1"/>
    <w:rsid w:val="006468E6"/>
    <w:rsid w:val="00646ACF"/>
    <w:rsid w:val="00646F09"/>
    <w:rsid w:val="00646F91"/>
    <w:rsid w:val="00650A1D"/>
    <w:rsid w:val="00650B8D"/>
    <w:rsid w:val="0065131A"/>
    <w:rsid w:val="00651A0F"/>
    <w:rsid w:val="00651ACA"/>
    <w:rsid w:val="00651F57"/>
    <w:rsid w:val="00651FAF"/>
    <w:rsid w:val="00652162"/>
    <w:rsid w:val="00652DB8"/>
    <w:rsid w:val="0065367C"/>
    <w:rsid w:val="00653B41"/>
    <w:rsid w:val="00653FE6"/>
    <w:rsid w:val="00654E65"/>
    <w:rsid w:val="0065531F"/>
    <w:rsid w:val="0065581F"/>
    <w:rsid w:val="00655D67"/>
    <w:rsid w:val="006567C8"/>
    <w:rsid w:val="006569ED"/>
    <w:rsid w:val="006574A4"/>
    <w:rsid w:val="00657854"/>
    <w:rsid w:val="006607E4"/>
    <w:rsid w:val="0066161E"/>
    <w:rsid w:val="00661711"/>
    <w:rsid w:val="00662AD3"/>
    <w:rsid w:val="00663754"/>
    <w:rsid w:val="00666336"/>
    <w:rsid w:val="00666CF7"/>
    <w:rsid w:val="00666E8C"/>
    <w:rsid w:val="00670633"/>
    <w:rsid w:val="00670EAF"/>
    <w:rsid w:val="00671532"/>
    <w:rsid w:val="006722FE"/>
    <w:rsid w:val="00673AC8"/>
    <w:rsid w:val="006754A3"/>
    <w:rsid w:val="006770D6"/>
    <w:rsid w:val="00677104"/>
    <w:rsid w:val="0067724F"/>
    <w:rsid w:val="006778AE"/>
    <w:rsid w:val="00680FF0"/>
    <w:rsid w:val="00682AEF"/>
    <w:rsid w:val="00682E31"/>
    <w:rsid w:val="00683FBE"/>
    <w:rsid w:val="006849BD"/>
    <w:rsid w:val="00685479"/>
    <w:rsid w:val="00687AE2"/>
    <w:rsid w:val="00690A8A"/>
    <w:rsid w:val="00691858"/>
    <w:rsid w:val="00691CAE"/>
    <w:rsid w:val="006921DE"/>
    <w:rsid w:val="0069223A"/>
    <w:rsid w:val="0069336F"/>
    <w:rsid w:val="006A19D6"/>
    <w:rsid w:val="006A1CBC"/>
    <w:rsid w:val="006A1D17"/>
    <w:rsid w:val="006A1EB7"/>
    <w:rsid w:val="006A3DD4"/>
    <w:rsid w:val="006A4505"/>
    <w:rsid w:val="006A6696"/>
    <w:rsid w:val="006A716B"/>
    <w:rsid w:val="006B043A"/>
    <w:rsid w:val="006B0651"/>
    <w:rsid w:val="006B132E"/>
    <w:rsid w:val="006B1BD8"/>
    <w:rsid w:val="006B1BDD"/>
    <w:rsid w:val="006B3E72"/>
    <w:rsid w:val="006B4131"/>
    <w:rsid w:val="006B52C0"/>
    <w:rsid w:val="006B59AF"/>
    <w:rsid w:val="006B6276"/>
    <w:rsid w:val="006B67AC"/>
    <w:rsid w:val="006B7EF8"/>
    <w:rsid w:val="006C0E99"/>
    <w:rsid w:val="006C1488"/>
    <w:rsid w:val="006C1CDA"/>
    <w:rsid w:val="006C326B"/>
    <w:rsid w:val="006C43BC"/>
    <w:rsid w:val="006C509F"/>
    <w:rsid w:val="006C5A6E"/>
    <w:rsid w:val="006C6B71"/>
    <w:rsid w:val="006C7DFE"/>
    <w:rsid w:val="006D1153"/>
    <w:rsid w:val="006D1750"/>
    <w:rsid w:val="006D2366"/>
    <w:rsid w:val="006D27E8"/>
    <w:rsid w:val="006D40FA"/>
    <w:rsid w:val="006D4BB4"/>
    <w:rsid w:val="006D4D3D"/>
    <w:rsid w:val="006D51A2"/>
    <w:rsid w:val="006D64A1"/>
    <w:rsid w:val="006D778F"/>
    <w:rsid w:val="006D7884"/>
    <w:rsid w:val="006E0B9D"/>
    <w:rsid w:val="006E2340"/>
    <w:rsid w:val="006E243F"/>
    <w:rsid w:val="006E3084"/>
    <w:rsid w:val="006E47A6"/>
    <w:rsid w:val="006E5FEA"/>
    <w:rsid w:val="006E65CF"/>
    <w:rsid w:val="006F0769"/>
    <w:rsid w:val="006F23D4"/>
    <w:rsid w:val="006F4057"/>
    <w:rsid w:val="006F433A"/>
    <w:rsid w:val="006F44B8"/>
    <w:rsid w:val="006F62DB"/>
    <w:rsid w:val="00701324"/>
    <w:rsid w:val="0070323A"/>
    <w:rsid w:val="00703BF6"/>
    <w:rsid w:val="00704908"/>
    <w:rsid w:val="0070522D"/>
    <w:rsid w:val="00705485"/>
    <w:rsid w:val="007058E2"/>
    <w:rsid w:val="00706DC4"/>
    <w:rsid w:val="00711603"/>
    <w:rsid w:val="0071175E"/>
    <w:rsid w:val="0071225C"/>
    <w:rsid w:val="007129A2"/>
    <w:rsid w:val="007137F1"/>
    <w:rsid w:val="00714215"/>
    <w:rsid w:val="00714395"/>
    <w:rsid w:val="0071475A"/>
    <w:rsid w:val="0071496E"/>
    <w:rsid w:val="00714CF3"/>
    <w:rsid w:val="00715581"/>
    <w:rsid w:val="00716734"/>
    <w:rsid w:val="00716E04"/>
    <w:rsid w:val="007179A6"/>
    <w:rsid w:val="007221D4"/>
    <w:rsid w:val="00722E81"/>
    <w:rsid w:val="00722F2D"/>
    <w:rsid w:val="00725228"/>
    <w:rsid w:val="00725659"/>
    <w:rsid w:val="00725AF3"/>
    <w:rsid w:val="00725EB9"/>
    <w:rsid w:val="00725FB8"/>
    <w:rsid w:val="00727DCC"/>
    <w:rsid w:val="0073194A"/>
    <w:rsid w:val="00731E76"/>
    <w:rsid w:val="00732F8A"/>
    <w:rsid w:val="0073528B"/>
    <w:rsid w:val="007358F6"/>
    <w:rsid w:val="00735B17"/>
    <w:rsid w:val="00736E21"/>
    <w:rsid w:val="00737E7B"/>
    <w:rsid w:val="00740A9E"/>
    <w:rsid w:val="00740CE7"/>
    <w:rsid w:val="00740EC8"/>
    <w:rsid w:val="007415F5"/>
    <w:rsid w:val="007422F1"/>
    <w:rsid w:val="00743656"/>
    <w:rsid w:val="00743DC5"/>
    <w:rsid w:val="007451D6"/>
    <w:rsid w:val="00745F6A"/>
    <w:rsid w:val="00746327"/>
    <w:rsid w:val="00747CC3"/>
    <w:rsid w:val="00747E05"/>
    <w:rsid w:val="00750B32"/>
    <w:rsid w:val="00752138"/>
    <w:rsid w:val="00753F9F"/>
    <w:rsid w:val="007545F9"/>
    <w:rsid w:val="00755089"/>
    <w:rsid w:val="00755475"/>
    <w:rsid w:val="00755B06"/>
    <w:rsid w:val="0075662E"/>
    <w:rsid w:val="00756EC4"/>
    <w:rsid w:val="007570B9"/>
    <w:rsid w:val="007578B9"/>
    <w:rsid w:val="00761A07"/>
    <w:rsid w:val="00761E96"/>
    <w:rsid w:val="00762117"/>
    <w:rsid w:val="00763778"/>
    <w:rsid w:val="007647B3"/>
    <w:rsid w:val="00764DED"/>
    <w:rsid w:val="007652D4"/>
    <w:rsid w:val="007704CD"/>
    <w:rsid w:val="00771A10"/>
    <w:rsid w:val="007732C6"/>
    <w:rsid w:val="007735E3"/>
    <w:rsid w:val="007736EE"/>
    <w:rsid w:val="00773CC0"/>
    <w:rsid w:val="007751DA"/>
    <w:rsid w:val="0077588B"/>
    <w:rsid w:val="00775D8D"/>
    <w:rsid w:val="00776B00"/>
    <w:rsid w:val="007770AC"/>
    <w:rsid w:val="00780290"/>
    <w:rsid w:val="00780923"/>
    <w:rsid w:val="00780DFF"/>
    <w:rsid w:val="0078313E"/>
    <w:rsid w:val="00784AB1"/>
    <w:rsid w:val="007850DB"/>
    <w:rsid w:val="0078527E"/>
    <w:rsid w:val="0078633F"/>
    <w:rsid w:val="0078749E"/>
    <w:rsid w:val="00790B1B"/>
    <w:rsid w:val="007926A7"/>
    <w:rsid w:val="0079644F"/>
    <w:rsid w:val="00796C67"/>
    <w:rsid w:val="0079757F"/>
    <w:rsid w:val="007975E1"/>
    <w:rsid w:val="007A0930"/>
    <w:rsid w:val="007A1C0C"/>
    <w:rsid w:val="007A21AD"/>
    <w:rsid w:val="007A2231"/>
    <w:rsid w:val="007A2859"/>
    <w:rsid w:val="007A2FC8"/>
    <w:rsid w:val="007A421E"/>
    <w:rsid w:val="007A453F"/>
    <w:rsid w:val="007A6111"/>
    <w:rsid w:val="007A6440"/>
    <w:rsid w:val="007A70DB"/>
    <w:rsid w:val="007A755F"/>
    <w:rsid w:val="007A7C9E"/>
    <w:rsid w:val="007A7E55"/>
    <w:rsid w:val="007A7F46"/>
    <w:rsid w:val="007B144F"/>
    <w:rsid w:val="007B1884"/>
    <w:rsid w:val="007B2D0C"/>
    <w:rsid w:val="007B4BAC"/>
    <w:rsid w:val="007B519A"/>
    <w:rsid w:val="007B523D"/>
    <w:rsid w:val="007B6055"/>
    <w:rsid w:val="007B61AA"/>
    <w:rsid w:val="007B791E"/>
    <w:rsid w:val="007B7E62"/>
    <w:rsid w:val="007C19E8"/>
    <w:rsid w:val="007C26D1"/>
    <w:rsid w:val="007C3EB9"/>
    <w:rsid w:val="007C4101"/>
    <w:rsid w:val="007C42A6"/>
    <w:rsid w:val="007C467F"/>
    <w:rsid w:val="007C5068"/>
    <w:rsid w:val="007C55C9"/>
    <w:rsid w:val="007C632D"/>
    <w:rsid w:val="007C6E23"/>
    <w:rsid w:val="007D0F22"/>
    <w:rsid w:val="007D3548"/>
    <w:rsid w:val="007D4122"/>
    <w:rsid w:val="007D4E93"/>
    <w:rsid w:val="007D580D"/>
    <w:rsid w:val="007D714A"/>
    <w:rsid w:val="007E27D8"/>
    <w:rsid w:val="007E426B"/>
    <w:rsid w:val="007E4976"/>
    <w:rsid w:val="007E4EB4"/>
    <w:rsid w:val="007E50B9"/>
    <w:rsid w:val="007E5622"/>
    <w:rsid w:val="007E59F0"/>
    <w:rsid w:val="007E5A16"/>
    <w:rsid w:val="007E5F7C"/>
    <w:rsid w:val="007E6C06"/>
    <w:rsid w:val="007F12EC"/>
    <w:rsid w:val="007F26D2"/>
    <w:rsid w:val="007F2992"/>
    <w:rsid w:val="007F2F44"/>
    <w:rsid w:val="007F361A"/>
    <w:rsid w:val="007F3891"/>
    <w:rsid w:val="007F4815"/>
    <w:rsid w:val="007F5990"/>
    <w:rsid w:val="007F5E1A"/>
    <w:rsid w:val="007F78BD"/>
    <w:rsid w:val="00800DE4"/>
    <w:rsid w:val="00802B13"/>
    <w:rsid w:val="0080302A"/>
    <w:rsid w:val="0080331E"/>
    <w:rsid w:val="008046B8"/>
    <w:rsid w:val="0080673A"/>
    <w:rsid w:val="00806E29"/>
    <w:rsid w:val="0080740D"/>
    <w:rsid w:val="00810A1D"/>
    <w:rsid w:val="00811522"/>
    <w:rsid w:val="00812C8D"/>
    <w:rsid w:val="00813298"/>
    <w:rsid w:val="00814399"/>
    <w:rsid w:val="00814567"/>
    <w:rsid w:val="008146EF"/>
    <w:rsid w:val="008148CC"/>
    <w:rsid w:val="0081555B"/>
    <w:rsid w:val="0081573B"/>
    <w:rsid w:val="0081596D"/>
    <w:rsid w:val="00815BA7"/>
    <w:rsid w:val="00815C9B"/>
    <w:rsid w:val="00816A9B"/>
    <w:rsid w:val="00817D71"/>
    <w:rsid w:val="0082121E"/>
    <w:rsid w:val="008217E1"/>
    <w:rsid w:val="00821822"/>
    <w:rsid w:val="0082232E"/>
    <w:rsid w:val="00823778"/>
    <w:rsid w:val="008257C3"/>
    <w:rsid w:val="00825837"/>
    <w:rsid w:val="00827A59"/>
    <w:rsid w:val="00827AFD"/>
    <w:rsid w:val="0083105A"/>
    <w:rsid w:val="00831F05"/>
    <w:rsid w:val="00832162"/>
    <w:rsid w:val="00832580"/>
    <w:rsid w:val="008346FE"/>
    <w:rsid w:val="00834904"/>
    <w:rsid w:val="00834EFA"/>
    <w:rsid w:val="008355E4"/>
    <w:rsid w:val="00835DF0"/>
    <w:rsid w:val="00835E6F"/>
    <w:rsid w:val="00836154"/>
    <w:rsid w:val="00837688"/>
    <w:rsid w:val="00840BC3"/>
    <w:rsid w:val="00841C31"/>
    <w:rsid w:val="00841D56"/>
    <w:rsid w:val="00843215"/>
    <w:rsid w:val="0084330D"/>
    <w:rsid w:val="0084345E"/>
    <w:rsid w:val="0084395D"/>
    <w:rsid w:val="00843B77"/>
    <w:rsid w:val="0084450D"/>
    <w:rsid w:val="0084468F"/>
    <w:rsid w:val="0084485E"/>
    <w:rsid w:val="00844B4E"/>
    <w:rsid w:val="00844BEA"/>
    <w:rsid w:val="00845E69"/>
    <w:rsid w:val="00846A6E"/>
    <w:rsid w:val="00846A7B"/>
    <w:rsid w:val="00846EF3"/>
    <w:rsid w:val="00846F6D"/>
    <w:rsid w:val="008508EA"/>
    <w:rsid w:val="00850CD2"/>
    <w:rsid w:val="0085323D"/>
    <w:rsid w:val="008543A3"/>
    <w:rsid w:val="00856507"/>
    <w:rsid w:val="00856D80"/>
    <w:rsid w:val="00857ED4"/>
    <w:rsid w:val="0086141F"/>
    <w:rsid w:val="008622ED"/>
    <w:rsid w:val="00862637"/>
    <w:rsid w:val="008626B9"/>
    <w:rsid w:val="00862936"/>
    <w:rsid w:val="00862E79"/>
    <w:rsid w:val="008634EF"/>
    <w:rsid w:val="008636CB"/>
    <w:rsid w:val="00863989"/>
    <w:rsid w:val="008647A0"/>
    <w:rsid w:val="00865040"/>
    <w:rsid w:val="00866270"/>
    <w:rsid w:val="00870D49"/>
    <w:rsid w:val="00870E15"/>
    <w:rsid w:val="00870F90"/>
    <w:rsid w:val="00873162"/>
    <w:rsid w:val="008746B6"/>
    <w:rsid w:val="008779F1"/>
    <w:rsid w:val="00877ED0"/>
    <w:rsid w:val="008805C0"/>
    <w:rsid w:val="008819F1"/>
    <w:rsid w:val="00881D99"/>
    <w:rsid w:val="00881DB4"/>
    <w:rsid w:val="00882ED6"/>
    <w:rsid w:val="0088523B"/>
    <w:rsid w:val="008854B2"/>
    <w:rsid w:val="008869E0"/>
    <w:rsid w:val="0089028B"/>
    <w:rsid w:val="00893780"/>
    <w:rsid w:val="00895787"/>
    <w:rsid w:val="00896081"/>
    <w:rsid w:val="008966EB"/>
    <w:rsid w:val="00897739"/>
    <w:rsid w:val="008A0978"/>
    <w:rsid w:val="008A2412"/>
    <w:rsid w:val="008A5373"/>
    <w:rsid w:val="008A56FD"/>
    <w:rsid w:val="008A5A19"/>
    <w:rsid w:val="008A65A8"/>
    <w:rsid w:val="008A6B62"/>
    <w:rsid w:val="008A6EF5"/>
    <w:rsid w:val="008A7C06"/>
    <w:rsid w:val="008B0C46"/>
    <w:rsid w:val="008B1D50"/>
    <w:rsid w:val="008B2EDB"/>
    <w:rsid w:val="008B2F78"/>
    <w:rsid w:val="008B6237"/>
    <w:rsid w:val="008B657C"/>
    <w:rsid w:val="008C28BE"/>
    <w:rsid w:val="008C2BA4"/>
    <w:rsid w:val="008C407D"/>
    <w:rsid w:val="008C5A65"/>
    <w:rsid w:val="008C5FCE"/>
    <w:rsid w:val="008C6596"/>
    <w:rsid w:val="008C68EB"/>
    <w:rsid w:val="008D25D0"/>
    <w:rsid w:val="008D2948"/>
    <w:rsid w:val="008D335C"/>
    <w:rsid w:val="008D43B3"/>
    <w:rsid w:val="008D4FD0"/>
    <w:rsid w:val="008D536A"/>
    <w:rsid w:val="008D5C40"/>
    <w:rsid w:val="008D6526"/>
    <w:rsid w:val="008D6635"/>
    <w:rsid w:val="008D6789"/>
    <w:rsid w:val="008D6924"/>
    <w:rsid w:val="008D6953"/>
    <w:rsid w:val="008D6BA2"/>
    <w:rsid w:val="008D6F6F"/>
    <w:rsid w:val="008E0FDD"/>
    <w:rsid w:val="008E12EA"/>
    <w:rsid w:val="008E1E4F"/>
    <w:rsid w:val="008E2CE0"/>
    <w:rsid w:val="008E4328"/>
    <w:rsid w:val="008E542F"/>
    <w:rsid w:val="008E644F"/>
    <w:rsid w:val="008E6CB6"/>
    <w:rsid w:val="008E6E8E"/>
    <w:rsid w:val="008E700B"/>
    <w:rsid w:val="008E707A"/>
    <w:rsid w:val="008F13C3"/>
    <w:rsid w:val="008F1D9C"/>
    <w:rsid w:val="008F2F0A"/>
    <w:rsid w:val="008F6A35"/>
    <w:rsid w:val="008F6C0C"/>
    <w:rsid w:val="008F79F3"/>
    <w:rsid w:val="00900147"/>
    <w:rsid w:val="00901D7E"/>
    <w:rsid w:val="00902630"/>
    <w:rsid w:val="00903A8C"/>
    <w:rsid w:val="009043F1"/>
    <w:rsid w:val="009047CD"/>
    <w:rsid w:val="009048CE"/>
    <w:rsid w:val="00904915"/>
    <w:rsid w:val="00904AFC"/>
    <w:rsid w:val="00905250"/>
    <w:rsid w:val="009056B9"/>
    <w:rsid w:val="00906749"/>
    <w:rsid w:val="00906825"/>
    <w:rsid w:val="00906D18"/>
    <w:rsid w:val="00906E48"/>
    <w:rsid w:val="00907055"/>
    <w:rsid w:val="009072CD"/>
    <w:rsid w:val="009117FF"/>
    <w:rsid w:val="009120DA"/>
    <w:rsid w:val="00913637"/>
    <w:rsid w:val="00914DFE"/>
    <w:rsid w:val="00915E4E"/>
    <w:rsid w:val="00917A06"/>
    <w:rsid w:val="00920A02"/>
    <w:rsid w:val="0092141B"/>
    <w:rsid w:val="0092330C"/>
    <w:rsid w:val="00923A75"/>
    <w:rsid w:val="00923BCB"/>
    <w:rsid w:val="00923C7E"/>
    <w:rsid w:val="00926AE4"/>
    <w:rsid w:val="00931740"/>
    <w:rsid w:val="0093235B"/>
    <w:rsid w:val="00935169"/>
    <w:rsid w:val="00935571"/>
    <w:rsid w:val="0093592D"/>
    <w:rsid w:val="00936BA4"/>
    <w:rsid w:val="0093712F"/>
    <w:rsid w:val="009413D5"/>
    <w:rsid w:val="00941727"/>
    <w:rsid w:val="00941AFF"/>
    <w:rsid w:val="00942609"/>
    <w:rsid w:val="009434B6"/>
    <w:rsid w:val="00943696"/>
    <w:rsid w:val="00944237"/>
    <w:rsid w:val="00945392"/>
    <w:rsid w:val="00945FBC"/>
    <w:rsid w:val="00946433"/>
    <w:rsid w:val="00946DE9"/>
    <w:rsid w:val="009474AA"/>
    <w:rsid w:val="00947977"/>
    <w:rsid w:val="0095074D"/>
    <w:rsid w:val="00951C47"/>
    <w:rsid w:val="00951EA0"/>
    <w:rsid w:val="00952B70"/>
    <w:rsid w:val="00952DAD"/>
    <w:rsid w:val="009538F6"/>
    <w:rsid w:val="00953ACA"/>
    <w:rsid w:val="00953ED1"/>
    <w:rsid w:val="009545D0"/>
    <w:rsid w:val="00954BA0"/>
    <w:rsid w:val="00955CCE"/>
    <w:rsid w:val="0095709C"/>
    <w:rsid w:val="00957D64"/>
    <w:rsid w:val="0096008A"/>
    <w:rsid w:val="0096008E"/>
    <w:rsid w:val="00961D51"/>
    <w:rsid w:val="0096289D"/>
    <w:rsid w:val="00963EDE"/>
    <w:rsid w:val="00964760"/>
    <w:rsid w:val="00966462"/>
    <w:rsid w:val="0096745A"/>
    <w:rsid w:val="009679CF"/>
    <w:rsid w:val="00967E65"/>
    <w:rsid w:val="009734BC"/>
    <w:rsid w:val="00974780"/>
    <w:rsid w:val="00974886"/>
    <w:rsid w:val="00974C69"/>
    <w:rsid w:val="00974D3D"/>
    <w:rsid w:val="00976A81"/>
    <w:rsid w:val="0097775C"/>
    <w:rsid w:val="00981633"/>
    <w:rsid w:val="00981AC4"/>
    <w:rsid w:val="0098253E"/>
    <w:rsid w:val="00985EB4"/>
    <w:rsid w:val="00986155"/>
    <w:rsid w:val="009902BA"/>
    <w:rsid w:val="009903A9"/>
    <w:rsid w:val="00990E5C"/>
    <w:rsid w:val="00991DB2"/>
    <w:rsid w:val="0099296B"/>
    <w:rsid w:val="009943D1"/>
    <w:rsid w:val="00994893"/>
    <w:rsid w:val="00994B0C"/>
    <w:rsid w:val="00995B84"/>
    <w:rsid w:val="00996044"/>
    <w:rsid w:val="009A1740"/>
    <w:rsid w:val="009A1A44"/>
    <w:rsid w:val="009A25AF"/>
    <w:rsid w:val="009A25B9"/>
    <w:rsid w:val="009A393F"/>
    <w:rsid w:val="009A3C92"/>
    <w:rsid w:val="009A459A"/>
    <w:rsid w:val="009A52C3"/>
    <w:rsid w:val="009A6587"/>
    <w:rsid w:val="009A694C"/>
    <w:rsid w:val="009A71BD"/>
    <w:rsid w:val="009A7202"/>
    <w:rsid w:val="009B03EF"/>
    <w:rsid w:val="009B10E7"/>
    <w:rsid w:val="009B24A3"/>
    <w:rsid w:val="009B26C2"/>
    <w:rsid w:val="009B360F"/>
    <w:rsid w:val="009B365F"/>
    <w:rsid w:val="009B44D8"/>
    <w:rsid w:val="009B4B08"/>
    <w:rsid w:val="009B65D0"/>
    <w:rsid w:val="009B6743"/>
    <w:rsid w:val="009B689D"/>
    <w:rsid w:val="009C2C1D"/>
    <w:rsid w:val="009C2E17"/>
    <w:rsid w:val="009C3002"/>
    <w:rsid w:val="009C36DA"/>
    <w:rsid w:val="009C3FAA"/>
    <w:rsid w:val="009C5461"/>
    <w:rsid w:val="009C5E30"/>
    <w:rsid w:val="009C702E"/>
    <w:rsid w:val="009D0BD7"/>
    <w:rsid w:val="009D1325"/>
    <w:rsid w:val="009D1EF7"/>
    <w:rsid w:val="009D25A4"/>
    <w:rsid w:val="009D3BBF"/>
    <w:rsid w:val="009D43CC"/>
    <w:rsid w:val="009D5485"/>
    <w:rsid w:val="009D5C9C"/>
    <w:rsid w:val="009D690C"/>
    <w:rsid w:val="009D766A"/>
    <w:rsid w:val="009E02AB"/>
    <w:rsid w:val="009E2748"/>
    <w:rsid w:val="009E29E3"/>
    <w:rsid w:val="009E2A91"/>
    <w:rsid w:val="009E4CFC"/>
    <w:rsid w:val="009E4F96"/>
    <w:rsid w:val="009E686D"/>
    <w:rsid w:val="009E7C52"/>
    <w:rsid w:val="009F0D52"/>
    <w:rsid w:val="009F217D"/>
    <w:rsid w:val="009F291D"/>
    <w:rsid w:val="009F4AA2"/>
    <w:rsid w:val="009F5740"/>
    <w:rsid w:val="009F6E9E"/>
    <w:rsid w:val="009F705F"/>
    <w:rsid w:val="009F7922"/>
    <w:rsid w:val="00A00297"/>
    <w:rsid w:val="00A002E6"/>
    <w:rsid w:val="00A009D1"/>
    <w:rsid w:val="00A01324"/>
    <w:rsid w:val="00A0159B"/>
    <w:rsid w:val="00A0353C"/>
    <w:rsid w:val="00A038A9"/>
    <w:rsid w:val="00A048A9"/>
    <w:rsid w:val="00A04E25"/>
    <w:rsid w:val="00A055C2"/>
    <w:rsid w:val="00A0570A"/>
    <w:rsid w:val="00A11400"/>
    <w:rsid w:val="00A11625"/>
    <w:rsid w:val="00A12F91"/>
    <w:rsid w:val="00A156B2"/>
    <w:rsid w:val="00A15C92"/>
    <w:rsid w:val="00A16FC8"/>
    <w:rsid w:val="00A20BC2"/>
    <w:rsid w:val="00A20DD4"/>
    <w:rsid w:val="00A21D59"/>
    <w:rsid w:val="00A2218E"/>
    <w:rsid w:val="00A22A33"/>
    <w:rsid w:val="00A2370F"/>
    <w:rsid w:val="00A31183"/>
    <w:rsid w:val="00A31B62"/>
    <w:rsid w:val="00A33AC7"/>
    <w:rsid w:val="00A35CCB"/>
    <w:rsid w:val="00A35E34"/>
    <w:rsid w:val="00A36024"/>
    <w:rsid w:val="00A36272"/>
    <w:rsid w:val="00A36DE7"/>
    <w:rsid w:val="00A41900"/>
    <w:rsid w:val="00A41E7C"/>
    <w:rsid w:val="00A42EBB"/>
    <w:rsid w:val="00A433E6"/>
    <w:rsid w:val="00A43F6C"/>
    <w:rsid w:val="00A45192"/>
    <w:rsid w:val="00A457FD"/>
    <w:rsid w:val="00A45E44"/>
    <w:rsid w:val="00A461B1"/>
    <w:rsid w:val="00A5091C"/>
    <w:rsid w:val="00A55105"/>
    <w:rsid w:val="00A56962"/>
    <w:rsid w:val="00A56AA9"/>
    <w:rsid w:val="00A574D3"/>
    <w:rsid w:val="00A57D1A"/>
    <w:rsid w:val="00A611DA"/>
    <w:rsid w:val="00A614FE"/>
    <w:rsid w:val="00A620BA"/>
    <w:rsid w:val="00A6250E"/>
    <w:rsid w:val="00A62A94"/>
    <w:rsid w:val="00A62BEB"/>
    <w:rsid w:val="00A62E51"/>
    <w:rsid w:val="00A6314F"/>
    <w:rsid w:val="00A634E8"/>
    <w:rsid w:val="00A63E75"/>
    <w:rsid w:val="00A66100"/>
    <w:rsid w:val="00A66DBF"/>
    <w:rsid w:val="00A6773B"/>
    <w:rsid w:val="00A70FA5"/>
    <w:rsid w:val="00A722AF"/>
    <w:rsid w:val="00A72E2F"/>
    <w:rsid w:val="00A73534"/>
    <w:rsid w:val="00A74D24"/>
    <w:rsid w:val="00A7684D"/>
    <w:rsid w:val="00A76AA0"/>
    <w:rsid w:val="00A772E0"/>
    <w:rsid w:val="00A81CB5"/>
    <w:rsid w:val="00A82588"/>
    <w:rsid w:val="00A829D3"/>
    <w:rsid w:val="00A83542"/>
    <w:rsid w:val="00A83841"/>
    <w:rsid w:val="00A83DAC"/>
    <w:rsid w:val="00A83F1D"/>
    <w:rsid w:val="00A84D32"/>
    <w:rsid w:val="00A872F2"/>
    <w:rsid w:val="00A876B5"/>
    <w:rsid w:val="00A879D1"/>
    <w:rsid w:val="00A900DE"/>
    <w:rsid w:val="00A901E5"/>
    <w:rsid w:val="00A916B1"/>
    <w:rsid w:val="00A934CB"/>
    <w:rsid w:val="00A95CF8"/>
    <w:rsid w:val="00A96025"/>
    <w:rsid w:val="00A97481"/>
    <w:rsid w:val="00A978E1"/>
    <w:rsid w:val="00AA01AB"/>
    <w:rsid w:val="00AA05F1"/>
    <w:rsid w:val="00AA1314"/>
    <w:rsid w:val="00AA4FB1"/>
    <w:rsid w:val="00AA689D"/>
    <w:rsid w:val="00AA6983"/>
    <w:rsid w:val="00AA6E9C"/>
    <w:rsid w:val="00AB0C3A"/>
    <w:rsid w:val="00AB2556"/>
    <w:rsid w:val="00AB2676"/>
    <w:rsid w:val="00AB339A"/>
    <w:rsid w:val="00AB33A2"/>
    <w:rsid w:val="00AB4197"/>
    <w:rsid w:val="00AB4466"/>
    <w:rsid w:val="00AB47D6"/>
    <w:rsid w:val="00AB4BAA"/>
    <w:rsid w:val="00AB5974"/>
    <w:rsid w:val="00AB5A72"/>
    <w:rsid w:val="00AB72C5"/>
    <w:rsid w:val="00AC0CCB"/>
    <w:rsid w:val="00AC38E9"/>
    <w:rsid w:val="00AC3B2A"/>
    <w:rsid w:val="00AC43D6"/>
    <w:rsid w:val="00AC52E0"/>
    <w:rsid w:val="00AC6AEB"/>
    <w:rsid w:val="00AC6B66"/>
    <w:rsid w:val="00AC7B07"/>
    <w:rsid w:val="00AD152D"/>
    <w:rsid w:val="00AD2274"/>
    <w:rsid w:val="00AD4FF3"/>
    <w:rsid w:val="00AD509B"/>
    <w:rsid w:val="00AD63DC"/>
    <w:rsid w:val="00AD6FC8"/>
    <w:rsid w:val="00AD721F"/>
    <w:rsid w:val="00AD74F7"/>
    <w:rsid w:val="00AD756F"/>
    <w:rsid w:val="00AD78A0"/>
    <w:rsid w:val="00AE0511"/>
    <w:rsid w:val="00AE0DC5"/>
    <w:rsid w:val="00AE182A"/>
    <w:rsid w:val="00AE75A7"/>
    <w:rsid w:val="00AF1076"/>
    <w:rsid w:val="00AF1A41"/>
    <w:rsid w:val="00AF3E2D"/>
    <w:rsid w:val="00AF420A"/>
    <w:rsid w:val="00AF4A5A"/>
    <w:rsid w:val="00AF4C2A"/>
    <w:rsid w:val="00AF505C"/>
    <w:rsid w:val="00AF562D"/>
    <w:rsid w:val="00AF5CC1"/>
    <w:rsid w:val="00AF6590"/>
    <w:rsid w:val="00B00009"/>
    <w:rsid w:val="00B013B2"/>
    <w:rsid w:val="00B02229"/>
    <w:rsid w:val="00B03DD2"/>
    <w:rsid w:val="00B05D10"/>
    <w:rsid w:val="00B06281"/>
    <w:rsid w:val="00B07E9A"/>
    <w:rsid w:val="00B101B1"/>
    <w:rsid w:val="00B1217B"/>
    <w:rsid w:val="00B1337C"/>
    <w:rsid w:val="00B14732"/>
    <w:rsid w:val="00B1504A"/>
    <w:rsid w:val="00B155BE"/>
    <w:rsid w:val="00B15A0F"/>
    <w:rsid w:val="00B16D8D"/>
    <w:rsid w:val="00B17DA5"/>
    <w:rsid w:val="00B20DF0"/>
    <w:rsid w:val="00B21737"/>
    <w:rsid w:val="00B21BE4"/>
    <w:rsid w:val="00B21D9D"/>
    <w:rsid w:val="00B227FA"/>
    <w:rsid w:val="00B23A9B"/>
    <w:rsid w:val="00B240DA"/>
    <w:rsid w:val="00B2441B"/>
    <w:rsid w:val="00B24968"/>
    <w:rsid w:val="00B251BE"/>
    <w:rsid w:val="00B25F35"/>
    <w:rsid w:val="00B26AF4"/>
    <w:rsid w:val="00B26E92"/>
    <w:rsid w:val="00B30B22"/>
    <w:rsid w:val="00B312AD"/>
    <w:rsid w:val="00B313EB"/>
    <w:rsid w:val="00B32932"/>
    <w:rsid w:val="00B346AC"/>
    <w:rsid w:val="00B34A92"/>
    <w:rsid w:val="00B34EEE"/>
    <w:rsid w:val="00B366D3"/>
    <w:rsid w:val="00B3735C"/>
    <w:rsid w:val="00B3777B"/>
    <w:rsid w:val="00B40089"/>
    <w:rsid w:val="00B40E7F"/>
    <w:rsid w:val="00B411DF"/>
    <w:rsid w:val="00B42E11"/>
    <w:rsid w:val="00B441A4"/>
    <w:rsid w:val="00B4504C"/>
    <w:rsid w:val="00B46465"/>
    <w:rsid w:val="00B4782A"/>
    <w:rsid w:val="00B47D9A"/>
    <w:rsid w:val="00B500B0"/>
    <w:rsid w:val="00B52279"/>
    <w:rsid w:val="00B52344"/>
    <w:rsid w:val="00B52809"/>
    <w:rsid w:val="00B52A51"/>
    <w:rsid w:val="00B52CB3"/>
    <w:rsid w:val="00B5324D"/>
    <w:rsid w:val="00B53382"/>
    <w:rsid w:val="00B533C2"/>
    <w:rsid w:val="00B5584B"/>
    <w:rsid w:val="00B56E50"/>
    <w:rsid w:val="00B60050"/>
    <w:rsid w:val="00B61116"/>
    <w:rsid w:val="00B61AC7"/>
    <w:rsid w:val="00B62CD0"/>
    <w:rsid w:val="00B62E0B"/>
    <w:rsid w:val="00B630EB"/>
    <w:rsid w:val="00B63510"/>
    <w:rsid w:val="00B656B6"/>
    <w:rsid w:val="00B7180B"/>
    <w:rsid w:val="00B739EB"/>
    <w:rsid w:val="00B73EE7"/>
    <w:rsid w:val="00B73F71"/>
    <w:rsid w:val="00B74866"/>
    <w:rsid w:val="00B75910"/>
    <w:rsid w:val="00B75947"/>
    <w:rsid w:val="00B75E1F"/>
    <w:rsid w:val="00B801F0"/>
    <w:rsid w:val="00B80B5C"/>
    <w:rsid w:val="00B81CD7"/>
    <w:rsid w:val="00B8232F"/>
    <w:rsid w:val="00B827D5"/>
    <w:rsid w:val="00B82E3A"/>
    <w:rsid w:val="00B8386D"/>
    <w:rsid w:val="00B84002"/>
    <w:rsid w:val="00B8590C"/>
    <w:rsid w:val="00B86334"/>
    <w:rsid w:val="00B87052"/>
    <w:rsid w:val="00B87906"/>
    <w:rsid w:val="00B923C8"/>
    <w:rsid w:val="00B93BEF"/>
    <w:rsid w:val="00BA0852"/>
    <w:rsid w:val="00BA0F4D"/>
    <w:rsid w:val="00BA2A01"/>
    <w:rsid w:val="00BA335A"/>
    <w:rsid w:val="00BA3B89"/>
    <w:rsid w:val="00BA44C4"/>
    <w:rsid w:val="00BA5231"/>
    <w:rsid w:val="00BA54AF"/>
    <w:rsid w:val="00BA643E"/>
    <w:rsid w:val="00BA7687"/>
    <w:rsid w:val="00BA786B"/>
    <w:rsid w:val="00BA7918"/>
    <w:rsid w:val="00BA7B41"/>
    <w:rsid w:val="00BA7F61"/>
    <w:rsid w:val="00BB1367"/>
    <w:rsid w:val="00BB2F73"/>
    <w:rsid w:val="00BB36AE"/>
    <w:rsid w:val="00BB37D3"/>
    <w:rsid w:val="00BB4338"/>
    <w:rsid w:val="00BB60F8"/>
    <w:rsid w:val="00BB77DC"/>
    <w:rsid w:val="00BB7A21"/>
    <w:rsid w:val="00BB7F35"/>
    <w:rsid w:val="00BC040F"/>
    <w:rsid w:val="00BC29B3"/>
    <w:rsid w:val="00BC2B71"/>
    <w:rsid w:val="00BC54ED"/>
    <w:rsid w:val="00BC59CD"/>
    <w:rsid w:val="00BC6E05"/>
    <w:rsid w:val="00BC79E9"/>
    <w:rsid w:val="00BD17B6"/>
    <w:rsid w:val="00BD1801"/>
    <w:rsid w:val="00BD1BFB"/>
    <w:rsid w:val="00BD305B"/>
    <w:rsid w:val="00BD3865"/>
    <w:rsid w:val="00BD39F7"/>
    <w:rsid w:val="00BD4B06"/>
    <w:rsid w:val="00BD581C"/>
    <w:rsid w:val="00BD5E29"/>
    <w:rsid w:val="00BD5EAF"/>
    <w:rsid w:val="00BD6238"/>
    <w:rsid w:val="00BD62CB"/>
    <w:rsid w:val="00BD6704"/>
    <w:rsid w:val="00BE10C5"/>
    <w:rsid w:val="00BE2674"/>
    <w:rsid w:val="00BE27E9"/>
    <w:rsid w:val="00BE3708"/>
    <w:rsid w:val="00BE67E9"/>
    <w:rsid w:val="00BF10F3"/>
    <w:rsid w:val="00BF1545"/>
    <w:rsid w:val="00BF1FB7"/>
    <w:rsid w:val="00BF2968"/>
    <w:rsid w:val="00BF2AD0"/>
    <w:rsid w:val="00BF38B8"/>
    <w:rsid w:val="00BF3DA7"/>
    <w:rsid w:val="00BF420E"/>
    <w:rsid w:val="00BF62F1"/>
    <w:rsid w:val="00BF68AF"/>
    <w:rsid w:val="00BF74C8"/>
    <w:rsid w:val="00BF7521"/>
    <w:rsid w:val="00C00232"/>
    <w:rsid w:val="00C00253"/>
    <w:rsid w:val="00C0170B"/>
    <w:rsid w:val="00C035AF"/>
    <w:rsid w:val="00C06404"/>
    <w:rsid w:val="00C0650F"/>
    <w:rsid w:val="00C0738C"/>
    <w:rsid w:val="00C07B63"/>
    <w:rsid w:val="00C07C03"/>
    <w:rsid w:val="00C11666"/>
    <w:rsid w:val="00C118E8"/>
    <w:rsid w:val="00C11F74"/>
    <w:rsid w:val="00C12DCB"/>
    <w:rsid w:val="00C1379C"/>
    <w:rsid w:val="00C137AC"/>
    <w:rsid w:val="00C13911"/>
    <w:rsid w:val="00C14A43"/>
    <w:rsid w:val="00C1775A"/>
    <w:rsid w:val="00C1776A"/>
    <w:rsid w:val="00C17BAE"/>
    <w:rsid w:val="00C20E42"/>
    <w:rsid w:val="00C22F38"/>
    <w:rsid w:val="00C22FF1"/>
    <w:rsid w:val="00C2387F"/>
    <w:rsid w:val="00C238B2"/>
    <w:rsid w:val="00C239DF"/>
    <w:rsid w:val="00C2697C"/>
    <w:rsid w:val="00C26CBC"/>
    <w:rsid w:val="00C270FF"/>
    <w:rsid w:val="00C27D69"/>
    <w:rsid w:val="00C30B8E"/>
    <w:rsid w:val="00C3110A"/>
    <w:rsid w:val="00C33873"/>
    <w:rsid w:val="00C35A9A"/>
    <w:rsid w:val="00C372DC"/>
    <w:rsid w:val="00C37FDF"/>
    <w:rsid w:val="00C40023"/>
    <w:rsid w:val="00C401F2"/>
    <w:rsid w:val="00C42098"/>
    <w:rsid w:val="00C4212B"/>
    <w:rsid w:val="00C4320A"/>
    <w:rsid w:val="00C45A5C"/>
    <w:rsid w:val="00C47669"/>
    <w:rsid w:val="00C47FB0"/>
    <w:rsid w:val="00C526C4"/>
    <w:rsid w:val="00C52EAC"/>
    <w:rsid w:val="00C53519"/>
    <w:rsid w:val="00C535D8"/>
    <w:rsid w:val="00C53799"/>
    <w:rsid w:val="00C53FD5"/>
    <w:rsid w:val="00C5470B"/>
    <w:rsid w:val="00C549BA"/>
    <w:rsid w:val="00C569F8"/>
    <w:rsid w:val="00C576A1"/>
    <w:rsid w:val="00C61869"/>
    <w:rsid w:val="00C62428"/>
    <w:rsid w:val="00C64690"/>
    <w:rsid w:val="00C64FEF"/>
    <w:rsid w:val="00C66E00"/>
    <w:rsid w:val="00C709C9"/>
    <w:rsid w:val="00C70D4E"/>
    <w:rsid w:val="00C71725"/>
    <w:rsid w:val="00C725A3"/>
    <w:rsid w:val="00C729FF"/>
    <w:rsid w:val="00C73016"/>
    <w:rsid w:val="00C73713"/>
    <w:rsid w:val="00C76183"/>
    <w:rsid w:val="00C768D5"/>
    <w:rsid w:val="00C77565"/>
    <w:rsid w:val="00C83295"/>
    <w:rsid w:val="00C8427B"/>
    <w:rsid w:val="00C86526"/>
    <w:rsid w:val="00C86FDE"/>
    <w:rsid w:val="00C91222"/>
    <w:rsid w:val="00C914F0"/>
    <w:rsid w:val="00C91BFC"/>
    <w:rsid w:val="00C92B14"/>
    <w:rsid w:val="00C9328E"/>
    <w:rsid w:val="00C95CD2"/>
    <w:rsid w:val="00C9614A"/>
    <w:rsid w:val="00C96274"/>
    <w:rsid w:val="00C96FF0"/>
    <w:rsid w:val="00C97269"/>
    <w:rsid w:val="00C97715"/>
    <w:rsid w:val="00C978C7"/>
    <w:rsid w:val="00CA00B3"/>
    <w:rsid w:val="00CA0308"/>
    <w:rsid w:val="00CA1D78"/>
    <w:rsid w:val="00CA3FDC"/>
    <w:rsid w:val="00CA4AA7"/>
    <w:rsid w:val="00CA6952"/>
    <w:rsid w:val="00CA7085"/>
    <w:rsid w:val="00CA709C"/>
    <w:rsid w:val="00CA72D2"/>
    <w:rsid w:val="00CA79B4"/>
    <w:rsid w:val="00CB1171"/>
    <w:rsid w:val="00CB13B6"/>
    <w:rsid w:val="00CB1A83"/>
    <w:rsid w:val="00CB4056"/>
    <w:rsid w:val="00CB518E"/>
    <w:rsid w:val="00CB5C8D"/>
    <w:rsid w:val="00CB66C8"/>
    <w:rsid w:val="00CC0908"/>
    <w:rsid w:val="00CC0B75"/>
    <w:rsid w:val="00CC218D"/>
    <w:rsid w:val="00CC2F6E"/>
    <w:rsid w:val="00CC36B1"/>
    <w:rsid w:val="00CC36B5"/>
    <w:rsid w:val="00CC3A1A"/>
    <w:rsid w:val="00CC50EA"/>
    <w:rsid w:val="00CC5729"/>
    <w:rsid w:val="00CC6668"/>
    <w:rsid w:val="00CD0E89"/>
    <w:rsid w:val="00CD0F36"/>
    <w:rsid w:val="00CD28AD"/>
    <w:rsid w:val="00CD2E12"/>
    <w:rsid w:val="00CD3403"/>
    <w:rsid w:val="00CD3792"/>
    <w:rsid w:val="00CD40BA"/>
    <w:rsid w:val="00CD678E"/>
    <w:rsid w:val="00CD75AD"/>
    <w:rsid w:val="00CD7963"/>
    <w:rsid w:val="00CE080E"/>
    <w:rsid w:val="00CE0DA0"/>
    <w:rsid w:val="00CE6424"/>
    <w:rsid w:val="00CF0539"/>
    <w:rsid w:val="00CF10CE"/>
    <w:rsid w:val="00CF249B"/>
    <w:rsid w:val="00CF34D0"/>
    <w:rsid w:val="00CF39F8"/>
    <w:rsid w:val="00CF4356"/>
    <w:rsid w:val="00CF574D"/>
    <w:rsid w:val="00D00C2C"/>
    <w:rsid w:val="00D022C4"/>
    <w:rsid w:val="00D02F68"/>
    <w:rsid w:val="00D0327E"/>
    <w:rsid w:val="00D0392D"/>
    <w:rsid w:val="00D03970"/>
    <w:rsid w:val="00D067CB"/>
    <w:rsid w:val="00D078B5"/>
    <w:rsid w:val="00D113C0"/>
    <w:rsid w:val="00D11676"/>
    <w:rsid w:val="00D12139"/>
    <w:rsid w:val="00D13642"/>
    <w:rsid w:val="00D13AC5"/>
    <w:rsid w:val="00D158F3"/>
    <w:rsid w:val="00D15E20"/>
    <w:rsid w:val="00D165FD"/>
    <w:rsid w:val="00D20E3C"/>
    <w:rsid w:val="00D21083"/>
    <w:rsid w:val="00D21115"/>
    <w:rsid w:val="00D22955"/>
    <w:rsid w:val="00D22E0A"/>
    <w:rsid w:val="00D23805"/>
    <w:rsid w:val="00D2665B"/>
    <w:rsid w:val="00D2671B"/>
    <w:rsid w:val="00D27A43"/>
    <w:rsid w:val="00D31222"/>
    <w:rsid w:val="00D31D76"/>
    <w:rsid w:val="00D31FCA"/>
    <w:rsid w:val="00D32835"/>
    <w:rsid w:val="00D33B3A"/>
    <w:rsid w:val="00D34DB7"/>
    <w:rsid w:val="00D353F2"/>
    <w:rsid w:val="00D43830"/>
    <w:rsid w:val="00D4564C"/>
    <w:rsid w:val="00D472CC"/>
    <w:rsid w:val="00D50E4C"/>
    <w:rsid w:val="00D514F3"/>
    <w:rsid w:val="00D52550"/>
    <w:rsid w:val="00D536B9"/>
    <w:rsid w:val="00D53C72"/>
    <w:rsid w:val="00D53EB2"/>
    <w:rsid w:val="00D55B45"/>
    <w:rsid w:val="00D560EA"/>
    <w:rsid w:val="00D56F08"/>
    <w:rsid w:val="00D61243"/>
    <w:rsid w:val="00D619A1"/>
    <w:rsid w:val="00D61A18"/>
    <w:rsid w:val="00D61ACF"/>
    <w:rsid w:val="00D64CA8"/>
    <w:rsid w:val="00D64F66"/>
    <w:rsid w:val="00D65325"/>
    <w:rsid w:val="00D66D15"/>
    <w:rsid w:val="00D673D8"/>
    <w:rsid w:val="00D67E71"/>
    <w:rsid w:val="00D70ECA"/>
    <w:rsid w:val="00D717E1"/>
    <w:rsid w:val="00D73101"/>
    <w:rsid w:val="00D74DCB"/>
    <w:rsid w:val="00D75978"/>
    <w:rsid w:val="00D760A6"/>
    <w:rsid w:val="00D77392"/>
    <w:rsid w:val="00D778B7"/>
    <w:rsid w:val="00D805D7"/>
    <w:rsid w:val="00D80C9C"/>
    <w:rsid w:val="00D811BF"/>
    <w:rsid w:val="00D81879"/>
    <w:rsid w:val="00D8205D"/>
    <w:rsid w:val="00D824DD"/>
    <w:rsid w:val="00D83BBC"/>
    <w:rsid w:val="00D849C6"/>
    <w:rsid w:val="00D84FC3"/>
    <w:rsid w:val="00D8560C"/>
    <w:rsid w:val="00D858F8"/>
    <w:rsid w:val="00D87436"/>
    <w:rsid w:val="00D8763F"/>
    <w:rsid w:val="00D8790E"/>
    <w:rsid w:val="00D92E1F"/>
    <w:rsid w:val="00D94A41"/>
    <w:rsid w:val="00D9670F"/>
    <w:rsid w:val="00D97E3B"/>
    <w:rsid w:val="00D97EE2"/>
    <w:rsid w:val="00DA0C95"/>
    <w:rsid w:val="00DA102B"/>
    <w:rsid w:val="00DA16AA"/>
    <w:rsid w:val="00DA2B66"/>
    <w:rsid w:val="00DA2CE6"/>
    <w:rsid w:val="00DA331C"/>
    <w:rsid w:val="00DA3509"/>
    <w:rsid w:val="00DA3DCC"/>
    <w:rsid w:val="00DA50F5"/>
    <w:rsid w:val="00DA52B5"/>
    <w:rsid w:val="00DA5612"/>
    <w:rsid w:val="00DA5995"/>
    <w:rsid w:val="00DA5F58"/>
    <w:rsid w:val="00DA779C"/>
    <w:rsid w:val="00DA785D"/>
    <w:rsid w:val="00DB0099"/>
    <w:rsid w:val="00DB149A"/>
    <w:rsid w:val="00DB1E43"/>
    <w:rsid w:val="00DB25AC"/>
    <w:rsid w:val="00DB42B3"/>
    <w:rsid w:val="00DB4425"/>
    <w:rsid w:val="00DB4AEA"/>
    <w:rsid w:val="00DB4B53"/>
    <w:rsid w:val="00DB4EF6"/>
    <w:rsid w:val="00DB52A7"/>
    <w:rsid w:val="00DB5B1E"/>
    <w:rsid w:val="00DB6A54"/>
    <w:rsid w:val="00DB6EBE"/>
    <w:rsid w:val="00DC42FB"/>
    <w:rsid w:val="00DC4CE6"/>
    <w:rsid w:val="00DC5C55"/>
    <w:rsid w:val="00DC6BC5"/>
    <w:rsid w:val="00DC7FD0"/>
    <w:rsid w:val="00DD0C7D"/>
    <w:rsid w:val="00DD1DDE"/>
    <w:rsid w:val="00DD26BC"/>
    <w:rsid w:val="00DD2915"/>
    <w:rsid w:val="00DD2BFF"/>
    <w:rsid w:val="00DD2E39"/>
    <w:rsid w:val="00DD353B"/>
    <w:rsid w:val="00DD3BD6"/>
    <w:rsid w:val="00DD4E52"/>
    <w:rsid w:val="00DD51CA"/>
    <w:rsid w:val="00DD5EA9"/>
    <w:rsid w:val="00DD69C5"/>
    <w:rsid w:val="00DD7FE9"/>
    <w:rsid w:val="00DE073A"/>
    <w:rsid w:val="00DE12E7"/>
    <w:rsid w:val="00DE183F"/>
    <w:rsid w:val="00DE3156"/>
    <w:rsid w:val="00DE5367"/>
    <w:rsid w:val="00DE5939"/>
    <w:rsid w:val="00DE59A8"/>
    <w:rsid w:val="00DE5FCA"/>
    <w:rsid w:val="00DE69BC"/>
    <w:rsid w:val="00DE750A"/>
    <w:rsid w:val="00DF0450"/>
    <w:rsid w:val="00DF150F"/>
    <w:rsid w:val="00DF18E2"/>
    <w:rsid w:val="00DF2479"/>
    <w:rsid w:val="00DF3C2B"/>
    <w:rsid w:val="00DF4329"/>
    <w:rsid w:val="00DF613A"/>
    <w:rsid w:val="00DF6601"/>
    <w:rsid w:val="00DF7D20"/>
    <w:rsid w:val="00E0021E"/>
    <w:rsid w:val="00E009D5"/>
    <w:rsid w:val="00E0208F"/>
    <w:rsid w:val="00E0536A"/>
    <w:rsid w:val="00E055D5"/>
    <w:rsid w:val="00E05F9B"/>
    <w:rsid w:val="00E0664F"/>
    <w:rsid w:val="00E067BE"/>
    <w:rsid w:val="00E075CE"/>
    <w:rsid w:val="00E07DA3"/>
    <w:rsid w:val="00E10137"/>
    <w:rsid w:val="00E1029B"/>
    <w:rsid w:val="00E1030E"/>
    <w:rsid w:val="00E132E5"/>
    <w:rsid w:val="00E142A6"/>
    <w:rsid w:val="00E14B72"/>
    <w:rsid w:val="00E1560E"/>
    <w:rsid w:val="00E1572E"/>
    <w:rsid w:val="00E15945"/>
    <w:rsid w:val="00E16B50"/>
    <w:rsid w:val="00E16BB5"/>
    <w:rsid w:val="00E17944"/>
    <w:rsid w:val="00E17EAA"/>
    <w:rsid w:val="00E204A5"/>
    <w:rsid w:val="00E210DD"/>
    <w:rsid w:val="00E21705"/>
    <w:rsid w:val="00E2170E"/>
    <w:rsid w:val="00E222D6"/>
    <w:rsid w:val="00E22CE0"/>
    <w:rsid w:val="00E23310"/>
    <w:rsid w:val="00E25213"/>
    <w:rsid w:val="00E25733"/>
    <w:rsid w:val="00E25E62"/>
    <w:rsid w:val="00E2668C"/>
    <w:rsid w:val="00E26D5A"/>
    <w:rsid w:val="00E30FE4"/>
    <w:rsid w:val="00E32AAE"/>
    <w:rsid w:val="00E32E1D"/>
    <w:rsid w:val="00E33879"/>
    <w:rsid w:val="00E3387A"/>
    <w:rsid w:val="00E33F2D"/>
    <w:rsid w:val="00E35078"/>
    <w:rsid w:val="00E3584C"/>
    <w:rsid w:val="00E36EC7"/>
    <w:rsid w:val="00E37ECF"/>
    <w:rsid w:val="00E41394"/>
    <w:rsid w:val="00E423F6"/>
    <w:rsid w:val="00E4261B"/>
    <w:rsid w:val="00E42877"/>
    <w:rsid w:val="00E428CC"/>
    <w:rsid w:val="00E42DF1"/>
    <w:rsid w:val="00E440BE"/>
    <w:rsid w:val="00E446AC"/>
    <w:rsid w:val="00E45D8F"/>
    <w:rsid w:val="00E518EB"/>
    <w:rsid w:val="00E529F8"/>
    <w:rsid w:val="00E5393A"/>
    <w:rsid w:val="00E54C8B"/>
    <w:rsid w:val="00E55824"/>
    <w:rsid w:val="00E55FB7"/>
    <w:rsid w:val="00E56FAE"/>
    <w:rsid w:val="00E57EF1"/>
    <w:rsid w:val="00E603DB"/>
    <w:rsid w:val="00E60AA5"/>
    <w:rsid w:val="00E60DBE"/>
    <w:rsid w:val="00E625A6"/>
    <w:rsid w:val="00E6344F"/>
    <w:rsid w:val="00E63D3E"/>
    <w:rsid w:val="00E64DF8"/>
    <w:rsid w:val="00E64E1E"/>
    <w:rsid w:val="00E6583C"/>
    <w:rsid w:val="00E66711"/>
    <w:rsid w:val="00E67FEB"/>
    <w:rsid w:val="00E703EE"/>
    <w:rsid w:val="00E70A07"/>
    <w:rsid w:val="00E7163E"/>
    <w:rsid w:val="00E71D09"/>
    <w:rsid w:val="00E7348F"/>
    <w:rsid w:val="00E766EB"/>
    <w:rsid w:val="00E775A1"/>
    <w:rsid w:val="00E814AE"/>
    <w:rsid w:val="00E82712"/>
    <w:rsid w:val="00E837AB"/>
    <w:rsid w:val="00E8548D"/>
    <w:rsid w:val="00E85C24"/>
    <w:rsid w:val="00E860A5"/>
    <w:rsid w:val="00E8652A"/>
    <w:rsid w:val="00E909F0"/>
    <w:rsid w:val="00E92F03"/>
    <w:rsid w:val="00E93059"/>
    <w:rsid w:val="00E9315C"/>
    <w:rsid w:val="00E93210"/>
    <w:rsid w:val="00E9365A"/>
    <w:rsid w:val="00E951B6"/>
    <w:rsid w:val="00E95506"/>
    <w:rsid w:val="00E96D20"/>
    <w:rsid w:val="00E9798E"/>
    <w:rsid w:val="00EA453F"/>
    <w:rsid w:val="00EA455C"/>
    <w:rsid w:val="00EA4E63"/>
    <w:rsid w:val="00EA5A6E"/>
    <w:rsid w:val="00EA60DB"/>
    <w:rsid w:val="00EA6EEF"/>
    <w:rsid w:val="00EA74A7"/>
    <w:rsid w:val="00EB3F8F"/>
    <w:rsid w:val="00EB4487"/>
    <w:rsid w:val="00EB48B9"/>
    <w:rsid w:val="00EB5187"/>
    <w:rsid w:val="00EB5409"/>
    <w:rsid w:val="00EB6794"/>
    <w:rsid w:val="00EB6C52"/>
    <w:rsid w:val="00EB6CD4"/>
    <w:rsid w:val="00EB6EDD"/>
    <w:rsid w:val="00EB7C39"/>
    <w:rsid w:val="00EB7E30"/>
    <w:rsid w:val="00EC143F"/>
    <w:rsid w:val="00EC1CD0"/>
    <w:rsid w:val="00EC28F9"/>
    <w:rsid w:val="00EC2DDA"/>
    <w:rsid w:val="00EC34E6"/>
    <w:rsid w:val="00EC46ED"/>
    <w:rsid w:val="00EC5B91"/>
    <w:rsid w:val="00EC6279"/>
    <w:rsid w:val="00EC63DE"/>
    <w:rsid w:val="00EC6516"/>
    <w:rsid w:val="00EC6CEC"/>
    <w:rsid w:val="00ED27B2"/>
    <w:rsid w:val="00ED4C2D"/>
    <w:rsid w:val="00ED543F"/>
    <w:rsid w:val="00EE0173"/>
    <w:rsid w:val="00EE1851"/>
    <w:rsid w:val="00EE2FDD"/>
    <w:rsid w:val="00EE316D"/>
    <w:rsid w:val="00EE3833"/>
    <w:rsid w:val="00EE3903"/>
    <w:rsid w:val="00EE4DF1"/>
    <w:rsid w:val="00EE6439"/>
    <w:rsid w:val="00EE66D2"/>
    <w:rsid w:val="00EE6FFB"/>
    <w:rsid w:val="00EE7073"/>
    <w:rsid w:val="00EE71F5"/>
    <w:rsid w:val="00EE739B"/>
    <w:rsid w:val="00EE7A10"/>
    <w:rsid w:val="00EF01EE"/>
    <w:rsid w:val="00EF09C3"/>
    <w:rsid w:val="00EF0F02"/>
    <w:rsid w:val="00EF18BB"/>
    <w:rsid w:val="00EF1C1F"/>
    <w:rsid w:val="00EF3DD8"/>
    <w:rsid w:val="00EF46DE"/>
    <w:rsid w:val="00EF4F35"/>
    <w:rsid w:val="00EF5F26"/>
    <w:rsid w:val="00EF6F22"/>
    <w:rsid w:val="00EF7709"/>
    <w:rsid w:val="00F000F1"/>
    <w:rsid w:val="00F00F23"/>
    <w:rsid w:val="00F01FA8"/>
    <w:rsid w:val="00F037FF"/>
    <w:rsid w:val="00F04AD6"/>
    <w:rsid w:val="00F05316"/>
    <w:rsid w:val="00F07315"/>
    <w:rsid w:val="00F1027E"/>
    <w:rsid w:val="00F10627"/>
    <w:rsid w:val="00F10A49"/>
    <w:rsid w:val="00F10DE2"/>
    <w:rsid w:val="00F12161"/>
    <w:rsid w:val="00F1368B"/>
    <w:rsid w:val="00F144B0"/>
    <w:rsid w:val="00F1460F"/>
    <w:rsid w:val="00F14CAA"/>
    <w:rsid w:val="00F15342"/>
    <w:rsid w:val="00F16153"/>
    <w:rsid w:val="00F167F3"/>
    <w:rsid w:val="00F1788F"/>
    <w:rsid w:val="00F17FC7"/>
    <w:rsid w:val="00F22384"/>
    <w:rsid w:val="00F23C85"/>
    <w:rsid w:val="00F23DB6"/>
    <w:rsid w:val="00F25E9B"/>
    <w:rsid w:val="00F26616"/>
    <w:rsid w:val="00F26AC9"/>
    <w:rsid w:val="00F26F13"/>
    <w:rsid w:val="00F270A8"/>
    <w:rsid w:val="00F27984"/>
    <w:rsid w:val="00F30EDF"/>
    <w:rsid w:val="00F3103C"/>
    <w:rsid w:val="00F32107"/>
    <w:rsid w:val="00F33911"/>
    <w:rsid w:val="00F3451E"/>
    <w:rsid w:val="00F35012"/>
    <w:rsid w:val="00F35095"/>
    <w:rsid w:val="00F3517F"/>
    <w:rsid w:val="00F360ED"/>
    <w:rsid w:val="00F36E53"/>
    <w:rsid w:val="00F3730C"/>
    <w:rsid w:val="00F37633"/>
    <w:rsid w:val="00F407FA"/>
    <w:rsid w:val="00F42386"/>
    <w:rsid w:val="00F42679"/>
    <w:rsid w:val="00F4322C"/>
    <w:rsid w:val="00F433FF"/>
    <w:rsid w:val="00F43A8F"/>
    <w:rsid w:val="00F44163"/>
    <w:rsid w:val="00F47143"/>
    <w:rsid w:val="00F47AE7"/>
    <w:rsid w:val="00F508E5"/>
    <w:rsid w:val="00F51AB2"/>
    <w:rsid w:val="00F52077"/>
    <w:rsid w:val="00F528C3"/>
    <w:rsid w:val="00F52B48"/>
    <w:rsid w:val="00F53B9B"/>
    <w:rsid w:val="00F53CDD"/>
    <w:rsid w:val="00F54CB7"/>
    <w:rsid w:val="00F554A0"/>
    <w:rsid w:val="00F555B9"/>
    <w:rsid w:val="00F560B3"/>
    <w:rsid w:val="00F600CF"/>
    <w:rsid w:val="00F604DA"/>
    <w:rsid w:val="00F61A06"/>
    <w:rsid w:val="00F63BB3"/>
    <w:rsid w:val="00F64906"/>
    <w:rsid w:val="00F64A23"/>
    <w:rsid w:val="00F64E61"/>
    <w:rsid w:val="00F660FA"/>
    <w:rsid w:val="00F6678E"/>
    <w:rsid w:val="00F66A46"/>
    <w:rsid w:val="00F70166"/>
    <w:rsid w:val="00F70516"/>
    <w:rsid w:val="00F70A16"/>
    <w:rsid w:val="00F725F0"/>
    <w:rsid w:val="00F749FE"/>
    <w:rsid w:val="00F74E97"/>
    <w:rsid w:val="00F75B02"/>
    <w:rsid w:val="00F75E1B"/>
    <w:rsid w:val="00F819B2"/>
    <w:rsid w:val="00F83FCD"/>
    <w:rsid w:val="00F8446D"/>
    <w:rsid w:val="00F902E5"/>
    <w:rsid w:val="00F90597"/>
    <w:rsid w:val="00F907A0"/>
    <w:rsid w:val="00F9083C"/>
    <w:rsid w:val="00F913F3"/>
    <w:rsid w:val="00F91627"/>
    <w:rsid w:val="00F92838"/>
    <w:rsid w:val="00F93028"/>
    <w:rsid w:val="00F937FA"/>
    <w:rsid w:val="00F954E5"/>
    <w:rsid w:val="00F957A4"/>
    <w:rsid w:val="00F96414"/>
    <w:rsid w:val="00F979D4"/>
    <w:rsid w:val="00F97D09"/>
    <w:rsid w:val="00FA0665"/>
    <w:rsid w:val="00FA0689"/>
    <w:rsid w:val="00FA1D86"/>
    <w:rsid w:val="00FA3C48"/>
    <w:rsid w:val="00FA47DD"/>
    <w:rsid w:val="00FA645D"/>
    <w:rsid w:val="00FA6F64"/>
    <w:rsid w:val="00FA7405"/>
    <w:rsid w:val="00FB0B81"/>
    <w:rsid w:val="00FB121A"/>
    <w:rsid w:val="00FB1B50"/>
    <w:rsid w:val="00FB2C34"/>
    <w:rsid w:val="00FB2D50"/>
    <w:rsid w:val="00FB3282"/>
    <w:rsid w:val="00FB4013"/>
    <w:rsid w:val="00FB4E29"/>
    <w:rsid w:val="00FB53EC"/>
    <w:rsid w:val="00FB5D0D"/>
    <w:rsid w:val="00FB5F97"/>
    <w:rsid w:val="00FC05CE"/>
    <w:rsid w:val="00FC1BD1"/>
    <w:rsid w:val="00FC28BE"/>
    <w:rsid w:val="00FC435C"/>
    <w:rsid w:val="00FC455E"/>
    <w:rsid w:val="00FC4AE5"/>
    <w:rsid w:val="00FC50B3"/>
    <w:rsid w:val="00FC5E9F"/>
    <w:rsid w:val="00FC737F"/>
    <w:rsid w:val="00FD02D8"/>
    <w:rsid w:val="00FD1597"/>
    <w:rsid w:val="00FD17C7"/>
    <w:rsid w:val="00FD20A3"/>
    <w:rsid w:val="00FD51B8"/>
    <w:rsid w:val="00FD5796"/>
    <w:rsid w:val="00FD6026"/>
    <w:rsid w:val="00FD64FC"/>
    <w:rsid w:val="00FD6571"/>
    <w:rsid w:val="00FD6AE5"/>
    <w:rsid w:val="00FD6FAC"/>
    <w:rsid w:val="00FD7747"/>
    <w:rsid w:val="00FD7FD9"/>
    <w:rsid w:val="00FE16EB"/>
    <w:rsid w:val="00FE1BCD"/>
    <w:rsid w:val="00FE1DFE"/>
    <w:rsid w:val="00FE31FD"/>
    <w:rsid w:val="00FE4B9F"/>
    <w:rsid w:val="00FE51FB"/>
    <w:rsid w:val="00FE67F9"/>
    <w:rsid w:val="00FE7ADB"/>
    <w:rsid w:val="00FF013C"/>
    <w:rsid w:val="00FF0A9F"/>
    <w:rsid w:val="00FF4C32"/>
    <w:rsid w:val="00FF559B"/>
    <w:rsid w:val="00FF5ED1"/>
    <w:rsid w:val="0110730C"/>
    <w:rsid w:val="02135165"/>
    <w:rsid w:val="0247556A"/>
    <w:rsid w:val="02D50DC8"/>
    <w:rsid w:val="02D768EE"/>
    <w:rsid w:val="030F6088"/>
    <w:rsid w:val="038906E0"/>
    <w:rsid w:val="05C53433"/>
    <w:rsid w:val="05CD3FD8"/>
    <w:rsid w:val="065D535C"/>
    <w:rsid w:val="067F41B9"/>
    <w:rsid w:val="07045F6F"/>
    <w:rsid w:val="074402CA"/>
    <w:rsid w:val="07722B6E"/>
    <w:rsid w:val="07811503"/>
    <w:rsid w:val="07D82167"/>
    <w:rsid w:val="087846CF"/>
    <w:rsid w:val="08CB5296"/>
    <w:rsid w:val="09002BCF"/>
    <w:rsid w:val="091F4B4B"/>
    <w:rsid w:val="09D5365E"/>
    <w:rsid w:val="0A846911"/>
    <w:rsid w:val="0C4A6383"/>
    <w:rsid w:val="0C633FC8"/>
    <w:rsid w:val="0D0C53E6"/>
    <w:rsid w:val="0D2074D0"/>
    <w:rsid w:val="0DC61A39"/>
    <w:rsid w:val="0E2A646C"/>
    <w:rsid w:val="0EB2020F"/>
    <w:rsid w:val="0F3B0205"/>
    <w:rsid w:val="0FAD16AF"/>
    <w:rsid w:val="0FEE350E"/>
    <w:rsid w:val="10BD2907"/>
    <w:rsid w:val="10CA5F82"/>
    <w:rsid w:val="10DE353E"/>
    <w:rsid w:val="115B06EA"/>
    <w:rsid w:val="116D2037"/>
    <w:rsid w:val="117C585D"/>
    <w:rsid w:val="123E24E6"/>
    <w:rsid w:val="12C624DB"/>
    <w:rsid w:val="12E0359D"/>
    <w:rsid w:val="13037A6D"/>
    <w:rsid w:val="14072DAB"/>
    <w:rsid w:val="14A25669"/>
    <w:rsid w:val="16252085"/>
    <w:rsid w:val="162B2D81"/>
    <w:rsid w:val="18B76B4E"/>
    <w:rsid w:val="18DA68F2"/>
    <w:rsid w:val="19104BC2"/>
    <w:rsid w:val="19CC6629"/>
    <w:rsid w:val="1A7E35D6"/>
    <w:rsid w:val="1B3C1444"/>
    <w:rsid w:val="1BA101B7"/>
    <w:rsid w:val="1BCE24BA"/>
    <w:rsid w:val="1E4E3AB1"/>
    <w:rsid w:val="1EAC6456"/>
    <w:rsid w:val="1F240641"/>
    <w:rsid w:val="1F3E73D3"/>
    <w:rsid w:val="205B6F95"/>
    <w:rsid w:val="20605D1D"/>
    <w:rsid w:val="21311468"/>
    <w:rsid w:val="23046E34"/>
    <w:rsid w:val="23307C29"/>
    <w:rsid w:val="233E667B"/>
    <w:rsid w:val="23A979DB"/>
    <w:rsid w:val="23E704BC"/>
    <w:rsid w:val="247D6B3E"/>
    <w:rsid w:val="248144B4"/>
    <w:rsid w:val="24A87C93"/>
    <w:rsid w:val="25312E6D"/>
    <w:rsid w:val="261954E8"/>
    <w:rsid w:val="261E3BA2"/>
    <w:rsid w:val="264F6F26"/>
    <w:rsid w:val="27342523"/>
    <w:rsid w:val="273852FE"/>
    <w:rsid w:val="27C6290A"/>
    <w:rsid w:val="27E3571D"/>
    <w:rsid w:val="2860342E"/>
    <w:rsid w:val="299627B0"/>
    <w:rsid w:val="29E93954"/>
    <w:rsid w:val="29EE1913"/>
    <w:rsid w:val="2B824D9A"/>
    <w:rsid w:val="2C061196"/>
    <w:rsid w:val="2C0E2AD1"/>
    <w:rsid w:val="2CAC34BC"/>
    <w:rsid w:val="2D394446"/>
    <w:rsid w:val="2D527BCC"/>
    <w:rsid w:val="2E174BB7"/>
    <w:rsid w:val="2E2C5491"/>
    <w:rsid w:val="2E3A7BAD"/>
    <w:rsid w:val="2E8C184F"/>
    <w:rsid w:val="2EF9313B"/>
    <w:rsid w:val="30F80F39"/>
    <w:rsid w:val="323F0FB3"/>
    <w:rsid w:val="32DC2F3F"/>
    <w:rsid w:val="33B25C5B"/>
    <w:rsid w:val="33D53ED4"/>
    <w:rsid w:val="341B6826"/>
    <w:rsid w:val="341F4AE3"/>
    <w:rsid w:val="3491139E"/>
    <w:rsid w:val="34BB756E"/>
    <w:rsid w:val="34DC3EF6"/>
    <w:rsid w:val="35E23668"/>
    <w:rsid w:val="363B2715"/>
    <w:rsid w:val="365B5B9A"/>
    <w:rsid w:val="389222AB"/>
    <w:rsid w:val="38A74091"/>
    <w:rsid w:val="38FB43DD"/>
    <w:rsid w:val="3A2E433E"/>
    <w:rsid w:val="3B4A38C0"/>
    <w:rsid w:val="3B6E70E8"/>
    <w:rsid w:val="3B8D2F97"/>
    <w:rsid w:val="3BFE3181"/>
    <w:rsid w:val="3C157564"/>
    <w:rsid w:val="3C9540EB"/>
    <w:rsid w:val="3CC67A15"/>
    <w:rsid w:val="3F8847ED"/>
    <w:rsid w:val="3F942E96"/>
    <w:rsid w:val="406374CB"/>
    <w:rsid w:val="40890521"/>
    <w:rsid w:val="40B21825"/>
    <w:rsid w:val="4125649B"/>
    <w:rsid w:val="419B675D"/>
    <w:rsid w:val="41CB1A73"/>
    <w:rsid w:val="42AD6748"/>
    <w:rsid w:val="43115D2A"/>
    <w:rsid w:val="433E1A96"/>
    <w:rsid w:val="44E20B80"/>
    <w:rsid w:val="45036421"/>
    <w:rsid w:val="461134C1"/>
    <w:rsid w:val="46B61D5B"/>
    <w:rsid w:val="46D22C21"/>
    <w:rsid w:val="47BB0F10"/>
    <w:rsid w:val="481E5C91"/>
    <w:rsid w:val="482F7BFF"/>
    <w:rsid w:val="4A206FEC"/>
    <w:rsid w:val="4A653DAC"/>
    <w:rsid w:val="4B3701BE"/>
    <w:rsid w:val="4B8B339F"/>
    <w:rsid w:val="4B9C78EE"/>
    <w:rsid w:val="4BB7397C"/>
    <w:rsid w:val="4C8254B4"/>
    <w:rsid w:val="4D461C73"/>
    <w:rsid w:val="4D5734C9"/>
    <w:rsid w:val="4E326830"/>
    <w:rsid w:val="4EAC6166"/>
    <w:rsid w:val="4EE110F2"/>
    <w:rsid w:val="4F4E6B42"/>
    <w:rsid w:val="50FE0AB7"/>
    <w:rsid w:val="51425658"/>
    <w:rsid w:val="51915487"/>
    <w:rsid w:val="51F003FF"/>
    <w:rsid w:val="52391DA6"/>
    <w:rsid w:val="52D0121D"/>
    <w:rsid w:val="52DA058E"/>
    <w:rsid w:val="52FC20B6"/>
    <w:rsid w:val="531A6015"/>
    <w:rsid w:val="53E911F8"/>
    <w:rsid w:val="55264138"/>
    <w:rsid w:val="555C3F21"/>
    <w:rsid w:val="55766E6E"/>
    <w:rsid w:val="55F12998"/>
    <w:rsid w:val="560F449F"/>
    <w:rsid w:val="565D1893"/>
    <w:rsid w:val="570C319C"/>
    <w:rsid w:val="575431DF"/>
    <w:rsid w:val="57875362"/>
    <w:rsid w:val="57EE29B3"/>
    <w:rsid w:val="58306356"/>
    <w:rsid w:val="58F1202F"/>
    <w:rsid w:val="58FB4231"/>
    <w:rsid w:val="598C197E"/>
    <w:rsid w:val="5BA81D4B"/>
    <w:rsid w:val="5C313919"/>
    <w:rsid w:val="5CA31CE3"/>
    <w:rsid w:val="5DD17BF4"/>
    <w:rsid w:val="5E0E19CA"/>
    <w:rsid w:val="5E5B12F6"/>
    <w:rsid w:val="5E7D126D"/>
    <w:rsid w:val="5FB011CE"/>
    <w:rsid w:val="5FE84E0C"/>
    <w:rsid w:val="5FFA67D6"/>
    <w:rsid w:val="605778E3"/>
    <w:rsid w:val="61BE00BD"/>
    <w:rsid w:val="628250A4"/>
    <w:rsid w:val="62A56FE4"/>
    <w:rsid w:val="63D7141F"/>
    <w:rsid w:val="63EB0A27"/>
    <w:rsid w:val="65C82364"/>
    <w:rsid w:val="65C854C3"/>
    <w:rsid w:val="65DF280D"/>
    <w:rsid w:val="66346B47"/>
    <w:rsid w:val="666B5DF4"/>
    <w:rsid w:val="66AB0941"/>
    <w:rsid w:val="678834BD"/>
    <w:rsid w:val="682816DB"/>
    <w:rsid w:val="69076303"/>
    <w:rsid w:val="691E2BE3"/>
    <w:rsid w:val="698B7FC2"/>
    <w:rsid w:val="6A1B5AEA"/>
    <w:rsid w:val="6ABE50E7"/>
    <w:rsid w:val="6AF13E85"/>
    <w:rsid w:val="6BFF0B24"/>
    <w:rsid w:val="6C025767"/>
    <w:rsid w:val="6C100446"/>
    <w:rsid w:val="6D3451EC"/>
    <w:rsid w:val="6E7A30D3"/>
    <w:rsid w:val="6F412AEF"/>
    <w:rsid w:val="6F62308B"/>
    <w:rsid w:val="714125CE"/>
    <w:rsid w:val="72D07765"/>
    <w:rsid w:val="74BB2697"/>
    <w:rsid w:val="74C74B98"/>
    <w:rsid w:val="74E42380"/>
    <w:rsid w:val="74E72327"/>
    <w:rsid w:val="751B4EE4"/>
    <w:rsid w:val="7524023C"/>
    <w:rsid w:val="75E5069C"/>
    <w:rsid w:val="7671300D"/>
    <w:rsid w:val="76F23CED"/>
    <w:rsid w:val="77BE6726"/>
    <w:rsid w:val="78A11CA3"/>
    <w:rsid w:val="7936053E"/>
    <w:rsid w:val="79393B8B"/>
    <w:rsid w:val="796C21B2"/>
    <w:rsid w:val="7AF70DB3"/>
    <w:rsid w:val="7B5829EE"/>
    <w:rsid w:val="7C91661E"/>
    <w:rsid w:val="7D5D18DC"/>
    <w:rsid w:val="7E2B43EA"/>
    <w:rsid w:val="7E307C52"/>
    <w:rsid w:val="7EA63A70"/>
    <w:rsid w:val="7EBE525E"/>
    <w:rsid w:val="7F517ED3"/>
    <w:rsid w:val="7FA96869"/>
    <w:rsid w:val="7FAC155A"/>
    <w:rsid w:val="7FF95CC0"/>
    <w:rsid w:val="FF5FB2B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ind w:firstLine="200" w:firstLineChars="200"/>
      <w:jc w:val="both"/>
    </w:pPr>
    <w:rPr>
      <w:rFonts w:ascii="Times New Roman" w:hAnsi="Times New Roman" w:eastAsia="仿宋" w:cs="Times New Roman"/>
      <w:kern w:val="2"/>
      <w:sz w:val="32"/>
      <w:szCs w:val="24"/>
      <w:lang w:val="en-US" w:eastAsia="zh-CN" w:bidi="ar-SA"/>
    </w:rPr>
  </w:style>
  <w:style w:type="paragraph" w:styleId="2">
    <w:name w:val="heading 1"/>
    <w:basedOn w:val="1"/>
    <w:next w:val="1"/>
    <w:link w:val="29"/>
    <w:qFormat/>
    <w:uiPriority w:val="0"/>
    <w:pPr>
      <w:keepNext/>
      <w:keepLines/>
      <w:spacing w:before="340" w:after="330" w:line="578" w:lineRule="auto"/>
      <w:ind w:firstLine="0" w:firstLineChars="0"/>
      <w:jc w:val="center"/>
      <w:outlineLvl w:val="0"/>
    </w:pPr>
    <w:rPr>
      <w:rFonts w:eastAsia="黑体"/>
      <w:bCs/>
      <w:kern w:val="44"/>
      <w:sz w:val="36"/>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Cs/>
      <w:szCs w:val="32"/>
    </w:rPr>
  </w:style>
  <w:style w:type="paragraph" w:styleId="4">
    <w:name w:val="heading 3"/>
    <w:basedOn w:val="1"/>
    <w:next w:val="1"/>
    <w:qFormat/>
    <w:uiPriority w:val="0"/>
    <w:pPr>
      <w:keepNext/>
      <w:keepLines/>
      <w:spacing w:before="120" w:after="120" w:line="415" w:lineRule="auto"/>
      <w:outlineLvl w:val="2"/>
    </w:pPr>
    <w:rPr>
      <w:b/>
      <w:bCs/>
      <w:szCs w:val="32"/>
    </w:rPr>
  </w:style>
  <w:style w:type="paragraph" w:styleId="5">
    <w:name w:val="heading 4"/>
    <w:basedOn w:val="1"/>
    <w:next w:val="1"/>
    <w:link w:val="24"/>
    <w:semiHidden/>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6">
    <w:name w:val="Document Map"/>
    <w:basedOn w:val="1"/>
    <w:link w:val="38"/>
    <w:qFormat/>
    <w:uiPriority w:val="0"/>
    <w:rPr>
      <w:rFonts w:ascii="宋体" w:eastAsia="宋体"/>
      <w:sz w:val="18"/>
      <w:szCs w:val="18"/>
    </w:rPr>
  </w:style>
  <w:style w:type="paragraph" w:styleId="7">
    <w:name w:val="annotation text"/>
    <w:basedOn w:val="1"/>
    <w:semiHidden/>
    <w:unhideWhenUsed/>
    <w:qFormat/>
    <w:uiPriority w:val="99"/>
    <w:pPr>
      <w:jc w:val="left"/>
    </w:pPr>
  </w:style>
  <w:style w:type="paragraph" w:styleId="8">
    <w:name w:val="toc 3"/>
    <w:basedOn w:val="1"/>
    <w:next w:val="1"/>
    <w:qFormat/>
    <w:uiPriority w:val="39"/>
    <w:pPr>
      <w:ind w:left="840" w:leftChars="400"/>
    </w:pPr>
  </w:style>
  <w:style w:type="paragraph" w:styleId="9">
    <w:name w:val="Balloon Text"/>
    <w:basedOn w:val="1"/>
    <w:link w:val="41"/>
    <w:qFormat/>
    <w:uiPriority w:val="0"/>
    <w:rPr>
      <w:sz w:val="18"/>
      <w:szCs w:val="18"/>
    </w:rPr>
  </w:style>
  <w:style w:type="paragraph" w:styleId="10">
    <w:name w:val="footer"/>
    <w:basedOn w:val="1"/>
    <w:link w:val="33"/>
    <w:qFormat/>
    <w:uiPriority w:val="99"/>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Subtitle"/>
    <w:basedOn w:val="1"/>
    <w:next w:val="1"/>
    <w:link w:val="23"/>
    <w:qFormat/>
    <w:uiPriority w:val="0"/>
    <w:pPr>
      <w:spacing w:before="120" w:after="120" w:line="360" w:lineRule="auto"/>
      <w:jc w:val="left"/>
      <w:outlineLvl w:val="1"/>
    </w:pPr>
    <w:rPr>
      <w:b/>
      <w:bCs/>
      <w:kern w:val="28"/>
      <w:sz w:val="28"/>
      <w:szCs w:val="32"/>
    </w:rPr>
  </w:style>
  <w:style w:type="paragraph" w:styleId="14">
    <w:name w:val="toc 2"/>
    <w:basedOn w:val="1"/>
    <w:next w:val="1"/>
    <w:qFormat/>
    <w:uiPriority w:val="39"/>
    <w:pPr>
      <w:ind w:left="420" w:leftChars="200"/>
    </w:pPr>
  </w:style>
  <w:style w:type="paragraph" w:styleId="15">
    <w:name w:val="Normal (Web)"/>
    <w:basedOn w:val="1"/>
    <w:link w:val="35"/>
    <w:qFormat/>
    <w:uiPriority w:val="0"/>
    <w:rPr>
      <w:sz w:val="24"/>
    </w:rPr>
  </w:style>
  <w:style w:type="paragraph" w:styleId="16">
    <w:name w:val="Title"/>
    <w:basedOn w:val="1"/>
    <w:next w:val="1"/>
    <w:link w:val="30"/>
    <w:qFormat/>
    <w:uiPriority w:val="0"/>
    <w:pPr>
      <w:spacing w:before="240" w:after="60"/>
      <w:jc w:val="center"/>
      <w:outlineLvl w:val="0"/>
    </w:pPr>
    <w:rPr>
      <w:rFonts w:asciiTheme="majorHAnsi" w:hAnsiTheme="majorHAnsi" w:cstheme="majorBidi"/>
      <w:b/>
      <w:bCs/>
      <w:szCs w:val="32"/>
    </w:rPr>
  </w:style>
  <w:style w:type="table" w:styleId="18">
    <w:name w:val="Table Grid"/>
    <w:basedOn w:val="1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99"/>
    <w:rPr>
      <w:color w:val="0000FF"/>
      <w:u w:val="single"/>
    </w:rPr>
  </w:style>
  <w:style w:type="character" w:customStyle="1" w:styleId="23">
    <w:name w:val="副标题 字符"/>
    <w:basedOn w:val="19"/>
    <w:link w:val="13"/>
    <w:qFormat/>
    <w:uiPriority w:val="0"/>
    <w:rPr>
      <w:b/>
      <w:bCs/>
      <w:kern w:val="28"/>
      <w:sz w:val="28"/>
      <w:szCs w:val="32"/>
    </w:rPr>
  </w:style>
  <w:style w:type="character" w:customStyle="1" w:styleId="24">
    <w:name w:val="标题 4 字符"/>
    <w:basedOn w:val="19"/>
    <w:link w:val="5"/>
    <w:semiHidden/>
    <w:qFormat/>
    <w:uiPriority w:val="0"/>
    <w:rPr>
      <w:rFonts w:asciiTheme="majorHAnsi" w:hAnsiTheme="majorHAnsi" w:eastAsiaTheme="majorEastAsia" w:cstheme="majorBidi"/>
      <w:b/>
      <w:bCs/>
      <w:kern w:val="2"/>
      <w:sz w:val="28"/>
      <w:szCs w:val="28"/>
    </w:rPr>
  </w:style>
  <w:style w:type="paragraph" w:customStyle="1" w:styleId="25">
    <w:name w:val="专栏标题"/>
    <w:basedOn w:val="15"/>
    <w:link w:val="27"/>
    <w:qFormat/>
    <w:uiPriority w:val="0"/>
    <w:pPr>
      <w:widowControl/>
      <w:spacing w:line="360" w:lineRule="auto"/>
      <w:jc w:val="center"/>
    </w:pPr>
    <w:rPr>
      <w:rFonts w:ascii="黑体" w:hAnsi="黑体" w:eastAsia="黑体" w:cs="宋体"/>
      <w:color w:val="000000"/>
      <w:kern w:val="0"/>
      <w:sz w:val="28"/>
      <w:szCs w:val="28"/>
    </w:rPr>
  </w:style>
  <w:style w:type="paragraph" w:customStyle="1" w:styleId="26">
    <w:name w:val="专栏内容"/>
    <w:basedOn w:val="15"/>
    <w:link w:val="28"/>
    <w:qFormat/>
    <w:uiPriority w:val="0"/>
    <w:pPr>
      <w:widowControl/>
      <w:jc w:val="center"/>
    </w:pPr>
    <w:rPr>
      <w:rFonts w:ascii="仿宋" w:hAnsi="仿宋" w:cs="宋体"/>
      <w:color w:val="000000"/>
      <w:kern w:val="0"/>
    </w:rPr>
  </w:style>
  <w:style w:type="character" w:customStyle="1" w:styleId="27">
    <w:name w:val="专栏标题 Char"/>
    <w:basedOn w:val="19"/>
    <w:link w:val="25"/>
    <w:qFormat/>
    <w:uiPriority w:val="0"/>
    <w:rPr>
      <w:rFonts w:ascii="黑体" w:hAnsi="黑体" w:eastAsia="黑体" w:cs="宋体"/>
      <w:color w:val="000000"/>
      <w:sz w:val="28"/>
      <w:szCs w:val="28"/>
    </w:rPr>
  </w:style>
  <w:style w:type="character" w:customStyle="1" w:styleId="28">
    <w:name w:val="专栏内容 Char"/>
    <w:basedOn w:val="19"/>
    <w:link w:val="26"/>
    <w:qFormat/>
    <w:uiPriority w:val="0"/>
    <w:rPr>
      <w:rFonts w:ascii="仿宋" w:hAnsi="仿宋" w:eastAsia="仿宋" w:cs="宋体"/>
      <w:color w:val="000000"/>
      <w:sz w:val="24"/>
      <w:szCs w:val="24"/>
    </w:rPr>
  </w:style>
  <w:style w:type="character" w:customStyle="1" w:styleId="29">
    <w:name w:val="标题 1 字符"/>
    <w:basedOn w:val="19"/>
    <w:link w:val="2"/>
    <w:qFormat/>
    <w:uiPriority w:val="0"/>
    <w:rPr>
      <w:rFonts w:eastAsia="黑体"/>
      <w:bCs/>
      <w:kern w:val="44"/>
      <w:sz w:val="36"/>
      <w:szCs w:val="44"/>
    </w:rPr>
  </w:style>
  <w:style w:type="character" w:customStyle="1" w:styleId="30">
    <w:name w:val="标题 字符"/>
    <w:basedOn w:val="19"/>
    <w:link w:val="16"/>
    <w:qFormat/>
    <w:uiPriority w:val="0"/>
    <w:rPr>
      <w:rFonts w:asciiTheme="majorHAnsi" w:hAnsiTheme="majorHAnsi" w:cstheme="majorBidi"/>
      <w:b/>
      <w:bCs/>
      <w:kern w:val="2"/>
      <w:sz w:val="32"/>
      <w:szCs w:val="32"/>
    </w:rPr>
  </w:style>
  <w:style w:type="character" w:customStyle="1" w:styleId="31">
    <w:name w:val="0正文 Char"/>
    <w:link w:val="32"/>
    <w:qFormat/>
    <w:uiPriority w:val="0"/>
    <w:rPr>
      <w:sz w:val="24"/>
      <w:szCs w:val="24"/>
    </w:rPr>
  </w:style>
  <w:style w:type="paragraph" w:customStyle="1" w:styleId="32">
    <w:name w:val="0正文"/>
    <w:basedOn w:val="1"/>
    <w:link w:val="31"/>
    <w:qFormat/>
    <w:uiPriority w:val="0"/>
    <w:pPr>
      <w:spacing w:line="360" w:lineRule="auto"/>
      <w:ind w:firstLine="480"/>
    </w:pPr>
    <w:rPr>
      <w:kern w:val="0"/>
      <w:sz w:val="24"/>
    </w:rPr>
  </w:style>
  <w:style w:type="character" w:customStyle="1" w:styleId="33">
    <w:name w:val="页脚 字符"/>
    <w:basedOn w:val="19"/>
    <w:link w:val="10"/>
    <w:qFormat/>
    <w:uiPriority w:val="99"/>
    <w:rPr>
      <w:kern w:val="2"/>
      <w:sz w:val="18"/>
      <w:szCs w:val="18"/>
    </w:rPr>
  </w:style>
  <w:style w:type="paragraph" w:styleId="34">
    <w:name w:val="List Paragraph"/>
    <w:basedOn w:val="1"/>
    <w:qFormat/>
    <w:uiPriority w:val="34"/>
    <w:pPr>
      <w:ind w:firstLine="420"/>
    </w:pPr>
  </w:style>
  <w:style w:type="character" w:customStyle="1" w:styleId="35">
    <w:name w:val="普通(网站) 字符"/>
    <w:basedOn w:val="19"/>
    <w:link w:val="15"/>
    <w:qFormat/>
    <w:uiPriority w:val="0"/>
    <w:rPr>
      <w:kern w:val="2"/>
      <w:sz w:val="24"/>
      <w:szCs w:val="24"/>
    </w:rPr>
  </w:style>
  <w:style w:type="paragraph" w:customStyle="1" w:styleId="36">
    <w:name w:val="专栏内容2"/>
    <w:basedOn w:val="26"/>
    <w:link w:val="37"/>
    <w:qFormat/>
    <w:uiPriority w:val="0"/>
    <w:pPr>
      <w:spacing w:line="360" w:lineRule="auto"/>
      <w:jc w:val="both"/>
    </w:pPr>
  </w:style>
  <w:style w:type="character" w:customStyle="1" w:styleId="37">
    <w:name w:val="专栏内容2 Char"/>
    <w:basedOn w:val="28"/>
    <w:link w:val="36"/>
    <w:qFormat/>
    <w:uiPriority w:val="0"/>
    <w:rPr>
      <w:rFonts w:ascii="仿宋" w:hAnsi="仿宋" w:eastAsia="仿宋" w:cs="宋体"/>
      <w:color w:val="000000"/>
      <w:sz w:val="24"/>
      <w:szCs w:val="24"/>
    </w:rPr>
  </w:style>
  <w:style w:type="character" w:customStyle="1" w:styleId="38">
    <w:name w:val="文档结构图 字符"/>
    <w:basedOn w:val="19"/>
    <w:link w:val="6"/>
    <w:qFormat/>
    <w:uiPriority w:val="0"/>
    <w:rPr>
      <w:rFonts w:ascii="宋体"/>
      <w:kern w:val="2"/>
      <w:sz w:val="18"/>
      <w:szCs w:val="18"/>
    </w:rPr>
  </w:style>
  <w:style w:type="paragraph" w:customStyle="1" w:styleId="39">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customStyle="1" w:styleId="40">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b/>
      <w:color w:val="366091" w:themeColor="accent1" w:themeShade="BF"/>
      <w:kern w:val="0"/>
      <w:sz w:val="28"/>
      <w:szCs w:val="28"/>
    </w:rPr>
  </w:style>
  <w:style w:type="character" w:customStyle="1" w:styleId="41">
    <w:name w:val="批注框文本 字符"/>
    <w:basedOn w:val="19"/>
    <w:link w:val="9"/>
    <w:qFormat/>
    <w:uiPriority w:val="0"/>
    <w:rPr>
      <w:rFonts w:eastAsia="仿宋"/>
      <w:kern w:val="2"/>
      <w:sz w:val="18"/>
      <w:szCs w:val="18"/>
    </w:rPr>
  </w:style>
  <w:style w:type="table" w:customStyle="1" w:styleId="42">
    <w:name w:val="网格型11"/>
    <w:basedOn w:val="17"/>
    <w:qFormat/>
    <w:uiPriority w:val="59"/>
    <w:pPr>
      <w:widowControl w:val="0"/>
      <w:jc w:val="both"/>
    </w:pPr>
    <w:rPr>
      <w:rFonts w:ascii="Calibri" w:hAnsi="Calibri"/>
    </w:rPr>
    <w:tblPr>
      <w:jc w:val="center"/>
      <w:tblBorders>
        <w:top w:val="single" w:color="auto" w:sz="6" w:space="0"/>
        <w:left w:val="single" w:color="auto" w:sz="6" w:space="0"/>
        <w:bottom w:val="single" w:color="auto" w:sz="6" w:space="0"/>
        <w:right w:val="single" w:color="auto" w:sz="6" w:space="0"/>
        <w:insideH w:val="single" w:color="auto" w:sz="2" w:space="0"/>
        <w:insideV w:val="single" w:color="auto" w:sz="2" w:space="0"/>
      </w:tblBorders>
      <w:tblCellMar>
        <w:left w:w="28" w:type="dxa"/>
        <w:right w:w="28" w:type="dxa"/>
      </w:tblCellMar>
    </w:tblPr>
    <w:trPr>
      <w:jc w:val="center"/>
    </w:trPr>
    <w:tcPr>
      <w:vAlign w:val="center"/>
    </w:tcPr>
  </w:style>
  <w:style w:type="character" w:customStyle="1" w:styleId="43">
    <w:name w:val="font01"/>
    <w:basedOn w:val="19"/>
    <w:qFormat/>
    <w:uiPriority w:val="0"/>
    <w:rPr>
      <w:rFonts w:hint="eastAsia" w:ascii="宋体" w:hAnsi="宋体" w:eastAsia="宋体" w:cs="宋体"/>
      <w:color w:val="000000"/>
      <w:sz w:val="22"/>
      <w:szCs w:val="22"/>
      <w:u w:val="none"/>
    </w:rPr>
  </w:style>
  <w:style w:type="character" w:customStyle="1" w:styleId="44">
    <w:name w:val="font11"/>
    <w:basedOn w:val="19"/>
    <w:qFormat/>
    <w:uiPriority w:val="0"/>
    <w:rPr>
      <w:rFonts w:hint="default" w:ascii="Times New Roman" w:hAnsi="Times New Roman" w:cs="Times New Roman"/>
      <w:color w:val="000000"/>
      <w:sz w:val="22"/>
      <w:szCs w:val="22"/>
      <w:u w:val="none"/>
    </w:rPr>
  </w:style>
  <w:style w:type="character" w:customStyle="1" w:styleId="45">
    <w:name w:val="font61"/>
    <w:basedOn w:val="19"/>
    <w:qFormat/>
    <w:uiPriority w:val="0"/>
    <w:rPr>
      <w:rFonts w:hint="default" w:ascii="Times New Roman" w:hAnsi="Times New Roman" w:cs="Times New Roman"/>
      <w:color w:val="000000"/>
      <w:sz w:val="21"/>
      <w:szCs w:val="21"/>
      <w:u w:val="none"/>
    </w:rPr>
  </w:style>
  <w:style w:type="paragraph" w:customStyle="1" w:styleId="46">
    <w:name w:val="Body Text First Indent 21"/>
    <w:basedOn w:val="47"/>
    <w:qFormat/>
    <w:uiPriority w:val="0"/>
    <w:pPr>
      <w:ind w:left="200" w:leftChars="200" w:firstLine="420"/>
    </w:pPr>
    <w:rPr>
      <w:rFonts w:ascii="Calibri" w:hAnsi="Calibri"/>
      <w:szCs w:val="24"/>
    </w:rPr>
  </w:style>
  <w:style w:type="paragraph" w:customStyle="1" w:styleId="47">
    <w:name w:val="Body Text Indent1"/>
    <w:basedOn w:val="1"/>
    <w:qFormat/>
    <w:uiPriority w:val="99"/>
    <w:pPr>
      <w:ind w:left="420" w:leftChars="200"/>
    </w:pPr>
    <w:rPr>
      <w:sz w:val="24"/>
    </w:rPr>
  </w:style>
  <w:style w:type="character" w:customStyle="1" w:styleId="48">
    <w:name w:val="font31"/>
    <w:basedOn w:val="1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100" textRotate="1"/>
  </customShpExts>
</s:customData>
</file>

<file path=customXml/item2.xml><?xml version="1.0" encoding="utf-8"?>
<b:Sources xmlns:b="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26FA95-5ACA-4F51-841F-5A4A022E360E}">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33</Pages>
  <Words>956</Words>
  <Characters>973</Characters>
  <Lines>158</Lines>
  <Paragraphs>44</Paragraphs>
  <TotalTime>43</TotalTime>
  <ScaleCrop>false</ScaleCrop>
  <LinksUpToDate>false</LinksUpToDate>
  <CharactersWithSpaces>1102</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2018-06-18T07:04:00Z</dcterms:created>
  <dc:creator>Sky123.Org</dc:creator>
  <cp:lastModifiedBy>huawei</cp:lastModifiedBy>
  <cp:lastPrinted>2022-09-17T01:42:00Z</cp:lastPrinted>
  <dcterms:modified xsi:type="dcterms:W3CDTF">2026-11-04T16:59:06Z</dcterms:modified>
  <dc:title>四川省沐川县矿产资源总体规划</dc:title>
  <cp:revision>801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BA1441E4CF9D4F2187E3C3527EAF04C7</vt:lpwstr>
  </property>
  <property fmtid="{D5CDD505-2E9C-101B-9397-08002B2CF9AE}" pid="4" name="KSOTemplateDocerSaveRecord">
    <vt:lpwstr>eyJoZGlkIjoiMmQ5YjU4NjA5MzRmMmNjNmZkNWNlYTM3ZWIwNDkwNzgiLCJ1c2VySWQiOiI0NTY3ODYwMjQifQ==</vt:lpwstr>
  </property>
</Properties>
</file>