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06DC3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5"/>
          <w:rFonts w:hint="default" w:ascii="Times New Roman" w:hAnsi="Times New Roman" w:eastAsia="方正小标宋简体" w:cs="Times New Roman"/>
          <w:b w:val="0"/>
          <w:bCs w:val="0"/>
          <w:i w:val="0"/>
          <w:iCs w:val="0"/>
          <w:caps w:val="0"/>
          <w:color w:val="0D0D0D"/>
          <w:spacing w:val="0"/>
          <w:sz w:val="36"/>
          <w:szCs w:val="36"/>
          <w:shd w:val="clear" w:fill="FFFFFF"/>
        </w:rPr>
      </w:pPr>
      <w:r>
        <w:rPr>
          <w:rStyle w:val="5"/>
          <w:rFonts w:hint="default" w:ascii="Times New Roman" w:hAnsi="Times New Roman" w:eastAsia="方正小标宋简体" w:cs="Times New Roman"/>
          <w:b w:val="0"/>
          <w:bCs w:val="0"/>
          <w:i w:val="0"/>
          <w:iCs w:val="0"/>
          <w:caps w:val="0"/>
          <w:color w:val="0D0D0D"/>
          <w:spacing w:val="0"/>
          <w:sz w:val="36"/>
          <w:szCs w:val="36"/>
          <w:shd w:val="clear" w:fill="FFFFFF"/>
        </w:rPr>
        <w:t>乐西高速</w:t>
      </w:r>
      <w:r>
        <w:rPr>
          <w:rStyle w:val="5"/>
          <w:rFonts w:hint="eastAsia" w:ascii="Times New Roman" w:hAnsi="Times New Roman" w:eastAsia="方正小标宋简体" w:cs="Times New Roman"/>
          <w:b w:val="0"/>
          <w:bCs w:val="0"/>
          <w:i w:val="0"/>
          <w:iCs w:val="0"/>
          <w:caps w:val="0"/>
          <w:color w:val="0D0D0D"/>
          <w:spacing w:val="0"/>
          <w:sz w:val="36"/>
          <w:szCs w:val="36"/>
          <w:shd w:val="clear" w:fill="FFFFFF"/>
          <w:lang w:val="en-US" w:eastAsia="zh-CN"/>
        </w:rPr>
        <w:t>马边至昭觉段</w:t>
      </w:r>
      <w:r>
        <w:rPr>
          <w:rStyle w:val="5"/>
          <w:rFonts w:hint="default" w:ascii="Times New Roman" w:hAnsi="Times New Roman" w:eastAsia="方正小标宋简体" w:cs="Times New Roman"/>
          <w:b w:val="0"/>
          <w:bCs w:val="0"/>
          <w:i w:val="0"/>
          <w:iCs w:val="0"/>
          <w:caps w:val="0"/>
          <w:color w:val="0D0D0D"/>
          <w:spacing w:val="0"/>
          <w:sz w:val="36"/>
          <w:szCs w:val="36"/>
          <w:shd w:val="clear" w:fill="FFFFFF"/>
        </w:rPr>
        <w:t>S1-5标</w:t>
      </w:r>
      <w:r>
        <w:rPr>
          <w:rStyle w:val="5"/>
          <w:rFonts w:hint="eastAsia" w:eastAsia="方正小标宋简体" w:cs="Times New Roman"/>
          <w:b w:val="0"/>
          <w:bCs w:val="0"/>
          <w:i w:val="0"/>
          <w:iCs w:val="0"/>
          <w:caps w:val="0"/>
          <w:color w:val="0D0D0D"/>
          <w:spacing w:val="0"/>
          <w:sz w:val="36"/>
          <w:szCs w:val="36"/>
          <w:shd w:val="clear" w:fill="FFFFFF"/>
          <w:lang w:eastAsia="zh-CN"/>
        </w:rPr>
        <w:t>临时用地</w:t>
      </w:r>
      <w:r>
        <w:rPr>
          <w:rStyle w:val="5"/>
          <w:rFonts w:hint="default" w:ascii="Times New Roman" w:hAnsi="Times New Roman" w:eastAsia="方正小标宋简体" w:cs="Times New Roman"/>
          <w:b w:val="0"/>
          <w:bCs w:val="0"/>
          <w:i w:val="0"/>
          <w:iCs w:val="0"/>
          <w:caps w:val="0"/>
          <w:color w:val="0D0D0D"/>
          <w:spacing w:val="0"/>
          <w:sz w:val="36"/>
          <w:szCs w:val="36"/>
          <w:shd w:val="clear" w:fill="FFFFFF"/>
        </w:rPr>
        <w:t>项目</w:t>
      </w:r>
      <w:bookmarkStart w:id="0" w:name="_GoBack"/>
      <w:bookmarkEnd w:id="0"/>
    </w:p>
    <w:p w14:paraId="1F0569F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5"/>
          <w:rFonts w:hint="eastAsia" w:eastAsia="方正小标宋简体" w:cs="Times New Roman"/>
          <w:b w:val="0"/>
          <w:bCs w:val="0"/>
          <w:i w:val="0"/>
          <w:iCs w:val="0"/>
          <w:caps w:val="0"/>
          <w:color w:val="0D0D0D"/>
          <w:spacing w:val="0"/>
          <w:sz w:val="36"/>
          <w:szCs w:val="36"/>
          <w:shd w:val="clear" w:fill="FFFFFF"/>
          <w:lang w:eastAsia="zh-CN"/>
        </w:rPr>
      </w:pPr>
      <w:r>
        <w:rPr>
          <w:rStyle w:val="5"/>
          <w:rFonts w:hint="default" w:ascii="Times New Roman" w:hAnsi="Times New Roman" w:eastAsia="方正小标宋简体" w:cs="Times New Roman"/>
          <w:b w:val="0"/>
          <w:bCs w:val="0"/>
          <w:i w:val="0"/>
          <w:iCs w:val="0"/>
          <w:caps w:val="0"/>
          <w:color w:val="0D0D0D"/>
          <w:spacing w:val="0"/>
          <w:sz w:val="36"/>
          <w:szCs w:val="36"/>
          <w:shd w:val="clear" w:fill="FFFFFF"/>
        </w:rPr>
        <w:t>土地复垦</w:t>
      </w:r>
      <w:r>
        <w:rPr>
          <w:rStyle w:val="5"/>
          <w:rFonts w:hint="eastAsia" w:eastAsia="方正小标宋简体" w:cs="Times New Roman"/>
          <w:b w:val="0"/>
          <w:bCs w:val="0"/>
          <w:i w:val="0"/>
          <w:iCs w:val="0"/>
          <w:caps w:val="0"/>
          <w:color w:val="0D0D0D"/>
          <w:spacing w:val="0"/>
          <w:sz w:val="36"/>
          <w:szCs w:val="36"/>
          <w:shd w:val="clear" w:fill="FFFFFF"/>
          <w:lang w:eastAsia="zh-CN"/>
        </w:rPr>
        <w:t>情况报告</w:t>
      </w:r>
    </w:p>
    <w:p w14:paraId="2208F74C">
      <w:pPr>
        <w:pStyle w:val="2"/>
        <w:rPr>
          <w:rFonts w:hint="default"/>
        </w:rPr>
      </w:pPr>
    </w:p>
    <w:p w14:paraId="47F4A568">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bCs/>
          <w:i w:val="0"/>
          <w:iCs w:val="0"/>
          <w:caps w:val="0"/>
          <w:color w:val="0D0D0D"/>
          <w:spacing w:val="0"/>
          <w:sz w:val="30"/>
          <w:szCs w:val="30"/>
          <w:shd w:val="clear" w:fill="FFFFFF"/>
          <w:lang w:eastAsia="zh-CN"/>
        </w:rPr>
      </w:pPr>
      <w:r>
        <w:rPr>
          <w:rFonts w:hint="eastAsia" w:eastAsia="仿宋_GB2312" w:cs="Times New Roman"/>
          <w:b/>
          <w:bCs/>
          <w:i w:val="0"/>
          <w:iCs w:val="0"/>
          <w:caps w:val="0"/>
          <w:color w:val="0D0D0D"/>
          <w:spacing w:val="0"/>
          <w:sz w:val="30"/>
          <w:szCs w:val="30"/>
          <w:shd w:val="clear" w:fill="FFFFFF"/>
          <w:lang w:eastAsia="zh-CN"/>
        </w:rPr>
        <w:t>一、基本情况</w:t>
      </w:r>
    </w:p>
    <w:p w14:paraId="48E2AD04">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00" w:firstLineChars="200"/>
        <w:textAlignment w:val="auto"/>
        <w:rPr>
          <w:rFonts w:hint="eastAsia"/>
          <w:lang w:eastAsia="zh-CN"/>
        </w:rPr>
      </w:pPr>
      <w:r>
        <w:rPr>
          <w:rFonts w:hint="eastAsia" w:ascii="Times New Roman" w:hAnsi="Times New Roman" w:eastAsia="仿宋_GB2312" w:cs="Times New Roman"/>
          <w:i w:val="0"/>
          <w:iCs w:val="0"/>
          <w:caps w:val="0"/>
          <w:color w:val="0D0D0D"/>
          <w:spacing w:val="0"/>
          <w:sz w:val="30"/>
          <w:szCs w:val="30"/>
          <w:shd w:val="clear" w:fill="FFFFFF"/>
          <w:lang w:eastAsia="zh-CN"/>
        </w:rPr>
        <w:t>乐西</w:t>
      </w:r>
      <w:r>
        <w:rPr>
          <w:rFonts w:hint="eastAsia" w:eastAsia="仿宋_GB2312" w:cs="Times New Roman"/>
          <w:i w:val="0"/>
          <w:iCs w:val="0"/>
          <w:caps w:val="0"/>
          <w:color w:val="0D0D0D"/>
          <w:spacing w:val="0"/>
          <w:sz w:val="30"/>
          <w:szCs w:val="30"/>
          <w:shd w:val="clear" w:fill="FFFFFF"/>
          <w:lang w:eastAsia="zh-CN"/>
        </w:rPr>
        <w:t>高速</w:t>
      </w:r>
      <w:r>
        <w:rPr>
          <w:rFonts w:hint="eastAsia" w:eastAsia="仿宋_GB2312" w:cs="Times New Roman"/>
          <w:i w:val="0"/>
          <w:iCs w:val="0"/>
          <w:caps w:val="0"/>
          <w:color w:val="0D0D0D"/>
          <w:spacing w:val="0"/>
          <w:sz w:val="30"/>
          <w:szCs w:val="30"/>
          <w:shd w:val="clear" w:fill="FFFFFF"/>
          <w:lang w:val="en-US" w:eastAsia="zh-CN"/>
        </w:rPr>
        <w:t>马边至昭觉段S1-5标临时用地项目位于马边彝族自治县高卓营乡大河坝村4组、5组，占农村集体土地4.2595公顷，包含：耕地0公顷（永久基本农田0公顷）、非耕地1.1575公顷（林地0.8748公顷、农村道路0.2827公顷），建设用地3.0460公顷，未利用地0.0560公顷，用于项目临时驻地、民工临时驻地、拌合站及钢筋加工厂等。</w:t>
      </w:r>
    </w:p>
    <w:p w14:paraId="0CA139CD">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bCs/>
          <w:i w:val="0"/>
          <w:iCs w:val="0"/>
          <w:caps w:val="0"/>
          <w:color w:val="0D0D0D"/>
          <w:spacing w:val="0"/>
          <w:sz w:val="30"/>
          <w:szCs w:val="30"/>
          <w:shd w:val="clear" w:fill="FFFFFF"/>
          <w:lang w:eastAsia="zh-CN"/>
        </w:rPr>
      </w:pPr>
      <w:r>
        <w:rPr>
          <w:rFonts w:hint="eastAsia" w:eastAsia="仿宋_GB2312" w:cs="Times New Roman"/>
          <w:b/>
          <w:bCs/>
          <w:i w:val="0"/>
          <w:iCs w:val="0"/>
          <w:caps w:val="0"/>
          <w:color w:val="0D0D0D"/>
          <w:spacing w:val="0"/>
          <w:sz w:val="30"/>
          <w:szCs w:val="30"/>
          <w:shd w:val="clear" w:fill="FFFFFF"/>
          <w:lang w:eastAsia="zh-CN"/>
        </w:rPr>
        <w:t>二、复垦情况</w:t>
      </w:r>
    </w:p>
    <w:p w14:paraId="1FA55E49">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eastAsia="仿宋_GB2312" w:cs="Times New Roman"/>
          <w:i w:val="0"/>
          <w:iCs w:val="0"/>
          <w:caps w:val="0"/>
          <w:color w:val="0D0D0D"/>
          <w:spacing w:val="0"/>
          <w:sz w:val="30"/>
          <w:szCs w:val="30"/>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1.地块一 路基队驻地</w:t>
      </w:r>
    </w:p>
    <w:p w14:paraId="2196CA19">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0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项目原地类包括乔木林地0.0246公顷，公路用地0.0121公顷，农村道路0.0015公顷，共占地0.0367公顷。按复垦方案复垦为乔木林地。实际复垦为乔木林地0.0367公顷。现状如下：</w:t>
      </w:r>
    </w:p>
    <w:p w14:paraId="7DEBF92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sz w:val="30"/>
          <w:szCs w:val="30"/>
          <w:lang w:val="en-US" w:eastAsia="zh-CN"/>
        </w:rPr>
      </w:pPr>
      <w:r>
        <w:drawing>
          <wp:inline distT="0" distB="0" distL="114300" distR="114300">
            <wp:extent cx="5545455" cy="3165475"/>
            <wp:effectExtent l="0" t="0" r="17145" b="158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5545455" cy="3165475"/>
                    </a:xfrm>
                    <a:prstGeom prst="rect">
                      <a:avLst/>
                    </a:prstGeom>
                    <a:noFill/>
                    <a:ln>
                      <a:noFill/>
                    </a:ln>
                  </pic:spPr>
                </pic:pic>
              </a:graphicData>
            </a:graphic>
          </wp:inline>
        </w:drawing>
      </w:r>
    </w:p>
    <w:p w14:paraId="714894A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sz w:val="30"/>
          <w:szCs w:val="30"/>
          <w:lang w:val="en-US" w:eastAsia="zh-CN"/>
        </w:rPr>
      </w:pPr>
      <w:r>
        <w:rPr>
          <w:rFonts w:hint="eastAsia"/>
          <w:sz w:val="30"/>
          <w:szCs w:val="30"/>
          <w:lang w:val="en-US" w:eastAsia="zh-CN"/>
        </w:rPr>
        <w:t>2.地块二 临时拌合站</w:t>
      </w:r>
    </w:p>
    <w:p w14:paraId="20FD0177">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00" w:firstLineChars="200"/>
        <w:textAlignment w:val="auto"/>
        <w:rPr>
          <w:rFonts w:hint="eastAsia" w:eastAsia="仿宋_GB2312" w:cs="Times New Roman"/>
          <w:i w:val="0"/>
          <w:iCs w:val="0"/>
          <w:caps w:val="0"/>
          <w:color w:val="0D0D0D"/>
          <w:spacing w:val="0"/>
          <w:sz w:val="30"/>
          <w:szCs w:val="30"/>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项目原地类包括乔木林地0.1159公顷，灌木林地0.0116公顷，公路用地0.0091公顷，共占地0.1366公顷。按复垦方案复垦为乔木林地。实际复垦为乔木林地0.1366公顷。现状如下：</w:t>
      </w:r>
    </w:p>
    <w:p w14:paraId="0EB6D58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lang w:val="en-US" w:eastAsia="zh-CN"/>
        </w:rPr>
      </w:pPr>
      <w:r>
        <w:drawing>
          <wp:inline distT="0" distB="0" distL="114300" distR="114300">
            <wp:extent cx="5608320" cy="2511425"/>
            <wp:effectExtent l="0" t="0" r="11430" b="317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
                    <a:stretch>
                      <a:fillRect/>
                    </a:stretch>
                  </pic:blipFill>
                  <pic:spPr>
                    <a:xfrm>
                      <a:off x="0" y="0"/>
                      <a:ext cx="5608320" cy="2511425"/>
                    </a:xfrm>
                    <a:prstGeom prst="rect">
                      <a:avLst/>
                    </a:prstGeom>
                    <a:noFill/>
                    <a:ln>
                      <a:noFill/>
                    </a:ln>
                  </pic:spPr>
                </pic:pic>
              </a:graphicData>
            </a:graphic>
          </wp:inline>
        </w:drawing>
      </w:r>
    </w:p>
    <w:p w14:paraId="60A2F791">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3.地块三 14号弃土场</w:t>
      </w:r>
    </w:p>
    <w:p w14:paraId="020C42BF">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00" w:firstLineChars="200"/>
        <w:textAlignment w:val="auto"/>
        <w:rPr>
          <w:rFonts w:hint="eastAsia" w:eastAsia="仿宋_GB2312" w:cs="Times New Roman"/>
          <w:i w:val="0"/>
          <w:iCs w:val="0"/>
          <w:caps w:val="0"/>
          <w:color w:val="0D0D0D"/>
          <w:spacing w:val="0"/>
          <w:sz w:val="30"/>
          <w:szCs w:val="30"/>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项目原地类包括乔木林地0.4286公顷，其他林地0.0421公顷，公路用地0.1521公顷，农村道路0.1348公顷，河流水面0.0560公顷，共占地0.8136公顷。按复垦方案复垦为乔木林地，河流水面。实际复垦为乔木林地0.7575公顷，河流水面0.0560公顷。现状如下：</w:t>
      </w:r>
    </w:p>
    <w:p w14:paraId="2C71A535">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lang w:val="en-US" w:eastAsia="zh-CN"/>
        </w:rPr>
      </w:pPr>
      <w:r>
        <w:drawing>
          <wp:inline distT="0" distB="0" distL="114300" distR="114300">
            <wp:extent cx="5521325" cy="2342515"/>
            <wp:effectExtent l="0" t="0" r="3175" b="63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6"/>
                    <a:stretch>
                      <a:fillRect/>
                    </a:stretch>
                  </pic:blipFill>
                  <pic:spPr>
                    <a:xfrm>
                      <a:off x="0" y="0"/>
                      <a:ext cx="5521325" cy="2342515"/>
                    </a:xfrm>
                    <a:prstGeom prst="rect">
                      <a:avLst/>
                    </a:prstGeom>
                    <a:noFill/>
                    <a:ln>
                      <a:noFill/>
                    </a:ln>
                  </pic:spPr>
                </pic:pic>
              </a:graphicData>
            </a:graphic>
          </wp:inline>
        </w:drawing>
      </w:r>
    </w:p>
    <w:p w14:paraId="1545D43A">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val="0"/>
          <w:bCs w:val="0"/>
          <w:i w:val="0"/>
          <w:iCs w:val="0"/>
          <w:caps w:val="0"/>
          <w:color w:val="0D0D0D"/>
          <w:spacing w:val="0"/>
          <w:sz w:val="32"/>
          <w:szCs w:val="32"/>
          <w:shd w:val="clear" w:fill="FFFFFF"/>
          <w:lang w:val="en-US" w:eastAsia="zh-CN"/>
        </w:rPr>
      </w:pPr>
    </w:p>
    <w:p w14:paraId="1337C452">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default"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4.地块四 小凉山1号喷混站</w:t>
      </w:r>
    </w:p>
    <w:p w14:paraId="26BB5310">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00" w:firstLineChars="200"/>
        <w:textAlignment w:val="auto"/>
        <w:rPr>
          <w:rFonts w:hint="eastAsia" w:eastAsia="仿宋_GB2312" w:cs="Times New Roman"/>
          <w:i w:val="0"/>
          <w:iCs w:val="0"/>
          <w:caps w:val="0"/>
          <w:color w:val="0D0D0D"/>
          <w:spacing w:val="0"/>
          <w:sz w:val="30"/>
          <w:szCs w:val="30"/>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项目原地类包括其他林地0.1113公顷，公路用地0.0621公顷，共占地0.1734公顷。按复垦方案复垦为其他林地。实际复垦为其他林地0.1734公顷。现状如下：</w:t>
      </w:r>
    </w:p>
    <w:p w14:paraId="519E4A5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lang w:val="en-US" w:eastAsia="zh-CN"/>
        </w:rPr>
      </w:pPr>
      <w:r>
        <w:drawing>
          <wp:inline distT="0" distB="0" distL="114300" distR="114300">
            <wp:extent cx="5606415" cy="2690495"/>
            <wp:effectExtent l="0" t="0" r="13335" b="1460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7"/>
                    <a:stretch>
                      <a:fillRect/>
                    </a:stretch>
                  </pic:blipFill>
                  <pic:spPr>
                    <a:xfrm>
                      <a:off x="0" y="0"/>
                      <a:ext cx="5606415" cy="2690495"/>
                    </a:xfrm>
                    <a:prstGeom prst="rect">
                      <a:avLst/>
                    </a:prstGeom>
                    <a:noFill/>
                    <a:ln>
                      <a:noFill/>
                    </a:ln>
                  </pic:spPr>
                </pic:pic>
              </a:graphicData>
            </a:graphic>
          </wp:inline>
        </w:drawing>
      </w:r>
    </w:p>
    <w:p w14:paraId="7A8591F9">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5.地块五 小凉山2号拌合站及钢筋加工厂</w:t>
      </w:r>
    </w:p>
    <w:p w14:paraId="39957AC0">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00" w:firstLineChars="200"/>
        <w:textAlignment w:val="auto"/>
        <w:rPr>
          <w:rFonts w:hint="eastAsia" w:eastAsia="仿宋_GB2312" w:cs="Times New Roman"/>
          <w:i w:val="0"/>
          <w:iCs w:val="0"/>
          <w:caps w:val="0"/>
          <w:color w:val="0D0D0D"/>
          <w:spacing w:val="0"/>
          <w:sz w:val="30"/>
          <w:szCs w:val="30"/>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项目原地类包括乔木林地0.0169公顷，公路用地0.5216公顷，共占地0.5385公顷。按复垦方案复垦为乔木林地。实际复垦为乔木林地0.5385公顷。现状如下：</w:t>
      </w:r>
    </w:p>
    <w:p w14:paraId="430B099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lang w:val="en-US" w:eastAsia="zh-CN"/>
        </w:rPr>
      </w:pPr>
      <w:r>
        <w:drawing>
          <wp:inline distT="0" distB="0" distL="114300" distR="114300">
            <wp:extent cx="5611495" cy="2781935"/>
            <wp:effectExtent l="0" t="0" r="8255" b="1841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8"/>
                    <a:stretch>
                      <a:fillRect/>
                    </a:stretch>
                  </pic:blipFill>
                  <pic:spPr>
                    <a:xfrm>
                      <a:off x="0" y="0"/>
                      <a:ext cx="5611495" cy="2781935"/>
                    </a:xfrm>
                    <a:prstGeom prst="rect">
                      <a:avLst/>
                    </a:prstGeom>
                    <a:noFill/>
                    <a:ln>
                      <a:noFill/>
                    </a:ln>
                  </pic:spPr>
                </pic:pic>
              </a:graphicData>
            </a:graphic>
          </wp:inline>
        </w:drawing>
      </w:r>
    </w:p>
    <w:p w14:paraId="238D4C2B">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6.地块六 炸药库驻地</w:t>
      </w:r>
    </w:p>
    <w:p w14:paraId="1A1737B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00" w:firstLineChars="200"/>
        <w:textAlignment w:val="auto"/>
        <w:rPr>
          <w:rFonts w:hint="eastAsia" w:eastAsia="仿宋_GB2312" w:cs="Times New Roman"/>
          <w:i w:val="0"/>
          <w:iCs w:val="0"/>
          <w:caps w:val="0"/>
          <w:color w:val="0D0D0D"/>
          <w:spacing w:val="0"/>
          <w:sz w:val="30"/>
          <w:szCs w:val="30"/>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项目原地类为乔木林地0.0091公顷。按复垦方案复垦为乔木林地0.0091公顷。实际复垦为乔木林地0.0091公顷。现状如下：</w:t>
      </w:r>
    </w:p>
    <w:p w14:paraId="201F1A69">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lang w:eastAsia="zh-CN"/>
        </w:rPr>
      </w:pPr>
      <w:r>
        <w:drawing>
          <wp:inline distT="0" distB="0" distL="114300" distR="114300">
            <wp:extent cx="5606415" cy="2961640"/>
            <wp:effectExtent l="0" t="0" r="13335" b="1016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9"/>
                    <a:stretch>
                      <a:fillRect/>
                    </a:stretch>
                  </pic:blipFill>
                  <pic:spPr>
                    <a:xfrm>
                      <a:off x="0" y="0"/>
                      <a:ext cx="5606415" cy="2961640"/>
                    </a:xfrm>
                    <a:prstGeom prst="rect">
                      <a:avLst/>
                    </a:prstGeom>
                    <a:noFill/>
                    <a:ln>
                      <a:noFill/>
                    </a:ln>
                  </pic:spPr>
                </pic:pic>
              </a:graphicData>
            </a:graphic>
          </wp:inline>
        </w:drawing>
      </w:r>
    </w:p>
    <w:p w14:paraId="7FC96102">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7.地块七 五彝湾隧道喷混站</w:t>
      </w:r>
    </w:p>
    <w:p w14:paraId="208C584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00" w:firstLineChars="200"/>
        <w:textAlignment w:val="auto"/>
        <w:rPr>
          <w:rFonts w:hint="eastAsia" w:eastAsia="仿宋_GB2312" w:cs="Times New Roman"/>
          <w:i w:val="0"/>
          <w:iCs w:val="0"/>
          <w:caps w:val="0"/>
          <w:color w:val="0D0D0D"/>
          <w:spacing w:val="0"/>
          <w:sz w:val="30"/>
          <w:szCs w:val="30"/>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项目原地类包括乔木林地0.0030公顷，公路用地0.1236公顷，共占地0.1266公顷。按复垦方案复垦为乔木林地。实际复垦为乔木林地0.1266公顷。现状如下：</w:t>
      </w:r>
    </w:p>
    <w:p w14:paraId="1A257554">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lang w:eastAsia="zh-CN"/>
        </w:rPr>
      </w:pPr>
      <w:r>
        <w:drawing>
          <wp:inline distT="0" distB="0" distL="114300" distR="114300">
            <wp:extent cx="5611495" cy="2471420"/>
            <wp:effectExtent l="0" t="0" r="8255" b="508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0"/>
                    <a:stretch>
                      <a:fillRect/>
                    </a:stretch>
                  </pic:blipFill>
                  <pic:spPr>
                    <a:xfrm>
                      <a:off x="0" y="0"/>
                      <a:ext cx="5611495" cy="2471420"/>
                    </a:xfrm>
                    <a:prstGeom prst="rect">
                      <a:avLst/>
                    </a:prstGeom>
                    <a:noFill/>
                    <a:ln>
                      <a:noFill/>
                    </a:ln>
                  </pic:spPr>
                </pic:pic>
              </a:graphicData>
            </a:graphic>
          </wp:inline>
        </w:drawing>
      </w:r>
    </w:p>
    <w:p w14:paraId="5F1685C1">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val="0"/>
          <w:bCs w:val="0"/>
          <w:i w:val="0"/>
          <w:iCs w:val="0"/>
          <w:caps w:val="0"/>
          <w:color w:val="0D0D0D"/>
          <w:spacing w:val="0"/>
          <w:sz w:val="32"/>
          <w:szCs w:val="32"/>
          <w:shd w:val="clear" w:fill="FFFFFF"/>
          <w:lang w:val="en-US" w:eastAsia="zh-CN"/>
        </w:rPr>
      </w:pPr>
    </w:p>
    <w:p w14:paraId="6E52496A">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8.地块八 炸药库用地</w:t>
      </w:r>
    </w:p>
    <w:p w14:paraId="5D581FB2">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00" w:firstLineChars="200"/>
        <w:textAlignment w:val="auto"/>
        <w:rPr>
          <w:rFonts w:hint="eastAsia" w:eastAsia="仿宋_GB2312" w:cs="Times New Roman"/>
          <w:i w:val="0"/>
          <w:iCs w:val="0"/>
          <w:caps w:val="0"/>
          <w:color w:val="0D0D0D"/>
          <w:spacing w:val="0"/>
          <w:sz w:val="30"/>
          <w:szCs w:val="30"/>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项目原地类包括乔木林地0.0274公顷，物流仓储用地0.1892公顷，共占地0.2166公顷。按复垦方案复垦为乔木林地。实际复垦为乔木林地0.2166公顷。现状如下：</w:t>
      </w:r>
    </w:p>
    <w:p w14:paraId="4A78B0DC">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lang w:val="en-US" w:eastAsia="zh-CN"/>
        </w:rPr>
      </w:pPr>
      <w:r>
        <w:drawing>
          <wp:inline distT="0" distB="0" distL="114300" distR="114300">
            <wp:extent cx="5606415" cy="2922270"/>
            <wp:effectExtent l="0" t="0" r="13335" b="1143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1"/>
                    <a:stretch>
                      <a:fillRect/>
                    </a:stretch>
                  </pic:blipFill>
                  <pic:spPr>
                    <a:xfrm>
                      <a:off x="0" y="0"/>
                      <a:ext cx="5606415" cy="2922270"/>
                    </a:xfrm>
                    <a:prstGeom prst="rect">
                      <a:avLst/>
                    </a:prstGeom>
                    <a:noFill/>
                    <a:ln>
                      <a:noFill/>
                    </a:ln>
                  </pic:spPr>
                </pic:pic>
              </a:graphicData>
            </a:graphic>
          </wp:inline>
        </w:drawing>
      </w:r>
    </w:p>
    <w:p w14:paraId="3DFC7068">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9.地块九 一号拌合站、钢筋加工厂、碎石加工厂</w:t>
      </w:r>
    </w:p>
    <w:p w14:paraId="2A9419B6">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00" w:firstLineChars="200"/>
        <w:textAlignment w:val="auto"/>
        <w:rPr>
          <w:rFonts w:hint="eastAsia" w:eastAsia="仿宋_GB2312" w:cs="Times New Roman"/>
          <w:i w:val="0"/>
          <w:iCs w:val="0"/>
          <w:caps w:val="0"/>
          <w:color w:val="0D0D0D"/>
          <w:spacing w:val="0"/>
          <w:sz w:val="30"/>
          <w:szCs w:val="30"/>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项目原地类包括乔木林地0.0252公顷，公路用地1.3535公顷，农村道路0.1286公顷，共占地1.5074公顷。按复垦方案复垦为乔木林地。实际复垦为乔木林地1.5074公顷。现状如下：</w:t>
      </w:r>
    </w:p>
    <w:p w14:paraId="3DC6696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lang w:val="en-US" w:eastAsia="zh-CN"/>
        </w:rPr>
      </w:pPr>
      <w:r>
        <w:drawing>
          <wp:inline distT="0" distB="0" distL="114300" distR="114300">
            <wp:extent cx="5606415" cy="2372995"/>
            <wp:effectExtent l="0" t="0" r="13335" b="8255"/>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12"/>
                    <a:stretch>
                      <a:fillRect/>
                    </a:stretch>
                  </pic:blipFill>
                  <pic:spPr>
                    <a:xfrm>
                      <a:off x="0" y="0"/>
                      <a:ext cx="5606415" cy="2372995"/>
                    </a:xfrm>
                    <a:prstGeom prst="rect">
                      <a:avLst/>
                    </a:prstGeom>
                    <a:noFill/>
                    <a:ln>
                      <a:noFill/>
                    </a:ln>
                  </pic:spPr>
                </pic:pic>
              </a:graphicData>
            </a:graphic>
          </wp:inline>
        </w:drawing>
      </w:r>
    </w:p>
    <w:p w14:paraId="0F29CAE6">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10.地块十 五彝湾钢筋加工厂用地</w:t>
      </w:r>
    </w:p>
    <w:p w14:paraId="732F5D1A">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00" w:firstLineChars="200"/>
        <w:textAlignment w:val="auto"/>
        <w:rPr>
          <w:rFonts w:hint="eastAsia" w:eastAsia="仿宋_GB2312" w:cs="Times New Roman"/>
          <w:i w:val="0"/>
          <w:iCs w:val="0"/>
          <w:caps w:val="0"/>
          <w:color w:val="0D0D0D"/>
          <w:spacing w:val="0"/>
          <w:sz w:val="30"/>
          <w:szCs w:val="30"/>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项目原地类包括乔木林地0.0001公顷，公路用地0.0939公顷，共占地0.0940公顷。按复垦方案复垦为乔木林地。实际复垦为乔木林地0.0940公顷。现状如下：</w:t>
      </w:r>
    </w:p>
    <w:p w14:paraId="67D6894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lang w:eastAsia="zh-CN"/>
        </w:rPr>
      </w:pPr>
      <w:r>
        <w:drawing>
          <wp:inline distT="0" distB="0" distL="114300" distR="114300">
            <wp:extent cx="5606415" cy="2595880"/>
            <wp:effectExtent l="0" t="0" r="13335" b="13970"/>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icPr>
                  <pic:blipFill>
                    <a:blip r:embed="rId13"/>
                    <a:stretch>
                      <a:fillRect/>
                    </a:stretch>
                  </pic:blipFill>
                  <pic:spPr>
                    <a:xfrm>
                      <a:off x="0" y="0"/>
                      <a:ext cx="5606415" cy="2595880"/>
                    </a:xfrm>
                    <a:prstGeom prst="rect">
                      <a:avLst/>
                    </a:prstGeom>
                    <a:noFill/>
                    <a:ln>
                      <a:noFill/>
                    </a:ln>
                  </pic:spPr>
                </pic:pic>
              </a:graphicData>
            </a:graphic>
          </wp:inline>
        </w:drawing>
      </w:r>
    </w:p>
    <w:p w14:paraId="514D0D00">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11.地块十一 小凉山2号隧道驻地</w:t>
      </w:r>
    </w:p>
    <w:p w14:paraId="1DD13D54">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00" w:firstLineChars="200"/>
        <w:textAlignment w:val="auto"/>
        <w:rPr>
          <w:rFonts w:hint="eastAsia" w:eastAsia="仿宋_GB2312" w:cs="Times New Roman"/>
          <w:i w:val="0"/>
          <w:iCs w:val="0"/>
          <w:caps w:val="0"/>
          <w:color w:val="0D0D0D"/>
          <w:spacing w:val="0"/>
          <w:sz w:val="30"/>
          <w:szCs w:val="30"/>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项目原地类包括乔木林地0.0501公顷，公路用地0.2542公顷，共占地0.3043顷。按复垦方案复垦为乔木林地。实际复垦为乔木林地0.3043公顷。现状如下：</w:t>
      </w:r>
    </w:p>
    <w:p w14:paraId="6283E7E6">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lang w:val="en-US" w:eastAsia="zh-CN"/>
        </w:rPr>
      </w:pPr>
      <w:r>
        <w:drawing>
          <wp:inline distT="0" distB="0" distL="114300" distR="114300">
            <wp:extent cx="5616575" cy="2729865"/>
            <wp:effectExtent l="0" t="0" r="3175" b="13335"/>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14"/>
                    <a:stretch>
                      <a:fillRect/>
                    </a:stretch>
                  </pic:blipFill>
                  <pic:spPr>
                    <a:xfrm>
                      <a:off x="0" y="0"/>
                      <a:ext cx="5616575" cy="2729865"/>
                    </a:xfrm>
                    <a:prstGeom prst="rect">
                      <a:avLst/>
                    </a:prstGeom>
                    <a:noFill/>
                    <a:ln>
                      <a:noFill/>
                    </a:ln>
                  </pic:spPr>
                </pic:pic>
              </a:graphicData>
            </a:graphic>
          </wp:inline>
        </w:drawing>
      </w:r>
    </w:p>
    <w:p w14:paraId="443D39C2">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12.地块十二 项目部驻地</w:t>
      </w:r>
    </w:p>
    <w:p w14:paraId="51332F2C">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00" w:firstLineChars="200"/>
        <w:textAlignment w:val="auto"/>
        <w:rPr>
          <w:rFonts w:hint="eastAsia" w:eastAsia="仿宋_GB2312" w:cs="Times New Roman"/>
          <w:i w:val="0"/>
          <w:iCs w:val="0"/>
          <w:caps w:val="0"/>
          <w:color w:val="0D0D0D"/>
          <w:spacing w:val="0"/>
          <w:sz w:val="30"/>
          <w:szCs w:val="30"/>
          <w:shd w:val="clear" w:fill="FFFFFF"/>
          <w:lang w:val="en-US" w:eastAsia="zh-CN"/>
        </w:rPr>
      </w:pPr>
      <w:r>
        <w:rPr>
          <w:rFonts w:hint="eastAsia" w:eastAsia="仿宋_GB2312" w:cs="Times New Roman"/>
          <w:i w:val="0"/>
          <w:iCs w:val="0"/>
          <w:caps w:val="0"/>
          <w:color w:val="0D0D0D"/>
          <w:spacing w:val="0"/>
          <w:sz w:val="30"/>
          <w:szCs w:val="30"/>
          <w:shd w:val="clear" w:fill="FFFFFF"/>
          <w:lang w:val="en-US" w:eastAsia="zh-CN"/>
        </w:rPr>
        <w:t>项目原地类包括乔木林地0.0090公顷，公路用地0.2760公顷，农村道路0.0179顷，共占地。按复垦方案复垦为旱地。实际复垦为旱地0.3029公顷。现状如下：</w:t>
      </w:r>
    </w:p>
    <w:p w14:paraId="5C3835C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eastAsia="仿宋_GB2312" w:cs="Times New Roman"/>
          <w:b/>
          <w:bCs/>
          <w:i w:val="0"/>
          <w:iCs w:val="0"/>
          <w:caps w:val="0"/>
          <w:color w:val="0D0D0D"/>
          <w:spacing w:val="0"/>
          <w:sz w:val="32"/>
          <w:szCs w:val="32"/>
          <w:shd w:val="clear" w:fill="FFFFFF"/>
          <w:lang w:eastAsia="zh-CN"/>
        </w:rPr>
      </w:pPr>
      <w:r>
        <w:drawing>
          <wp:inline distT="0" distB="0" distL="114300" distR="114300">
            <wp:extent cx="5616575" cy="2120265"/>
            <wp:effectExtent l="0" t="0" r="3175" b="13335"/>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pic:cNvPicPr>
                      <a:picLocks noChangeAspect="1"/>
                    </pic:cNvPicPr>
                  </pic:nvPicPr>
                  <pic:blipFill>
                    <a:blip r:embed="rId15"/>
                    <a:stretch>
                      <a:fillRect/>
                    </a:stretch>
                  </pic:blipFill>
                  <pic:spPr>
                    <a:xfrm>
                      <a:off x="0" y="0"/>
                      <a:ext cx="5616575" cy="2120265"/>
                    </a:xfrm>
                    <a:prstGeom prst="rect">
                      <a:avLst/>
                    </a:prstGeom>
                    <a:noFill/>
                    <a:ln>
                      <a:noFill/>
                    </a:ln>
                  </pic:spPr>
                </pic:pic>
              </a:graphicData>
            </a:graphic>
          </wp:inline>
        </w:drawing>
      </w:r>
    </w:p>
    <w:p w14:paraId="0A80DC49">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Times New Roman" w:hAnsi="Times New Roman" w:eastAsia="仿宋_GB2312" w:cs="Times New Roman"/>
          <w:i w:val="0"/>
          <w:iCs w:val="0"/>
          <w:caps w:val="0"/>
          <w:color w:val="0D0D0D"/>
          <w:spacing w:val="0"/>
          <w:kern w:val="2"/>
          <w:sz w:val="30"/>
          <w:szCs w:val="30"/>
          <w:shd w:val="clear" w:fill="FFFFFF"/>
          <w:lang w:val="en-US" w:eastAsia="zh-CN" w:bidi="ar-SA"/>
        </w:rPr>
      </w:pPr>
      <w:r>
        <w:rPr>
          <w:rFonts w:hint="eastAsia" w:ascii="Times New Roman" w:hAnsi="Times New Roman" w:eastAsia="仿宋_GB2312" w:cs="Times New Roman"/>
          <w:i w:val="0"/>
          <w:iCs w:val="0"/>
          <w:caps w:val="0"/>
          <w:color w:val="0D0D0D"/>
          <w:spacing w:val="0"/>
          <w:kern w:val="2"/>
          <w:sz w:val="30"/>
          <w:szCs w:val="30"/>
          <w:shd w:val="clear" w:fill="FFFFFF"/>
          <w:lang w:val="en-US" w:eastAsia="zh-CN" w:bidi="ar-SA"/>
        </w:rPr>
        <w:t>乐西高速马边至昭觉段S1-5标临时用地复垦义务人为四川公路桥梁建设集团有限公司乐西高速S1-5标项目经理部，土地复垦工程于2024年11月开工，2025年10月完工，总投资约107万元，实际复垦面积为4.2595公顷，其中复垦为旱地0.3029公顷，林地3.9006公顷（乔木林地3.7272公顷、其他林地0.1734公顷），河流水面0.0560公顷，复垦率为100%。</w:t>
      </w:r>
    </w:p>
    <w:p w14:paraId="5A0A397A">
      <w:pPr>
        <w:pStyle w:val="2"/>
        <w:ind w:left="0" w:leftChars="0" w:firstLine="0" w:firstLineChars="0"/>
        <w:rPr>
          <w:rFonts w:hint="default"/>
          <w:lang w:val="en-US" w:eastAsia="zh-CN"/>
        </w:rPr>
      </w:pPr>
      <w:r>
        <w:rPr>
          <w:rFonts w:hint="eastAsia" w:eastAsia="仿宋_GB2312" w:cs="Times New Roman"/>
          <w:b/>
          <w:bCs/>
          <w:i w:val="0"/>
          <w:iCs w:val="0"/>
          <w:caps w:val="0"/>
          <w:color w:val="0D0D0D"/>
          <w:spacing w:val="0"/>
          <w:sz w:val="30"/>
          <w:szCs w:val="30"/>
          <w:shd w:val="clear" w:fill="FFFFFF"/>
          <w:lang w:eastAsia="zh-CN"/>
        </w:rPr>
        <w:t>三、配套水利与田间道路情况</w:t>
      </w:r>
    </w:p>
    <w:p w14:paraId="3E1B1E77">
      <w:pPr>
        <w:numPr>
          <w:ilvl w:val="0"/>
          <w:numId w:val="0"/>
        </w:numPr>
        <w:ind w:firstLine="600" w:firstLineChars="200"/>
        <w:rPr>
          <w:rFonts w:hint="eastAsia" w:eastAsia="仿宋_GB2312"/>
          <w:bCs/>
          <w:sz w:val="30"/>
          <w:szCs w:val="30"/>
          <w:lang w:eastAsia="zh-CN"/>
        </w:rPr>
      </w:pPr>
      <w:r>
        <w:rPr>
          <w:rFonts w:hint="eastAsia" w:eastAsia="仿宋_GB2312"/>
          <w:bCs/>
          <w:sz w:val="30"/>
          <w:szCs w:val="30"/>
          <w:lang w:val="en-US" w:eastAsia="zh-CN"/>
        </w:rPr>
        <w:t>1.</w:t>
      </w:r>
      <w:r>
        <w:rPr>
          <w:rFonts w:eastAsia="仿宋_GB2312"/>
          <w:bCs/>
          <w:sz w:val="30"/>
          <w:szCs w:val="30"/>
        </w:rPr>
        <w:t>项目区共新建排水沟</w:t>
      </w:r>
      <w:r>
        <w:rPr>
          <w:rFonts w:hint="eastAsia" w:eastAsia="仿宋_GB2312"/>
          <w:bCs/>
          <w:sz w:val="30"/>
          <w:szCs w:val="30"/>
        </w:rPr>
        <w:t>1条</w:t>
      </w:r>
      <w:r>
        <w:rPr>
          <w:rFonts w:eastAsia="仿宋_GB2312"/>
          <w:bCs/>
          <w:sz w:val="30"/>
          <w:szCs w:val="30"/>
        </w:rPr>
        <w:t>，共计</w:t>
      </w:r>
      <w:r>
        <w:rPr>
          <w:rFonts w:hint="eastAsia" w:eastAsia="仿宋_GB2312"/>
          <w:bCs/>
          <w:sz w:val="30"/>
          <w:szCs w:val="30"/>
        </w:rPr>
        <w:t>79</w:t>
      </w:r>
      <w:r>
        <w:rPr>
          <w:rFonts w:eastAsia="仿宋_GB2312"/>
          <w:bCs/>
          <w:sz w:val="30"/>
          <w:szCs w:val="30"/>
        </w:rPr>
        <w:t>m。</w:t>
      </w:r>
    </w:p>
    <w:p w14:paraId="42CA61A5">
      <w:pPr>
        <w:adjustRightInd w:val="0"/>
        <w:snapToGrid w:val="0"/>
        <w:spacing w:line="360" w:lineRule="auto"/>
        <w:jc w:val="center"/>
        <w:rPr>
          <w:rFonts w:eastAsia="黑体"/>
          <w:bCs/>
          <w:sz w:val="24"/>
        </w:rPr>
      </w:pPr>
      <w:r>
        <w:rPr>
          <w:rFonts w:eastAsia="黑体"/>
          <w:bCs/>
          <w:sz w:val="24"/>
        </w:rPr>
        <w:t>表</w:t>
      </w:r>
      <w:r>
        <w:rPr>
          <w:rFonts w:hint="eastAsia" w:eastAsia="黑体"/>
          <w:bCs/>
          <w:sz w:val="24"/>
          <w:lang w:val="en-US" w:eastAsia="zh-CN"/>
        </w:rPr>
        <w:t xml:space="preserve">1 </w:t>
      </w:r>
      <w:r>
        <w:rPr>
          <w:rFonts w:eastAsia="黑体"/>
          <w:bCs/>
          <w:sz w:val="24"/>
        </w:rPr>
        <w:t>新建排水沟工程量</w:t>
      </w:r>
    </w:p>
    <w:tbl>
      <w:tblPr>
        <w:tblStyle w:val="3"/>
        <w:tblW w:w="4996" w:type="pct"/>
        <w:tblInd w:w="0" w:type="dxa"/>
        <w:tblLayout w:type="autofit"/>
        <w:tblCellMar>
          <w:top w:w="0" w:type="dxa"/>
          <w:left w:w="108" w:type="dxa"/>
          <w:bottom w:w="0" w:type="dxa"/>
          <w:right w:w="108" w:type="dxa"/>
        </w:tblCellMar>
      </w:tblPr>
      <w:tblGrid>
        <w:gridCol w:w="1243"/>
        <w:gridCol w:w="1243"/>
        <w:gridCol w:w="1244"/>
        <w:gridCol w:w="1592"/>
        <w:gridCol w:w="1244"/>
        <w:gridCol w:w="1244"/>
        <w:gridCol w:w="1244"/>
      </w:tblGrid>
      <w:tr w14:paraId="1E19B2C4">
        <w:tblPrEx>
          <w:tblCellMar>
            <w:top w:w="0" w:type="dxa"/>
            <w:left w:w="108" w:type="dxa"/>
            <w:bottom w:w="0" w:type="dxa"/>
            <w:right w:w="108" w:type="dxa"/>
          </w:tblCellMar>
        </w:tblPrEx>
        <w:trPr>
          <w:trHeight w:val="495" w:hRule="atLeast"/>
        </w:trPr>
        <w:tc>
          <w:tcPr>
            <w:tcW w:w="686" w:type="pct"/>
            <w:tcBorders>
              <w:top w:val="single" w:color="000000" w:sz="4" w:space="0"/>
              <w:left w:val="single" w:color="000000" w:sz="4" w:space="0"/>
              <w:bottom w:val="single" w:color="000000" w:sz="4" w:space="0"/>
              <w:right w:val="single" w:color="000000" w:sz="4" w:space="0"/>
            </w:tcBorders>
            <w:noWrap w:val="0"/>
            <w:vAlign w:val="center"/>
          </w:tcPr>
          <w:p w14:paraId="0293415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编号</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25772FC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规格</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44243F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长度</w:t>
            </w:r>
          </w:p>
        </w:tc>
        <w:tc>
          <w:tcPr>
            <w:tcW w:w="878" w:type="pct"/>
            <w:tcBorders>
              <w:top w:val="single" w:color="000000" w:sz="4" w:space="0"/>
              <w:left w:val="single" w:color="000000" w:sz="4" w:space="0"/>
              <w:bottom w:val="single" w:color="000000" w:sz="4" w:space="0"/>
              <w:right w:val="single" w:color="000000" w:sz="4" w:space="0"/>
            </w:tcBorders>
            <w:noWrap w:val="0"/>
            <w:vAlign w:val="center"/>
          </w:tcPr>
          <w:p w14:paraId="24FD828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土方开挖</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724454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土方回填</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F24471D">
            <w:pPr>
              <w:widowControl/>
              <w:jc w:val="center"/>
              <w:textAlignment w:val="center"/>
              <w:rPr>
                <w:color w:val="000000"/>
                <w:sz w:val="20"/>
                <w:szCs w:val="20"/>
              </w:rPr>
            </w:pPr>
            <w:r>
              <w:rPr>
                <w:color w:val="000000"/>
                <w:kern w:val="0"/>
                <w:sz w:val="20"/>
                <w:szCs w:val="20"/>
                <w:lang w:bidi="ar"/>
              </w:rPr>
              <w:t>C20</w:t>
            </w:r>
            <w:r>
              <w:rPr>
                <w:rFonts w:hint="eastAsia" w:ascii="仿宋" w:hAnsi="仿宋" w:eastAsia="仿宋" w:cs="仿宋"/>
                <w:color w:val="000000"/>
                <w:kern w:val="0"/>
                <w:sz w:val="20"/>
                <w:szCs w:val="20"/>
                <w:lang w:bidi="ar"/>
              </w:rPr>
              <w:t>现浇砼渠壁</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6020DA1C">
            <w:pPr>
              <w:widowControl/>
              <w:jc w:val="center"/>
              <w:textAlignment w:val="center"/>
              <w:rPr>
                <w:color w:val="000000"/>
                <w:sz w:val="20"/>
                <w:szCs w:val="20"/>
              </w:rPr>
            </w:pPr>
            <w:r>
              <w:rPr>
                <w:color w:val="000000"/>
                <w:kern w:val="0"/>
                <w:sz w:val="20"/>
                <w:szCs w:val="20"/>
                <w:lang w:bidi="ar"/>
              </w:rPr>
              <w:t>C20</w:t>
            </w:r>
            <w:r>
              <w:rPr>
                <w:rFonts w:hint="eastAsia" w:ascii="仿宋" w:hAnsi="仿宋" w:eastAsia="仿宋" w:cs="仿宋"/>
                <w:color w:val="000000"/>
                <w:kern w:val="0"/>
                <w:sz w:val="20"/>
                <w:szCs w:val="20"/>
                <w:lang w:bidi="ar"/>
              </w:rPr>
              <w:t>现浇砼底</w:t>
            </w:r>
          </w:p>
        </w:tc>
      </w:tr>
      <w:tr w14:paraId="48E24268">
        <w:tblPrEx>
          <w:tblCellMar>
            <w:top w:w="0" w:type="dxa"/>
            <w:left w:w="108" w:type="dxa"/>
            <w:bottom w:w="0" w:type="dxa"/>
            <w:right w:w="108" w:type="dxa"/>
          </w:tblCellMar>
        </w:tblPrEx>
        <w:trPr>
          <w:trHeight w:val="285" w:hRule="atLeast"/>
        </w:trPr>
        <w:tc>
          <w:tcPr>
            <w:tcW w:w="686" w:type="pct"/>
            <w:tcBorders>
              <w:top w:val="single" w:color="000000" w:sz="4" w:space="0"/>
              <w:left w:val="single" w:color="000000" w:sz="4" w:space="0"/>
              <w:bottom w:val="single" w:color="000000" w:sz="4" w:space="0"/>
              <w:right w:val="single" w:color="000000" w:sz="4" w:space="0"/>
            </w:tcBorders>
            <w:noWrap w:val="0"/>
            <w:vAlign w:val="center"/>
          </w:tcPr>
          <w:p w14:paraId="6D526BFE">
            <w:pPr>
              <w:widowControl/>
              <w:jc w:val="center"/>
              <w:textAlignment w:val="center"/>
              <w:rPr>
                <w:color w:val="000000"/>
                <w:sz w:val="20"/>
                <w:szCs w:val="20"/>
              </w:rPr>
            </w:pPr>
            <w:r>
              <w:rPr>
                <w:color w:val="000000"/>
                <w:kern w:val="0"/>
                <w:sz w:val="20"/>
                <w:szCs w:val="20"/>
                <w:lang w:bidi="ar"/>
              </w:rPr>
              <w:t>-</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2C1B976D">
            <w:pPr>
              <w:widowControl/>
              <w:jc w:val="center"/>
              <w:textAlignment w:val="center"/>
              <w:rPr>
                <w:color w:val="000000"/>
                <w:sz w:val="20"/>
                <w:szCs w:val="20"/>
              </w:rPr>
            </w:pPr>
            <w:r>
              <w:rPr>
                <w:color w:val="000000"/>
                <w:kern w:val="0"/>
                <w:sz w:val="20"/>
                <w:szCs w:val="20"/>
                <w:lang w:bidi="ar"/>
              </w:rPr>
              <w:t>m</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2E190108">
            <w:pPr>
              <w:widowControl/>
              <w:jc w:val="center"/>
              <w:textAlignment w:val="center"/>
              <w:rPr>
                <w:color w:val="000000"/>
                <w:sz w:val="20"/>
                <w:szCs w:val="20"/>
              </w:rPr>
            </w:pPr>
            <w:r>
              <w:rPr>
                <w:color w:val="000000"/>
                <w:kern w:val="0"/>
                <w:sz w:val="20"/>
                <w:szCs w:val="20"/>
                <w:lang w:bidi="ar"/>
              </w:rPr>
              <w:t>m</w:t>
            </w:r>
          </w:p>
        </w:tc>
        <w:tc>
          <w:tcPr>
            <w:tcW w:w="878" w:type="pct"/>
            <w:tcBorders>
              <w:top w:val="single" w:color="000000" w:sz="4" w:space="0"/>
              <w:left w:val="single" w:color="000000" w:sz="4" w:space="0"/>
              <w:bottom w:val="single" w:color="000000" w:sz="4" w:space="0"/>
              <w:right w:val="single" w:color="000000" w:sz="4" w:space="0"/>
            </w:tcBorders>
            <w:noWrap w:val="0"/>
            <w:vAlign w:val="center"/>
          </w:tcPr>
          <w:p w14:paraId="0FCBA48D">
            <w:pPr>
              <w:widowControl/>
              <w:jc w:val="center"/>
              <w:textAlignment w:val="center"/>
              <w:rPr>
                <w:color w:val="000000"/>
                <w:sz w:val="20"/>
                <w:szCs w:val="20"/>
              </w:rPr>
            </w:pPr>
            <w:r>
              <w:rPr>
                <w:color w:val="000000"/>
                <w:kern w:val="0"/>
                <w:sz w:val="20"/>
                <w:szCs w:val="20"/>
                <w:lang w:bidi="ar"/>
              </w:rPr>
              <w:t>m</w:t>
            </w:r>
            <w:r>
              <w:rPr>
                <w:color w:val="000000"/>
                <w:kern w:val="0"/>
                <w:sz w:val="20"/>
                <w:szCs w:val="20"/>
                <w:vertAlign w:val="superscript"/>
                <w:lang w:bidi="ar"/>
              </w:rPr>
              <w:t>3</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2E24DC08">
            <w:pPr>
              <w:widowControl/>
              <w:jc w:val="center"/>
              <w:textAlignment w:val="center"/>
              <w:rPr>
                <w:color w:val="000000"/>
                <w:sz w:val="20"/>
                <w:szCs w:val="20"/>
              </w:rPr>
            </w:pPr>
            <w:r>
              <w:rPr>
                <w:color w:val="000000"/>
                <w:kern w:val="0"/>
                <w:sz w:val="20"/>
                <w:szCs w:val="20"/>
                <w:lang w:bidi="ar"/>
              </w:rPr>
              <w:t>m</w:t>
            </w:r>
            <w:r>
              <w:rPr>
                <w:color w:val="000000"/>
                <w:kern w:val="0"/>
                <w:sz w:val="20"/>
                <w:szCs w:val="20"/>
                <w:vertAlign w:val="superscript"/>
                <w:lang w:bidi="ar"/>
              </w:rPr>
              <w:t>3</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219400A7">
            <w:pPr>
              <w:widowControl/>
              <w:jc w:val="center"/>
              <w:textAlignment w:val="center"/>
              <w:rPr>
                <w:color w:val="000000"/>
                <w:sz w:val="20"/>
                <w:szCs w:val="20"/>
              </w:rPr>
            </w:pPr>
            <w:r>
              <w:rPr>
                <w:color w:val="000000"/>
                <w:kern w:val="0"/>
                <w:sz w:val="20"/>
                <w:szCs w:val="20"/>
                <w:lang w:bidi="ar"/>
              </w:rPr>
              <w:t>m</w:t>
            </w:r>
            <w:r>
              <w:rPr>
                <w:color w:val="000000"/>
                <w:kern w:val="0"/>
                <w:sz w:val="20"/>
                <w:szCs w:val="20"/>
                <w:vertAlign w:val="superscript"/>
                <w:lang w:bidi="ar"/>
              </w:rPr>
              <w:t>3</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35A51206">
            <w:pPr>
              <w:widowControl/>
              <w:jc w:val="center"/>
              <w:textAlignment w:val="center"/>
              <w:rPr>
                <w:color w:val="000000"/>
                <w:sz w:val="20"/>
                <w:szCs w:val="20"/>
              </w:rPr>
            </w:pPr>
            <w:r>
              <w:rPr>
                <w:color w:val="000000"/>
                <w:kern w:val="0"/>
                <w:sz w:val="20"/>
                <w:szCs w:val="20"/>
                <w:lang w:bidi="ar"/>
              </w:rPr>
              <w:t>m</w:t>
            </w:r>
            <w:r>
              <w:rPr>
                <w:color w:val="000000"/>
                <w:kern w:val="0"/>
                <w:sz w:val="20"/>
                <w:szCs w:val="20"/>
                <w:vertAlign w:val="superscript"/>
                <w:lang w:bidi="ar"/>
              </w:rPr>
              <w:t>3</w:t>
            </w:r>
          </w:p>
        </w:tc>
      </w:tr>
      <w:tr w14:paraId="79E6F213">
        <w:tblPrEx>
          <w:tblCellMar>
            <w:top w:w="0" w:type="dxa"/>
            <w:left w:w="108" w:type="dxa"/>
            <w:bottom w:w="0" w:type="dxa"/>
            <w:right w:w="108" w:type="dxa"/>
          </w:tblCellMar>
        </w:tblPrEx>
        <w:trPr>
          <w:trHeight w:val="285" w:hRule="atLeast"/>
        </w:trPr>
        <w:tc>
          <w:tcPr>
            <w:tcW w:w="686" w:type="pct"/>
            <w:tcBorders>
              <w:top w:val="single" w:color="000000" w:sz="4" w:space="0"/>
              <w:left w:val="single" w:color="000000" w:sz="4" w:space="0"/>
              <w:bottom w:val="single" w:color="000000" w:sz="4" w:space="0"/>
              <w:right w:val="single" w:color="000000" w:sz="4" w:space="0"/>
            </w:tcBorders>
            <w:noWrap w:val="0"/>
            <w:vAlign w:val="center"/>
          </w:tcPr>
          <w:p w14:paraId="118F08E0">
            <w:pPr>
              <w:jc w:val="center"/>
              <w:rPr>
                <w:color w:val="000000"/>
                <w:sz w:val="20"/>
                <w:szCs w:val="20"/>
              </w:rPr>
            </w:pP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7E94AA1C">
            <w:pPr>
              <w:jc w:val="center"/>
              <w:rPr>
                <w:color w:val="000000"/>
                <w:sz w:val="20"/>
                <w:szCs w:val="20"/>
              </w:rPr>
            </w:pP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995CEB2">
            <w:pPr>
              <w:jc w:val="center"/>
              <w:rPr>
                <w:color w:val="000000"/>
                <w:sz w:val="20"/>
                <w:szCs w:val="20"/>
              </w:rPr>
            </w:pPr>
          </w:p>
        </w:tc>
        <w:tc>
          <w:tcPr>
            <w:tcW w:w="878" w:type="pct"/>
            <w:tcBorders>
              <w:top w:val="single" w:color="000000" w:sz="4" w:space="0"/>
              <w:left w:val="single" w:color="000000" w:sz="4" w:space="0"/>
              <w:bottom w:val="single" w:color="000000" w:sz="4" w:space="0"/>
              <w:right w:val="single" w:color="000000" w:sz="4" w:space="0"/>
            </w:tcBorders>
            <w:noWrap w:val="0"/>
            <w:vAlign w:val="center"/>
          </w:tcPr>
          <w:p w14:paraId="5EECD4EC">
            <w:pPr>
              <w:widowControl/>
              <w:jc w:val="center"/>
              <w:textAlignment w:val="center"/>
              <w:rPr>
                <w:color w:val="000000"/>
                <w:sz w:val="20"/>
                <w:szCs w:val="20"/>
              </w:rPr>
            </w:pPr>
            <w:r>
              <w:rPr>
                <w:color w:val="000000"/>
                <w:kern w:val="0"/>
                <w:sz w:val="20"/>
                <w:szCs w:val="20"/>
                <w:lang w:bidi="ar"/>
              </w:rPr>
              <w:t>0.43</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355D1674">
            <w:pPr>
              <w:widowControl/>
              <w:jc w:val="center"/>
              <w:textAlignment w:val="center"/>
              <w:rPr>
                <w:color w:val="000000"/>
                <w:sz w:val="20"/>
                <w:szCs w:val="20"/>
              </w:rPr>
            </w:pPr>
            <w:r>
              <w:rPr>
                <w:color w:val="000000"/>
                <w:kern w:val="0"/>
                <w:sz w:val="20"/>
                <w:szCs w:val="20"/>
                <w:lang w:bidi="ar"/>
              </w:rPr>
              <w:t>0.13</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45AB2317">
            <w:pPr>
              <w:widowControl/>
              <w:jc w:val="center"/>
              <w:textAlignment w:val="center"/>
              <w:rPr>
                <w:color w:val="000000"/>
                <w:sz w:val="20"/>
                <w:szCs w:val="20"/>
              </w:rPr>
            </w:pPr>
            <w:r>
              <w:rPr>
                <w:color w:val="000000"/>
                <w:kern w:val="0"/>
                <w:sz w:val="20"/>
                <w:szCs w:val="20"/>
                <w:lang w:bidi="ar"/>
              </w:rPr>
              <w:t>0.12</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3F5B6337">
            <w:pPr>
              <w:widowControl/>
              <w:jc w:val="center"/>
              <w:textAlignment w:val="center"/>
              <w:rPr>
                <w:color w:val="000000"/>
                <w:sz w:val="20"/>
                <w:szCs w:val="20"/>
              </w:rPr>
            </w:pPr>
            <w:r>
              <w:rPr>
                <w:color w:val="000000"/>
                <w:kern w:val="0"/>
                <w:sz w:val="20"/>
                <w:szCs w:val="20"/>
                <w:lang w:bidi="ar"/>
              </w:rPr>
              <w:t>0.07</w:t>
            </w:r>
          </w:p>
        </w:tc>
      </w:tr>
      <w:tr w14:paraId="65A94B73">
        <w:tblPrEx>
          <w:tblCellMar>
            <w:top w:w="0" w:type="dxa"/>
            <w:left w:w="108" w:type="dxa"/>
            <w:bottom w:w="0" w:type="dxa"/>
            <w:right w:w="108" w:type="dxa"/>
          </w:tblCellMar>
        </w:tblPrEx>
        <w:trPr>
          <w:trHeight w:val="495" w:hRule="atLeast"/>
        </w:trPr>
        <w:tc>
          <w:tcPr>
            <w:tcW w:w="686" w:type="pct"/>
            <w:tcBorders>
              <w:top w:val="single" w:color="000000" w:sz="4" w:space="0"/>
              <w:left w:val="single" w:color="000000" w:sz="4" w:space="0"/>
              <w:bottom w:val="single" w:color="000000" w:sz="4" w:space="0"/>
              <w:right w:val="single" w:color="000000" w:sz="4" w:space="0"/>
            </w:tcBorders>
            <w:noWrap w:val="0"/>
            <w:vAlign w:val="center"/>
          </w:tcPr>
          <w:p w14:paraId="3B0C00D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配套灌排沟</w:t>
            </w:r>
            <w:r>
              <w:rPr>
                <w:rFonts w:eastAsia="仿宋"/>
                <w:color w:val="000000"/>
                <w:kern w:val="0"/>
                <w:sz w:val="20"/>
                <w:szCs w:val="20"/>
                <w:lang w:bidi="ar"/>
              </w:rPr>
              <w:t>01#</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AA83572">
            <w:pPr>
              <w:widowControl/>
              <w:jc w:val="center"/>
              <w:textAlignment w:val="center"/>
              <w:rPr>
                <w:color w:val="000000"/>
                <w:sz w:val="20"/>
                <w:szCs w:val="20"/>
              </w:rPr>
            </w:pPr>
            <w:r>
              <w:rPr>
                <w:color w:val="000000"/>
                <w:kern w:val="0"/>
                <w:sz w:val="20"/>
                <w:szCs w:val="20"/>
                <w:lang w:bidi="ar"/>
              </w:rPr>
              <w:t>0.3×0.3</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3C8B632D">
            <w:pPr>
              <w:widowControl/>
              <w:jc w:val="center"/>
              <w:textAlignment w:val="center"/>
              <w:rPr>
                <w:color w:val="000000"/>
                <w:sz w:val="20"/>
                <w:szCs w:val="20"/>
              </w:rPr>
            </w:pPr>
            <w:r>
              <w:rPr>
                <w:color w:val="000000"/>
                <w:kern w:val="0"/>
                <w:sz w:val="20"/>
                <w:szCs w:val="20"/>
                <w:lang w:bidi="ar"/>
              </w:rPr>
              <w:t xml:space="preserve">79 </w:t>
            </w:r>
          </w:p>
        </w:tc>
        <w:tc>
          <w:tcPr>
            <w:tcW w:w="878" w:type="pct"/>
            <w:tcBorders>
              <w:top w:val="single" w:color="000000" w:sz="4" w:space="0"/>
              <w:left w:val="single" w:color="000000" w:sz="4" w:space="0"/>
              <w:bottom w:val="single" w:color="000000" w:sz="4" w:space="0"/>
              <w:right w:val="single" w:color="000000" w:sz="4" w:space="0"/>
            </w:tcBorders>
            <w:noWrap w:val="0"/>
            <w:vAlign w:val="center"/>
          </w:tcPr>
          <w:p w14:paraId="5C41B4D9">
            <w:pPr>
              <w:widowControl/>
              <w:jc w:val="center"/>
              <w:textAlignment w:val="center"/>
              <w:rPr>
                <w:color w:val="000000"/>
                <w:sz w:val="20"/>
                <w:szCs w:val="20"/>
              </w:rPr>
            </w:pPr>
            <w:r>
              <w:rPr>
                <w:color w:val="000000"/>
                <w:kern w:val="0"/>
                <w:sz w:val="20"/>
                <w:szCs w:val="20"/>
                <w:lang w:bidi="ar"/>
              </w:rPr>
              <w:t xml:space="preserve">33.94 </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3D8BB175">
            <w:pPr>
              <w:widowControl/>
              <w:jc w:val="center"/>
              <w:textAlignment w:val="center"/>
              <w:rPr>
                <w:color w:val="000000"/>
                <w:sz w:val="20"/>
                <w:szCs w:val="20"/>
              </w:rPr>
            </w:pPr>
            <w:r>
              <w:rPr>
                <w:color w:val="000000"/>
                <w:kern w:val="0"/>
                <w:sz w:val="20"/>
                <w:szCs w:val="20"/>
                <w:lang w:bidi="ar"/>
              </w:rPr>
              <w:t xml:space="preserve">10.26 </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41C5F51A">
            <w:pPr>
              <w:widowControl/>
              <w:jc w:val="center"/>
              <w:textAlignment w:val="center"/>
              <w:rPr>
                <w:color w:val="000000"/>
                <w:sz w:val="20"/>
                <w:szCs w:val="20"/>
              </w:rPr>
            </w:pPr>
            <w:r>
              <w:rPr>
                <w:color w:val="000000"/>
                <w:kern w:val="0"/>
                <w:sz w:val="20"/>
                <w:szCs w:val="20"/>
                <w:lang w:bidi="ar"/>
              </w:rPr>
              <w:t xml:space="preserve">9.47 </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2FE5866A">
            <w:pPr>
              <w:widowControl/>
              <w:jc w:val="center"/>
              <w:textAlignment w:val="center"/>
              <w:rPr>
                <w:color w:val="000000"/>
                <w:sz w:val="20"/>
                <w:szCs w:val="20"/>
              </w:rPr>
            </w:pPr>
            <w:r>
              <w:rPr>
                <w:color w:val="000000"/>
                <w:kern w:val="0"/>
                <w:sz w:val="20"/>
                <w:szCs w:val="20"/>
                <w:lang w:bidi="ar"/>
              </w:rPr>
              <w:t xml:space="preserve">5.53 </w:t>
            </w:r>
          </w:p>
        </w:tc>
      </w:tr>
    </w:tbl>
    <w:p w14:paraId="098EFC55">
      <w:pPr>
        <w:pStyle w:val="2"/>
        <w:ind w:left="0" w:leftChars="0" w:firstLine="600" w:firstLineChars="200"/>
        <w:rPr>
          <w:rFonts w:hint="eastAsia"/>
          <w:sz w:val="30"/>
          <w:szCs w:val="30"/>
          <w:lang w:eastAsia="zh-CN"/>
        </w:rPr>
      </w:pPr>
    </w:p>
    <w:p w14:paraId="4CE55AA6">
      <w:pPr>
        <w:pStyle w:val="2"/>
        <w:ind w:left="0" w:leftChars="0" w:firstLine="600" w:firstLineChars="200"/>
        <w:rPr>
          <w:rFonts w:hint="eastAsia"/>
          <w:lang w:eastAsia="zh-CN"/>
        </w:rPr>
      </w:pPr>
      <w:r>
        <w:rPr>
          <w:rFonts w:hint="eastAsia"/>
          <w:sz w:val="30"/>
          <w:szCs w:val="30"/>
          <w:lang w:eastAsia="zh-CN"/>
        </w:rPr>
        <w:t>排水沟实际建设情况如下：</w:t>
      </w:r>
    </w:p>
    <w:p w14:paraId="77CAFDD8">
      <w:pPr>
        <w:jc w:val="center"/>
        <w:rPr>
          <w:rFonts w:hint="eastAsia"/>
          <w:lang w:eastAsia="zh-CN"/>
        </w:rPr>
      </w:pPr>
      <w:r>
        <w:drawing>
          <wp:inline distT="0" distB="0" distL="114300" distR="114300">
            <wp:extent cx="3710940" cy="5380355"/>
            <wp:effectExtent l="0" t="0" r="3810" b="10795"/>
            <wp:docPr id="1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7"/>
                    <pic:cNvPicPr>
                      <a:picLocks noChangeAspect="1"/>
                    </pic:cNvPicPr>
                  </pic:nvPicPr>
                  <pic:blipFill>
                    <a:blip r:embed="rId16"/>
                    <a:stretch>
                      <a:fillRect/>
                    </a:stretch>
                  </pic:blipFill>
                  <pic:spPr>
                    <a:xfrm>
                      <a:off x="0" y="0"/>
                      <a:ext cx="3710940" cy="5380355"/>
                    </a:xfrm>
                    <a:prstGeom prst="rect">
                      <a:avLst/>
                    </a:prstGeom>
                    <a:noFill/>
                    <a:ln>
                      <a:noFill/>
                    </a:ln>
                  </pic:spPr>
                </pic:pic>
              </a:graphicData>
            </a:graphic>
          </wp:inline>
        </w:drawing>
      </w:r>
    </w:p>
    <w:p w14:paraId="5FD4A68E">
      <w:pPr>
        <w:numPr>
          <w:ilvl w:val="0"/>
          <w:numId w:val="0"/>
        </w:numPr>
        <w:rPr>
          <w:rFonts w:hint="eastAsia" w:ascii="仿宋" w:hAnsi="仿宋" w:eastAsia="仿宋" w:cs="仿宋"/>
          <w:bCs/>
          <w:sz w:val="30"/>
          <w:szCs w:val="30"/>
        </w:rPr>
      </w:pPr>
      <w:r>
        <w:rPr>
          <w:rFonts w:hint="eastAsia" w:eastAsia="仿宋_GB2312" w:cs="Times New Roman"/>
          <w:b w:val="0"/>
          <w:bCs w:val="0"/>
          <w:i w:val="0"/>
          <w:iCs w:val="0"/>
          <w:caps w:val="0"/>
          <w:color w:val="0D0D0D"/>
          <w:spacing w:val="0"/>
          <w:sz w:val="32"/>
          <w:szCs w:val="32"/>
          <w:shd w:val="clear" w:fill="FFFFFF"/>
          <w:lang w:val="en-US" w:eastAsia="zh-CN"/>
        </w:rPr>
        <w:t>2.</w:t>
      </w:r>
      <w:r>
        <w:rPr>
          <w:rFonts w:eastAsia="仿宋_GB2312"/>
          <w:bCs/>
          <w:sz w:val="30"/>
          <w:szCs w:val="30"/>
        </w:rPr>
        <w:t>项目区共新</w:t>
      </w:r>
      <w:r>
        <w:rPr>
          <w:rFonts w:hint="eastAsia" w:ascii="仿宋" w:hAnsi="仿宋" w:eastAsia="仿宋" w:cs="仿宋"/>
          <w:sz w:val="30"/>
          <w:szCs w:val="30"/>
        </w:rPr>
        <w:t>1.0m宽C25砼生产路1条，共计79m</w:t>
      </w:r>
      <w:r>
        <w:rPr>
          <w:rFonts w:hint="eastAsia" w:ascii="仿宋" w:hAnsi="仿宋" w:eastAsia="仿宋" w:cs="仿宋"/>
          <w:bCs/>
          <w:sz w:val="30"/>
          <w:szCs w:val="30"/>
        </w:rPr>
        <w:t>。</w:t>
      </w:r>
    </w:p>
    <w:p w14:paraId="1B760EEB">
      <w:pPr>
        <w:spacing w:line="360" w:lineRule="auto"/>
        <w:jc w:val="center"/>
        <w:rPr>
          <w:rFonts w:hint="eastAsia" w:ascii="仿宋" w:hAnsi="仿宋" w:eastAsia="仿宋" w:cs="仿宋"/>
          <w:sz w:val="24"/>
        </w:rPr>
      </w:pPr>
      <w:r>
        <w:rPr>
          <w:rFonts w:hint="eastAsia" w:ascii="仿宋" w:hAnsi="仿宋" w:eastAsia="仿宋" w:cs="仿宋"/>
          <w:sz w:val="24"/>
        </w:rPr>
        <w:t>表6.2-5  新建生产路工程量</w:t>
      </w:r>
    </w:p>
    <w:tbl>
      <w:tblPr>
        <w:tblStyle w:val="3"/>
        <w:tblW w:w="4997" w:type="pct"/>
        <w:tblInd w:w="0" w:type="dxa"/>
        <w:tblLayout w:type="autofit"/>
        <w:tblCellMar>
          <w:top w:w="0" w:type="dxa"/>
          <w:left w:w="108" w:type="dxa"/>
          <w:bottom w:w="0" w:type="dxa"/>
          <w:right w:w="108" w:type="dxa"/>
        </w:tblCellMar>
      </w:tblPr>
      <w:tblGrid>
        <w:gridCol w:w="936"/>
        <w:gridCol w:w="873"/>
        <w:gridCol w:w="877"/>
        <w:gridCol w:w="1120"/>
        <w:gridCol w:w="875"/>
        <w:gridCol w:w="875"/>
        <w:gridCol w:w="875"/>
        <w:gridCol w:w="875"/>
        <w:gridCol w:w="875"/>
        <w:gridCol w:w="875"/>
      </w:tblGrid>
      <w:tr w14:paraId="0A865C38">
        <w:tblPrEx>
          <w:tblCellMar>
            <w:top w:w="0" w:type="dxa"/>
            <w:left w:w="108" w:type="dxa"/>
            <w:bottom w:w="0" w:type="dxa"/>
            <w:right w:w="108" w:type="dxa"/>
          </w:tblCellMar>
        </w:tblPrEx>
        <w:trPr>
          <w:trHeight w:val="580" w:hRule="atLeast"/>
        </w:trPr>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637C31">
            <w:pPr>
              <w:widowControl/>
              <w:jc w:val="center"/>
              <w:textAlignment w:val="center"/>
              <w:rPr>
                <w:color w:val="000000"/>
                <w:sz w:val="18"/>
                <w:szCs w:val="18"/>
              </w:rPr>
            </w:pPr>
            <w:r>
              <w:rPr>
                <w:rFonts w:hint="eastAsia" w:ascii="宋体" w:hAnsi="宋体" w:cs="宋体"/>
                <w:color w:val="000000"/>
                <w:kern w:val="0"/>
                <w:sz w:val="18"/>
                <w:szCs w:val="18"/>
                <w:lang w:bidi="ar"/>
              </w:rPr>
              <w:t>临时用地类型</w:t>
            </w:r>
          </w:p>
        </w:tc>
        <w:tc>
          <w:tcPr>
            <w:tcW w:w="482"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FF3C5F">
            <w:pPr>
              <w:widowControl/>
              <w:jc w:val="center"/>
              <w:textAlignment w:val="center"/>
              <w:rPr>
                <w:color w:val="000000"/>
                <w:sz w:val="18"/>
                <w:szCs w:val="18"/>
              </w:rPr>
            </w:pPr>
            <w:r>
              <w:rPr>
                <w:rFonts w:hint="eastAsia" w:ascii="宋体" w:hAnsi="宋体" w:cs="宋体"/>
                <w:color w:val="000000"/>
                <w:kern w:val="0"/>
                <w:sz w:val="18"/>
                <w:szCs w:val="18"/>
                <w:lang w:bidi="ar"/>
              </w:rPr>
              <w:t>编号</w:t>
            </w:r>
          </w:p>
        </w:tc>
        <w:tc>
          <w:tcPr>
            <w:tcW w:w="48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B0578D">
            <w:pPr>
              <w:widowControl/>
              <w:jc w:val="center"/>
              <w:textAlignment w:val="center"/>
              <w:rPr>
                <w:color w:val="000000"/>
                <w:sz w:val="18"/>
                <w:szCs w:val="18"/>
              </w:rPr>
            </w:pPr>
            <w:r>
              <w:rPr>
                <w:rFonts w:hint="eastAsia" w:ascii="宋体" w:hAnsi="宋体" w:cs="宋体"/>
                <w:color w:val="000000"/>
                <w:kern w:val="0"/>
                <w:sz w:val="18"/>
                <w:szCs w:val="18"/>
                <w:lang w:bidi="ar"/>
              </w:rPr>
              <w:t>建设性质</w:t>
            </w:r>
          </w:p>
        </w:tc>
        <w:tc>
          <w:tcPr>
            <w:tcW w:w="6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35C246">
            <w:pPr>
              <w:widowControl/>
              <w:jc w:val="center"/>
              <w:textAlignment w:val="center"/>
              <w:rPr>
                <w:color w:val="000000"/>
                <w:sz w:val="18"/>
                <w:szCs w:val="18"/>
              </w:rPr>
            </w:pPr>
            <w:r>
              <w:rPr>
                <w:rFonts w:hint="eastAsia" w:ascii="宋体" w:hAnsi="宋体" w:cs="宋体"/>
                <w:color w:val="000000"/>
                <w:kern w:val="0"/>
                <w:sz w:val="18"/>
                <w:szCs w:val="18"/>
                <w:lang w:bidi="ar"/>
              </w:rPr>
              <w:t>长度</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D8A290">
            <w:pPr>
              <w:widowControl/>
              <w:jc w:val="center"/>
              <w:textAlignment w:val="center"/>
              <w:rPr>
                <w:color w:val="000000"/>
                <w:sz w:val="18"/>
                <w:szCs w:val="18"/>
              </w:rPr>
            </w:pPr>
            <w:r>
              <w:rPr>
                <w:rFonts w:hint="eastAsia" w:ascii="宋体" w:hAnsi="宋体" w:cs="宋体"/>
                <w:color w:val="000000"/>
                <w:kern w:val="0"/>
                <w:sz w:val="18"/>
                <w:szCs w:val="18"/>
                <w:lang w:bidi="ar"/>
              </w:rPr>
              <w:t>宽度</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CE0572">
            <w:pPr>
              <w:widowControl/>
              <w:jc w:val="center"/>
              <w:textAlignment w:val="center"/>
              <w:rPr>
                <w:color w:val="000000"/>
                <w:sz w:val="18"/>
                <w:szCs w:val="18"/>
              </w:rPr>
            </w:pPr>
            <w:r>
              <w:rPr>
                <w:rFonts w:hint="eastAsia" w:ascii="宋体" w:hAnsi="宋体" w:cs="宋体"/>
                <w:color w:val="000000"/>
                <w:kern w:val="0"/>
                <w:sz w:val="18"/>
                <w:szCs w:val="18"/>
                <w:lang w:bidi="ar"/>
              </w:rPr>
              <w:t>挖方量</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BBC633">
            <w:pPr>
              <w:widowControl/>
              <w:jc w:val="center"/>
              <w:textAlignment w:val="center"/>
              <w:rPr>
                <w:color w:val="000000"/>
                <w:sz w:val="18"/>
                <w:szCs w:val="18"/>
              </w:rPr>
            </w:pPr>
            <w:r>
              <w:rPr>
                <w:rFonts w:hint="eastAsia" w:ascii="宋体" w:hAnsi="宋体" w:cs="宋体"/>
                <w:color w:val="000000"/>
                <w:kern w:val="0"/>
                <w:sz w:val="18"/>
                <w:szCs w:val="18"/>
                <w:lang w:bidi="ar"/>
              </w:rPr>
              <w:t>填方量</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D332AC">
            <w:pPr>
              <w:widowControl/>
              <w:jc w:val="center"/>
              <w:textAlignment w:val="center"/>
              <w:rPr>
                <w:color w:val="000000"/>
                <w:sz w:val="18"/>
                <w:szCs w:val="18"/>
              </w:rPr>
            </w:pPr>
            <w:r>
              <w:rPr>
                <w:rFonts w:hint="eastAsia" w:ascii="宋体" w:hAnsi="宋体" w:cs="宋体"/>
                <w:color w:val="000000"/>
                <w:kern w:val="0"/>
                <w:sz w:val="18"/>
                <w:szCs w:val="18"/>
                <w:lang w:bidi="ar"/>
              </w:rPr>
              <w:t>路床压实</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137A5F">
            <w:pPr>
              <w:widowControl/>
              <w:jc w:val="center"/>
              <w:textAlignment w:val="center"/>
              <w:rPr>
                <w:color w:val="000000"/>
                <w:sz w:val="18"/>
                <w:szCs w:val="18"/>
              </w:rPr>
            </w:pPr>
            <w:r>
              <w:rPr>
                <w:color w:val="000000"/>
                <w:kern w:val="0"/>
                <w:sz w:val="18"/>
                <w:szCs w:val="18"/>
                <w:lang w:bidi="ar"/>
              </w:rPr>
              <w:t>10cm</w:t>
            </w:r>
            <w:r>
              <w:rPr>
                <w:rFonts w:hint="eastAsia" w:ascii="宋体" w:hAnsi="宋体" w:cs="宋体"/>
                <w:color w:val="000000"/>
                <w:kern w:val="0"/>
                <w:sz w:val="18"/>
                <w:szCs w:val="18"/>
                <w:lang w:bidi="ar"/>
              </w:rPr>
              <w:t>厚沙砾石垫层</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74610D">
            <w:pPr>
              <w:widowControl/>
              <w:jc w:val="center"/>
              <w:textAlignment w:val="center"/>
              <w:rPr>
                <w:color w:val="000000"/>
                <w:sz w:val="18"/>
                <w:szCs w:val="18"/>
              </w:rPr>
            </w:pPr>
            <w:r>
              <w:rPr>
                <w:color w:val="000000"/>
                <w:kern w:val="0"/>
                <w:sz w:val="18"/>
                <w:szCs w:val="18"/>
                <w:lang w:bidi="ar"/>
              </w:rPr>
              <w:t>10cm</w:t>
            </w:r>
            <w:r>
              <w:rPr>
                <w:rFonts w:hint="eastAsia" w:ascii="宋体" w:hAnsi="宋体" w:cs="宋体"/>
                <w:color w:val="000000"/>
                <w:kern w:val="0"/>
                <w:sz w:val="18"/>
                <w:szCs w:val="18"/>
                <w:lang w:bidi="ar"/>
              </w:rPr>
              <w:t>厚</w:t>
            </w:r>
            <w:r>
              <w:rPr>
                <w:color w:val="000000"/>
                <w:kern w:val="0"/>
                <w:sz w:val="18"/>
                <w:szCs w:val="18"/>
                <w:lang w:bidi="ar"/>
              </w:rPr>
              <w:t>C25</w:t>
            </w:r>
            <w:r>
              <w:rPr>
                <w:rFonts w:hint="eastAsia" w:ascii="宋体" w:hAnsi="宋体" w:cs="宋体"/>
                <w:color w:val="000000"/>
                <w:kern w:val="0"/>
                <w:sz w:val="18"/>
                <w:szCs w:val="18"/>
                <w:lang w:bidi="ar"/>
              </w:rPr>
              <w:t>砼路面</w:t>
            </w:r>
          </w:p>
        </w:tc>
      </w:tr>
      <w:tr w14:paraId="22A4ED68">
        <w:tblPrEx>
          <w:tblCellMar>
            <w:top w:w="0" w:type="dxa"/>
            <w:left w:w="108" w:type="dxa"/>
            <w:bottom w:w="0" w:type="dxa"/>
            <w:right w:w="108" w:type="dxa"/>
          </w:tblCellMar>
        </w:tblPrEx>
        <w:trPr>
          <w:trHeight w:val="285" w:hRule="atLeast"/>
        </w:trPr>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1B1630">
            <w:pPr>
              <w:jc w:val="center"/>
              <w:rPr>
                <w:color w:val="000000"/>
                <w:sz w:val="18"/>
                <w:szCs w:val="18"/>
              </w:rPr>
            </w:pPr>
          </w:p>
        </w:tc>
        <w:tc>
          <w:tcPr>
            <w:tcW w:w="482"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4C55F6">
            <w:pPr>
              <w:jc w:val="center"/>
              <w:rPr>
                <w:color w:val="000000"/>
                <w:sz w:val="18"/>
                <w:szCs w:val="18"/>
              </w:rPr>
            </w:pPr>
          </w:p>
        </w:tc>
        <w:tc>
          <w:tcPr>
            <w:tcW w:w="48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0330B2">
            <w:pPr>
              <w:jc w:val="center"/>
              <w:rPr>
                <w:color w:val="000000"/>
                <w:sz w:val="18"/>
                <w:szCs w:val="18"/>
              </w:rPr>
            </w:pPr>
          </w:p>
        </w:tc>
        <w:tc>
          <w:tcPr>
            <w:tcW w:w="6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447700">
            <w:pPr>
              <w:widowControl/>
              <w:jc w:val="center"/>
              <w:textAlignment w:val="center"/>
              <w:rPr>
                <w:color w:val="000000"/>
                <w:sz w:val="18"/>
                <w:szCs w:val="18"/>
              </w:rPr>
            </w:pPr>
            <w:r>
              <w:rPr>
                <w:color w:val="000000"/>
                <w:kern w:val="0"/>
                <w:sz w:val="18"/>
                <w:szCs w:val="18"/>
                <w:lang w:bidi="ar"/>
              </w:rPr>
              <w:t>m</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7B0B7A">
            <w:pPr>
              <w:widowControl/>
              <w:jc w:val="center"/>
              <w:textAlignment w:val="center"/>
              <w:rPr>
                <w:color w:val="000000"/>
                <w:sz w:val="18"/>
                <w:szCs w:val="18"/>
              </w:rPr>
            </w:pPr>
            <w:r>
              <w:rPr>
                <w:color w:val="000000"/>
                <w:kern w:val="0"/>
                <w:sz w:val="18"/>
                <w:szCs w:val="18"/>
                <w:lang w:bidi="ar"/>
              </w:rPr>
              <w:t>m</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9A5262">
            <w:pPr>
              <w:widowControl/>
              <w:jc w:val="center"/>
              <w:textAlignment w:val="center"/>
              <w:rPr>
                <w:color w:val="000000"/>
                <w:sz w:val="18"/>
                <w:szCs w:val="18"/>
              </w:rPr>
            </w:pPr>
            <w:r>
              <w:rPr>
                <w:color w:val="000000"/>
                <w:kern w:val="0"/>
                <w:sz w:val="18"/>
                <w:szCs w:val="18"/>
                <w:lang w:bidi="ar"/>
              </w:rPr>
              <w:t>m</w:t>
            </w:r>
            <w:r>
              <w:rPr>
                <w:color w:val="000000"/>
                <w:kern w:val="0"/>
                <w:sz w:val="18"/>
                <w:szCs w:val="18"/>
                <w:vertAlign w:val="superscript"/>
                <w:lang w:bidi="ar"/>
              </w:rPr>
              <w:t>3</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05C183">
            <w:pPr>
              <w:widowControl/>
              <w:jc w:val="center"/>
              <w:textAlignment w:val="center"/>
              <w:rPr>
                <w:color w:val="000000"/>
                <w:sz w:val="18"/>
                <w:szCs w:val="18"/>
              </w:rPr>
            </w:pPr>
            <w:r>
              <w:rPr>
                <w:color w:val="000000"/>
                <w:kern w:val="0"/>
                <w:sz w:val="18"/>
                <w:szCs w:val="18"/>
                <w:lang w:bidi="ar"/>
              </w:rPr>
              <w:t>m</w:t>
            </w:r>
            <w:r>
              <w:rPr>
                <w:color w:val="000000"/>
                <w:kern w:val="0"/>
                <w:sz w:val="18"/>
                <w:szCs w:val="18"/>
                <w:vertAlign w:val="superscript"/>
                <w:lang w:bidi="ar"/>
              </w:rPr>
              <w:t>3</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775156">
            <w:pPr>
              <w:widowControl/>
              <w:jc w:val="center"/>
              <w:textAlignment w:val="center"/>
              <w:rPr>
                <w:color w:val="000000"/>
                <w:sz w:val="18"/>
                <w:szCs w:val="18"/>
              </w:rPr>
            </w:pPr>
            <w:r>
              <w:rPr>
                <w:color w:val="000000"/>
                <w:kern w:val="0"/>
                <w:sz w:val="18"/>
                <w:szCs w:val="18"/>
                <w:lang w:bidi="ar"/>
              </w:rPr>
              <w:t>m</w:t>
            </w:r>
            <w:r>
              <w:rPr>
                <w:color w:val="000000"/>
                <w:kern w:val="0"/>
                <w:sz w:val="18"/>
                <w:szCs w:val="18"/>
                <w:vertAlign w:val="superscript"/>
                <w:lang w:bidi="ar"/>
              </w:rPr>
              <w:t>2</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CF51D5">
            <w:pPr>
              <w:widowControl/>
              <w:jc w:val="center"/>
              <w:textAlignment w:val="center"/>
              <w:rPr>
                <w:color w:val="000000"/>
                <w:sz w:val="18"/>
                <w:szCs w:val="18"/>
              </w:rPr>
            </w:pPr>
            <w:r>
              <w:rPr>
                <w:color w:val="000000"/>
                <w:kern w:val="0"/>
                <w:sz w:val="18"/>
                <w:szCs w:val="18"/>
                <w:lang w:bidi="ar"/>
              </w:rPr>
              <w:t>m</w:t>
            </w:r>
            <w:r>
              <w:rPr>
                <w:color w:val="000000"/>
                <w:kern w:val="0"/>
                <w:sz w:val="18"/>
                <w:szCs w:val="18"/>
                <w:vertAlign w:val="superscript"/>
                <w:lang w:bidi="ar"/>
              </w:rPr>
              <w:t>2</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F8CA52">
            <w:pPr>
              <w:widowControl/>
              <w:jc w:val="center"/>
              <w:textAlignment w:val="center"/>
              <w:rPr>
                <w:color w:val="000000"/>
                <w:sz w:val="18"/>
                <w:szCs w:val="18"/>
              </w:rPr>
            </w:pPr>
            <w:r>
              <w:rPr>
                <w:color w:val="000000"/>
                <w:kern w:val="0"/>
                <w:sz w:val="18"/>
                <w:szCs w:val="18"/>
                <w:lang w:bidi="ar"/>
              </w:rPr>
              <w:t>m</w:t>
            </w:r>
            <w:r>
              <w:rPr>
                <w:color w:val="000000"/>
                <w:kern w:val="0"/>
                <w:sz w:val="18"/>
                <w:szCs w:val="18"/>
                <w:vertAlign w:val="superscript"/>
                <w:lang w:bidi="ar"/>
              </w:rPr>
              <w:t>2</w:t>
            </w:r>
          </w:p>
        </w:tc>
      </w:tr>
      <w:tr w14:paraId="09C1A27D">
        <w:tblPrEx>
          <w:tblCellMar>
            <w:top w:w="0" w:type="dxa"/>
            <w:left w:w="108" w:type="dxa"/>
            <w:bottom w:w="0" w:type="dxa"/>
            <w:right w:w="108" w:type="dxa"/>
          </w:tblCellMar>
        </w:tblPrEx>
        <w:trPr>
          <w:trHeight w:val="465" w:hRule="atLeast"/>
        </w:trPr>
        <w:tc>
          <w:tcPr>
            <w:tcW w:w="516" w:type="pct"/>
            <w:tcBorders>
              <w:top w:val="single" w:color="000000" w:sz="4" w:space="0"/>
              <w:left w:val="single" w:color="000000" w:sz="4" w:space="0"/>
              <w:bottom w:val="nil"/>
              <w:right w:val="single" w:color="000000" w:sz="4" w:space="0"/>
            </w:tcBorders>
            <w:shd w:val="clear" w:color="auto" w:fill="FFFFFF"/>
            <w:noWrap/>
            <w:vAlign w:val="center"/>
          </w:tcPr>
          <w:p w14:paraId="0FDB3E1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项目驻地</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16DCEB">
            <w:pPr>
              <w:widowControl/>
              <w:jc w:val="center"/>
              <w:textAlignment w:val="center"/>
              <w:rPr>
                <w:color w:val="000000"/>
                <w:sz w:val="18"/>
                <w:szCs w:val="18"/>
              </w:rPr>
            </w:pPr>
            <w:r>
              <w:rPr>
                <w:rFonts w:hint="eastAsia" w:ascii="宋体" w:hAnsi="宋体" w:cs="宋体"/>
                <w:color w:val="000000"/>
                <w:kern w:val="0"/>
                <w:sz w:val="18"/>
                <w:szCs w:val="18"/>
                <w:lang w:bidi="ar"/>
              </w:rPr>
              <w:t>新建生产路</w:t>
            </w:r>
            <w:r>
              <w:rPr>
                <w:color w:val="000000"/>
                <w:kern w:val="0"/>
                <w:sz w:val="18"/>
                <w:szCs w:val="18"/>
                <w:lang w:bidi="ar"/>
              </w:rPr>
              <w:t>1#</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5D5002">
            <w:pPr>
              <w:widowControl/>
              <w:jc w:val="center"/>
              <w:textAlignment w:val="center"/>
              <w:rPr>
                <w:color w:val="000000"/>
                <w:sz w:val="18"/>
                <w:szCs w:val="18"/>
              </w:rPr>
            </w:pPr>
            <w:r>
              <w:rPr>
                <w:rFonts w:hint="eastAsia" w:ascii="宋体" w:hAnsi="宋体" w:cs="宋体"/>
                <w:color w:val="000000"/>
                <w:kern w:val="0"/>
                <w:sz w:val="18"/>
                <w:szCs w:val="18"/>
                <w:lang w:bidi="ar"/>
              </w:rPr>
              <w:t>新建</w:t>
            </w:r>
          </w:p>
        </w:tc>
        <w:tc>
          <w:tcPr>
            <w:tcW w:w="6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582F60">
            <w:pPr>
              <w:widowControl/>
              <w:jc w:val="center"/>
              <w:textAlignment w:val="center"/>
              <w:rPr>
                <w:color w:val="000000"/>
                <w:sz w:val="18"/>
                <w:szCs w:val="18"/>
              </w:rPr>
            </w:pPr>
            <w:r>
              <w:rPr>
                <w:color w:val="000000"/>
                <w:kern w:val="0"/>
                <w:sz w:val="18"/>
                <w:szCs w:val="18"/>
                <w:lang w:bidi="ar"/>
              </w:rPr>
              <w:t xml:space="preserve">79 </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1CC886">
            <w:pPr>
              <w:widowControl/>
              <w:jc w:val="center"/>
              <w:textAlignment w:val="center"/>
              <w:rPr>
                <w:color w:val="000000"/>
                <w:sz w:val="18"/>
                <w:szCs w:val="18"/>
              </w:rPr>
            </w:pPr>
            <w:r>
              <w:rPr>
                <w:color w:val="000000"/>
                <w:kern w:val="0"/>
                <w:sz w:val="18"/>
                <w:szCs w:val="18"/>
                <w:lang w:bidi="ar"/>
              </w:rPr>
              <w:t>1</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8A165F">
            <w:pPr>
              <w:widowControl/>
              <w:jc w:val="center"/>
              <w:textAlignment w:val="center"/>
              <w:rPr>
                <w:color w:val="000000"/>
                <w:sz w:val="18"/>
                <w:szCs w:val="18"/>
              </w:rPr>
            </w:pPr>
            <w:r>
              <w:rPr>
                <w:color w:val="000000"/>
                <w:kern w:val="0"/>
                <w:sz w:val="18"/>
                <w:szCs w:val="18"/>
                <w:lang w:bidi="ar"/>
              </w:rPr>
              <w:t xml:space="preserve">9.47 </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24FF79">
            <w:pPr>
              <w:widowControl/>
              <w:jc w:val="center"/>
              <w:textAlignment w:val="center"/>
              <w:rPr>
                <w:color w:val="000000"/>
                <w:sz w:val="18"/>
                <w:szCs w:val="18"/>
              </w:rPr>
            </w:pPr>
            <w:r>
              <w:rPr>
                <w:color w:val="000000"/>
                <w:kern w:val="0"/>
                <w:sz w:val="18"/>
                <w:szCs w:val="18"/>
                <w:lang w:bidi="ar"/>
              </w:rPr>
              <w:t xml:space="preserve">1.58 </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C7C075">
            <w:pPr>
              <w:widowControl/>
              <w:jc w:val="center"/>
              <w:textAlignment w:val="center"/>
              <w:rPr>
                <w:color w:val="000000"/>
                <w:sz w:val="18"/>
                <w:szCs w:val="18"/>
              </w:rPr>
            </w:pPr>
            <w:r>
              <w:rPr>
                <w:color w:val="000000"/>
                <w:kern w:val="0"/>
                <w:sz w:val="18"/>
                <w:szCs w:val="18"/>
                <w:lang w:bidi="ar"/>
              </w:rPr>
              <w:t xml:space="preserve">86.04 </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2920C0">
            <w:pPr>
              <w:widowControl/>
              <w:jc w:val="center"/>
              <w:textAlignment w:val="center"/>
              <w:rPr>
                <w:color w:val="000000"/>
                <w:sz w:val="18"/>
                <w:szCs w:val="18"/>
              </w:rPr>
            </w:pPr>
            <w:r>
              <w:rPr>
                <w:color w:val="000000"/>
                <w:kern w:val="0"/>
                <w:sz w:val="18"/>
                <w:szCs w:val="18"/>
                <w:lang w:bidi="ar"/>
              </w:rPr>
              <w:t xml:space="preserve">82.49 </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D6633B">
            <w:pPr>
              <w:widowControl/>
              <w:jc w:val="center"/>
              <w:textAlignment w:val="center"/>
              <w:rPr>
                <w:color w:val="000000"/>
                <w:sz w:val="18"/>
                <w:szCs w:val="18"/>
              </w:rPr>
            </w:pPr>
            <w:r>
              <w:rPr>
                <w:color w:val="000000"/>
                <w:kern w:val="0"/>
                <w:sz w:val="18"/>
                <w:szCs w:val="18"/>
                <w:lang w:bidi="ar"/>
              </w:rPr>
              <w:t xml:space="preserve">79 </w:t>
            </w:r>
          </w:p>
        </w:tc>
      </w:tr>
      <w:tr w14:paraId="193A007F">
        <w:tblPrEx>
          <w:tblCellMar>
            <w:top w:w="0" w:type="dxa"/>
            <w:left w:w="108" w:type="dxa"/>
            <w:bottom w:w="0" w:type="dxa"/>
            <w:right w:w="108" w:type="dxa"/>
          </w:tblCellMar>
        </w:tblPrEx>
        <w:trPr>
          <w:trHeight w:val="285" w:hRule="atLeast"/>
        </w:trPr>
        <w:tc>
          <w:tcPr>
            <w:tcW w:w="1482"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FB045">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合计</w:t>
            </w:r>
          </w:p>
        </w:tc>
        <w:tc>
          <w:tcPr>
            <w:tcW w:w="6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41C9A4">
            <w:pPr>
              <w:widowControl/>
              <w:jc w:val="center"/>
              <w:textAlignment w:val="center"/>
              <w:rPr>
                <w:color w:val="000000"/>
                <w:sz w:val="18"/>
                <w:szCs w:val="18"/>
              </w:rPr>
            </w:pPr>
            <w:r>
              <w:rPr>
                <w:color w:val="000000"/>
                <w:kern w:val="0"/>
                <w:sz w:val="18"/>
                <w:szCs w:val="18"/>
                <w:lang w:bidi="ar"/>
              </w:rPr>
              <w:t xml:space="preserve">79 </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6CF4A3">
            <w:pPr>
              <w:widowControl/>
              <w:jc w:val="center"/>
              <w:textAlignment w:val="center"/>
              <w:rPr>
                <w:color w:val="000000"/>
                <w:sz w:val="18"/>
                <w:szCs w:val="18"/>
              </w:rPr>
            </w:pPr>
            <w:r>
              <w:rPr>
                <w:color w:val="000000"/>
                <w:kern w:val="0"/>
                <w:sz w:val="18"/>
                <w:szCs w:val="18"/>
                <w:lang w:bidi="ar"/>
              </w:rPr>
              <w:t>--</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188D4">
            <w:pPr>
              <w:widowControl/>
              <w:jc w:val="center"/>
              <w:textAlignment w:val="center"/>
              <w:rPr>
                <w:color w:val="000000"/>
                <w:sz w:val="18"/>
                <w:szCs w:val="18"/>
              </w:rPr>
            </w:pPr>
            <w:r>
              <w:rPr>
                <w:color w:val="000000"/>
                <w:kern w:val="0"/>
                <w:sz w:val="18"/>
                <w:szCs w:val="18"/>
                <w:lang w:bidi="ar"/>
              </w:rPr>
              <w:t xml:space="preserve">9.47 </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7B9F5B">
            <w:pPr>
              <w:widowControl/>
              <w:jc w:val="center"/>
              <w:textAlignment w:val="center"/>
              <w:rPr>
                <w:color w:val="000000"/>
                <w:sz w:val="18"/>
                <w:szCs w:val="18"/>
              </w:rPr>
            </w:pPr>
            <w:r>
              <w:rPr>
                <w:color w:val="000000"/>
                <w:kern w:val="0"/>
                <w:sz w:val="18"/>
                <w:szCs w:val="18"/>
                <w:lang w:bidi="ar"/>
              </w:rPr>
              <w:t xml:space="preserve">1.58 </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7E7C0">
            <w:pPr>
              <w:widowControl/>
              <w:jc w:val="center"/>
              <w:textAlignment w:val="center"/>
              <w:rPr>
                <w:color w:val="000000"/>
                <w:sz w:val="18"/>
                <w:szCs w:val="18"/>
              </w:rPr>
            </w:pPr>
            <w:r>
              <w:rPr>
                <w:color w:val="000000"/>
                <w:kern w:val="0"/>
                <w:sz w:val="18"/>
                <w:szCs w:val="18"/>
                <w:lang w:bidi="ar"/>
              </w:rPr>
              <w:t xml:space="preserve">86.04 </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1768D0">
            <w:pPr>
              <w:widowControl/>
              <w:jc w:val="center"/>
              <w:textAlignment w:val="center"/>
              <w:rPr>
                <w:color w:val="000000"/>
                <w:sz w:val="18"/>
                <w:szCs w:val="18"/>
              </w:rPr>
            </w:pPr>
            <w:r>
              <w:rPr>
                <w:color w:val="000000"/>
                <w:kern w:val="0"/>
                <w:sz w:val="18"/>
                <w:szCs w:val="18"/>
                <w:lang w:bidi="ar"/>
              </w:rPr>
              <w:t xml:space="preserve">82.49 </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09AC4">
            <w:pPr>
              <w:widowControl/>
              <w:jc w:val="center"/>
              <w:textAlignment w:val="center"/>
              <w:rPr>
                <w:color w:val="000000"/>
                <w:sz w:val="18"/>
                <w:szCs w:val="18"/>
              </w:rPr>
            </w:pPr>
            <w:r>
              <w:rPr>
                <w:color w:val="000000"/>
                <w:kern w:val="0"/>
                <w:sz w:val="18"/>
                <w:szCs w:val="18"/>
                <w:lang w:bidi="ar"/>
              </w:rPr>
              <w:t xml:space="preserve">79 </w:t>
            </w:r>
          </w:p>
        </w:tc>
      </w:tr>
    </w:tbl>
    <w:p w14:paraId="536B58BE">
      <w:pPr>
        <w:numPr>
          <w:ilvl w:val="0"/>
          <w:numId w:val="0"/>
        </w:numPr>
        <w:ind w:firstLine="600" w:firstLineChars="200"/>
      </w:pPr>
      <w:r>
        <w:rPr>
          <w:rFonts w:hint="eastAsia"/>
          <w:sz w:val="30"/>
          <w:szCs w:val="30"/>
          <w:lang w:eastAsia="zh-CN"/>
        </w:rPr>
        <w:t>田间道路实际建设情况如下：</w:t>
      </w:r>
    </w:p>
    <w:p w14:paraId="5AFA0BFC">
      <w:pPr>
        <w:numPr>
          <w:ilvl w:val="0"/>
          <w:numId w:val="0"/>
        </w:numPr>
        <w:jc w:val="center"/>
        <w:rPr>
          <w:rFonts w:hint="eastAsia" w:ascii="仿宋" w:hAnsi="仿宋" w:eastAsia="仿宋" w:cs="仿宋"/>
          <w:bCs/>
          <w:sz w:val="30"/>
          <w:szCs w:val="30"/>
        </w:rPr>
      </w:pPr>
      <w:r>
        <w:drawing>
          <wp:inline distT="0" distB="0" distL="114300" distR="114300">
            <wp:extent cx="3581400" cy="3257550"/>
            <wp:effectExtent l="0" t="0" r="0" b="0"/>
            <wp:docPr id="2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8"/>
                    <pic:cNvPicPr>
                      <a:picLocks noChangeAspect="1"/>
                    </pic:cNvPicPr>
                  </pic:nvPicPr>
                  <pic:blipFill>
                    <a:blip r:embed="rId17"/>
                    <a:stretch>
                      <a:fillRect/>
                    </a:stretch>
                  </pic:blipFill>
                  <pic:spPr>
                    <a:xfrm>
                      <a:off x="0" y="0"/>
                      <a:ext cx="3581400" cy="3257550"/>
                    </a:xfrm>
                    <a:prstGeom prst="rect">
                      <a:avLst/>
                    </a:prstGeom>
                    <a:noFill/>
                    <a:ln>
                      <a:noFill/>
                    </a:ln>
                  </pic:spPr>
                </pic:pic>
              </a:graphicData>
            </a:graphic>
          </wp:inline>
        </w:drawing>
      </w:r>
    </w:p>
    <w:p w14:paraId="235DCC05">
      <w:pPr>
        <w:numPr>
          <w:ilvl w:val="0"/>
          <w:numId w:val="0"/>
        </w:numPr>
        <w:rPr>
          <w:rFonts w:hint="eastAsia" w:eastAsia="仿宋_GB2312" w:cs="Times New Roman"/>
          <w:b/>
          <w:bCs/>
          <w:i w:val="0"/>
          <w:iCs w:val="0"/>
          <w:caps w:val="0"/>
          <w:color w:val="0D0D0D"/>
          <w:spacing w:val="0"/>
          <w:sz w:val="32"/>
          <w:szCs w:val="32"/>
          <w:shd w:val="clear" w:fill="FFFFFF"/>
          <w:lang w:eastAsia="zh-CN"/>
        </w:rPr>
      </w:pPr>
      <w:r>
        <w:rPr>
          <w:rFonts w:hint="eastAsia" w:eastAsia="仿宋_GB2312" w:cs="Times New Roman"/>
          <w:b/>
          <w:bCs/>
          <w:i w:val="0"/>
          <w:iCs w:val="0"/>
          <w:caps w:val="0"/>
          <w:color w:val="0D0D0D"/>
          <w:spacing w:val="0"/>
          <w:sz w:val="32"/>
          <w:szCs w:val="32"/>
          <w:shd w:val="clear" w:fill="FFFFFF"/>
          <w:lang w:eastAsia="zh-CN"/>
        </w:rPr>
        <w:t>四、验收情况</w:t>
      </w:r>
    </w:p>
    <w:p w14:paraId="64B5F026">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00" w:firstLineChars="200"/>
        <w:textAlignment w:val="auto"/>
        <w:rPr>
          <w:rFonts w:hint="default"/>
          <w:lang w:val="en-US" w:eastAsia="zh-CN"/>
        </w:rPr>
      </w:pPr>
      <w:r>
        <w:rPr>
          <w:rFonts w:hint="eastAsia" w:eastAsia="仿宋_GB2312" w:cs="Times New Roman"/>
          <w:i w:val="0"/>
          <w:iCs w:val="0"/>
          <w:caps w:val="0"/>
          <w:color w:val="0D0D0D"/>
          <w:spacing w:val="0"/>
          <w:sz w:val="30"/>
          <w:szCs w:val="30"/>
          <w:shd w:val="clear" w:fill="FFFFFF"/>
          <w:lang w:val="en-US" w:eastAsia="zh-CN"/>
        </w:rPr>
        <w:t>乐西高速S1-5标项目经理部于2025年10月27日提出复垦验收书面申请，我局于10月31日组织农业农村局、林业局及高卓营乡人民政府以及村委会相关工作人员对该临时用地涉及的多个地块进行现场复垦验收，通过现场踏勘、查阅土地复垦方案，验收小组认为该临时用地复垦地类与土地复垦方案一致，其复垦土地达到可供利用状态，配套建设排水渠、田间道路，符合验收标准，一致同意通过验收</w:t>
      </w:r>
      <w:r>
        <w:rPr>
          <w:rFonts w:hint="eastAsia" w:eastAsia="仿宋_GB2312" w:cs="Times New Roman"/>
          <w:i w:val="0"/>
          <w:iCs w:val="0"/>
          <w:caps w:val="0"/>
          <w:color w:val="0D0D0D"/>
          <w:spacing w:val="0"/>
          <w:sz w:val="32"/>
          <w:szCs w:val="32"/>
          <w:shd w:val="clear" w:fill="FFFFFF"/>
          <w:lang w:val="en-US" w:eastAsia="zh-CN"/>
        </w:rPr>
        <w:t>。</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C071B3"/>
    <w:rsid w:val="0A4340E9"/>
    <w:rsid w:val="0F0330E8"/>
    <w:rsid w:val="22C633A5"/>
    <w:rsid w:val="52B20439"/>
    <w:rsid w:val="54DB3F55"/>
    <w:rsid w:val="5AC071B3"/>
    <w:rsid w:val="61AE4BE1"/>
    <w:rsid w:val="674962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仿宋_GB2312"/>
      <w:kern w:val="2"/>
      <w:sz w:val="24"/>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able of figures"/>
    <w:basedOn w:val="1"/>
    <w:next w:val="1"/>
    <w:qFormat/>
    <w:uiPriority w:val="0"/>
    <w:pPr>
      <w:ind w:leftChars="200" w:hanging="200" w:hangingChars="200"/>
    </w:p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1146</Words>
  <Characters>1533</Characters>
  <Lines>0</Lines>
  <Paragraphs>0</Paragraphs>
  <TotalTime>9</TotalTime>
  <ScaleCrop>false</ScaleCrop>
  <LinksUpToDate>false</LinksUpToDate>
  <CharactersWithSpaces>1545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2025-12-01T07:39:00Z</dcterms:created>
  <dc:creator>小朋友，揍你</dc:creator>
  <cp:lastModifiedBy>小朋友，揍你</cp:lastModifiedBy>
  <cp:lastPrinted>2025-12-05T02:08:00Z</cp:lastPrinted>
  <dcterms:modified xsi:type="dcterms:W3CDTF">2025-12-12T01:34:52Z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A23B4B5C5A6D437DB195DF5E894704E6_11</vt:lpwstr>
  </property>
  <property fmtid="{D5CDD505-2E9C-101B-9397-08002B2CF9AE}" pid="4" name="KSOTemplateDocerSaveRecord">
    <vt:lpwstr>eyJoZGlkIjoiNzUxZDliNWE4YzM2OTk3N2NlN2IxMWJkOTFkNGQxMDMiLCJ1c2VySWQiOiI1MDU4NjY1NDcifQ==</vt:lpwstr>
  </property>
</Properties>
</file>