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F7840">
      <w:pPr>
        <w:pStyle w:val="2"/>
        <w:widowControl/>
        <w:spacing w:before="630" w:beforeAutospacing="0" w:afterAutospacing="0" w:line="480" w:lineRule="atLeast"/>
        <w:jc w:val="center"/>
        <w:rPr>
          <w:rFonts w:hint="default" w:cs="宋体"/>
          <w:b w:val="0"/>
          <w:sz w:val="24"/>
          <w:szCs w:val="24"/>
          <w:lang w:bidi="ar"/>
        </w:rPr>
      </w:pPr>
      <w:bookmarkStart w:id="0" w:name="OLE_LINK2"/>
      <w:r>
        <w:rPr>
          <w:rFonts w:hint="eastAsia" w:cs="宋体"/>
          <w:b w:val="0"/>
          <w:sz w:val="24"/>
          <w:szCs w:val="24"/>
          <w:lang w:val="en-US" w:eastAsia="zh-CN" w:bidi="ar"/>
        </w:rPr>
        <w:t>乐山市</w:t>
      </w:r>
      <w:r>
        <w:rPr>
          <w:rFonts w:cs="宋体"/>
          <w:b w:val="0"/>
          <w:sz w:val="24"/>
          <w:szCs w:val="24"/>
          <w:lang w:bidi="ar"/>
        </w:rPr>
        <w:t>马边生态环境局关于</w:t>
      </w:r>
      <w:r>
        <w:rPr>
          <w:rFonts w:hint="eastAsia" w:cs="宋体"/>
          <w:b w:val="0"/>
          <w:sz w:val="24"/>
          <w:szCs w:val="24"/>
          <w:lang w:val="en-US" w:eastAsia="zh-CN" w:bidi="ar"/>
        </w:rPr>
        <w:t>马边鑫丰源矿业有限责任公司阿罗觉巴磷矿二号井破碎筛分系统工程</w:t>
      </w:r>
      <w:r>
        <w:rPr>
          <w:rFonts w:cs="宋体"/>
          <w:b w:val="0"/>
          <w:sz w:val="24"/>
          <w:szCs w:val="24"/>
          <w:lang w:bidi="ar"/>
        </w:rPr>
        <w:t>环境影响评价文件审批决定的公告</w:t>
      </w:r>
      <w:bookmarkStart w:id="1" w:name="OLE_LINK5"/>
      <w:bookmarkStart w:id="2" w:name="OLE_LINK1"/>
    </w:p>
    <w:p w14:paraId="31CB7E7E">
      <w:pPr>
        <w:pStyle w:val="2"/>
        <w:widowControl/>
        <w:spacing w:before="630" w:beforeAutospacing="0" w:afterAutospacing="0" w:line="480" w:lineRule="atLeast"/>
        <w:ind w:firstLine="480" w:firstLineChars="200"/>
        <w:rPr>
          <w:rFonts w:hint="default" w:cs="宋体"/>
          <w:b w:val="0"/>
          <w:sz w:val="24"/>
          <w:szCs w:val="24"/>
          <w:lang w:bidi="ar"/>
        </w:rPr>
      </w:pPr>
      <w:r>
        <w:rPr>
          <w:rFonts w:cs="宋体"/>
          <w:b w:val="0"/>
          <w:sz w:val="24"/>
          <w:szCs w:val="24"/>
          <w:lang w:bidi="ar"/>
        </w:rPr>
        <w:t>根据建设项目环境影响评价审批程序的有关规定，经审查，我局对</w:t>
      </w:r>
      <w:r>
        <w:rPr>
          <w:rFonts w:hint="eastAsia" w:cs="宋体"/>
          <w:b w:val="0"/>
          <w:sz w:val="24"/>
          <w:szCs w:val="24"/>
          <w:lang w:val="en-US" w:eastAsia="zh-CN" w:bidi="ar"/>
        </w:rPr>
        <w:t>马边鑫丰源矿业有限责任公司阿罗觉巴磷矿二号井破碎筛分系统工程</w:t>
      </w:r>
      <w:r>
        <w:rPr>
          <w:rFonts w:cs="宋体"/>
          <w:b w:val="0"/>
          <w:sz w:val="24"/>
          <w:szCs w:val="24"/>
          <w:lang w:bidi="ar"/>
        </w:rPr>
        <w:t>作出审批决定。现将作出的审批决定情况予以公告，公告期为202</w:t>
      </w:r>
      <w:r>
        <w:rPr>
          <w:rFonts w:hint="eastAsia" w:cs="宋体"/>
          <w:b w:val="0"/>
          <w:sz w:val="24"/>
          <w:szCs w:val="24"/>
          <w:lang w:val="en-US" w:eastAsia="zh-CN" w:bidi="ar"/>
        </w:rPr>
        <w:t>5</w:t>
      </w:r>
      <w:r>
        <w:rPr>
          <w:rFonts w:cs="宋体"/>
          <w:b w:val="0"/>
          <w:sz w:val="24"/>
          <w:szCs w:val="24"/>
          <w:lang w:bidi="ar"/>
        </w:rPr>
        <w:t>年</w:t>
      </w:r>
      <w:r>
        <w:rPr>
          <w:rFonts w:hint="eastAsia" w:cs="宋体"/>
          <w:b w:val="0"/>
          <w:sz w:val="24"/>
          <w:szCs w:val="24"/>
          <w:lang w:val="en-US" w:eastAsia="zh-CN" w:bidi="ar"/>
        </w:rPr>
        <w:t>11</w:t>
      </w:r>
      <w:r>
        <w:rPr>
          <w:rFonts w:cs="宋体"/>
          <w:b w:val="0"/>
          <w:sz w:val="24"/>
          <w:szCs w:val="24"/>
          <w:lang w:bidi="ar"/>
        </w:rPr>
        <w:t>月</w:t>
      </w:r>
      <w:r>
        <w:rPr>
          <w:rFonts w:hint="eastAsia" w:cs="宋体"/>
          <w:b w:val="0"/>
          <w:sz w:val="24"/>
          <w:szCs w:val="24"/>
          <w:lang w:val="en-US" w:eastAsia="zh-CN" w:bidi="ar"/>
        </w:rPr>
        <w:t>21</w:t>
      </w:r>
      <w:r>
        <w:rPr>
          <w:rFonts w:cs="宋体"/>
          <w:b w:val="0"/>
          <w:sz w:val="24"/>
          <w:szCs w:val="24"/>
          <w:lang w:bidi="ar"/>
        </w:rPr>
        <w:t>日－20</w:t>
      </w:r>
      <w:r>
        <w:rPr>
          <w:rFonts w:hint="default" w:cs="宋体"/>
          <w:b w:val="0"/>
          <w:sz w:val="24"/>
          <w:szCs w:val="24"/>
          <w:lang w:bidi="ar"/>
        </w:rPr>
        <w:t>2</w:t>
      </w:r>
      <w:r>
        <w:rPr>
          <w:rFonts w:hint="eastAsia" w:cs="宋体"/>
          <w:b w:val="0"/>
          <w:sz w:val="24"/>
          <w:szCs w:val="24"/>
          <w:lang w:val="en-US" w:eastAsia="zh-CN" w:bidi="ar"/>
        </w:rPr>
        <w:t>5</w:t>
      </w:r>
      <w:r>
        <w:rPr>
          <w:rFonts w:cs="宋体"/>
          <w:b w:val="0"/>
          <w:sz w:val="24"/>
          <w:szCs w:val="24"/>
          <w:lang w:bidi="ar"/>
        </w:rPr>
        <w:t>年</w:t>
      </w:r>
      <w:r>
        <w:rPr>
          <w:rFonts w:hint="eastAsia" w:cs="宋体"/>
          <w:b w:val="0"/>
          <w:sz w:val="24"/>
          <w:szCs w:val="24"/>
          <w:lang w:val="en-US" w:eastAsia="zh-CN" w:bidi="ar"/>
        </w:rPr>
        <w:t>12</w:t>
      </w:r>
      <w:r>
        <w:rPr>
          <w:rFonts w:cs="宋体"/>
          <w:b w:val="0"/>
          <w:sz w:val="24"/>
          <w:szCs w:val="24"/>
          <w:lang w:bidi="ar"/>
        </w:rPr>
        <w:t>月</w:t>
      </w:r>
      <w:r>
        <w:rPr>
          <w:rFonts w:hint="eastAsia" w:cs="宋体"/>
          <w:b w:val="0"/>
          <w:sz w:val="24"/>
          <w:szCs w:val="24"/>
          <w:lang w:val="en-US" w:eastAsia="zh-CN" w:bidi="ar"/>
        </w:rPr>
        <w:t>1</w:t>
      </w:r>
      <w:r>
        <w:rPr>
          <w:rFonts w:cs="宋体"/>
          <w:b w:val="0"/>
          <w:sz w:val="24"/>
          <w:szCs w:val="24"/>
          <w:lang w:bidi="ar"/>
        </w:rPr>
        <w:t>日（</w:t>
      </w:r>
      <w:r>
        <w:rPr>
          <w:rFonts w:hint="eastAsia" w:cs="宋体"/>
          <w:b w:val="0"/>
          <w:sz w:val="24"/>
          <w:szCs w:val="24"/>
          <w:lang w:val="en-US" w:eastAsia="zh-CN" w:bidi="ar"/>
        </w:rPr>
        <w:t>7</w:t>
      </w:r>
      <w:r>
        <w:rPr>
          <w:rFonts w:cs="宋体"/>
          <w:b w:val="0"/>
          <w:sz w:val="24"/>
          <w:szCs w:val="24"/>
          <w:lang w:bidi="ar"/>
        </w:rPr>
        <w:t>个工作日）。行政复议与行政诉讼权利告知：依据《中华人民共和国行政复议法》和《中华人民共和国行政诉讼法》，公民、法人或者其他组织认为公告的建设项目环境影响评价文件审批决定或建设项目竣工环境保护验收决定侵犯其合法权益的，可以自公告期限届满之日起六十日内提起行政复议，也可以自公告期限届满之日起</w:t>
      </w:r>
      <w:r>
        <w:rPr>
          <w:rFonts w:hint="eastAsia" w:cs="宋体"/>
          <w:b w:val="0"/>
          <w:sz w:val="24"/>
          <w:szCs w:val="24"/>
          <w:lang w:val="en-US" w:eastAsia="zh-CN" w:bidi="ar"/>
        </w:rPr>
        <w:t>六</w:t>
      </w:r>
      <w:r>
        <w:rPr>
          <w:rFonts w:cs="宋体"/>
          <w:b w:val="0"/>
          <w:sz w:val="24"/>
          <w:szCs w:val="24"/>
          <w:lang w:bidi="ar"/>
        </w:rPr>
        <w:t>个月内提起行政诉讼。</w:t>
      </w:r>
    </w:p>
    <w:p w14:paraId="10307E47">
      <w:pPr>
        <w:pStyle w:val="8"/>
        <w:widowControl/>
        <w:spacing w:beforeAutospacing="0" w:afterAutospacing="0" w:line="360" w:lineRule="auto"/>
        <w:ind w:firstLine="480"/>
        <w:rPr>
          <w:rFonts w:ascii="宋体" w:hAnsi="宋体" w:cs="宋体"/>
          <w:szCs w:val="24"/>
          <w:lang w:bidi="ar"/>
        </w:rPr>
      </w:pPr>
      <w:r>
        <w:rPr>
          <w:rFonts w:hint="eastAsia" w:ascii="宋体" w:hAnsi="宋体" w:cs="宋体"/>
          <w:szCs w:val="24"/>
          <w:lang w:bidi="ar"/>
        </w:rPr>
        <w:t>联系电话：</w:t>
      </w:r>
      <w:r>
        <w:rPr>
          <w:rStyle w:val="14"/>
          <w:rFonts w:hint="eastAsia" w:ascii="宋体" w:hAnsi="宋体" w:cs="宋体"/>
          <w:i w:val="0"/>
          <w:color w:val="333333"/>
          <w:szCs w:val="24"/>
          <w:shd w:val="clear" w:color="auto" w:fill="FFFFFF"/>
          <w:lang w:bidi="ar"/>
        </w:rPr>
        <w:t>0833－4520700</w:t>
      </w:r>
      <w:r>
        <w:rPr>
          <w:rFonts w:hint="eastAsia" w:ascii="宋体" w:hAnsi="宋体" w:cs="宋体"/>
          <w:szCs w:val="24"/>
          <w:lang w:bidi="ar"/>
        </w:rPr>
        <w:t>（马边生态环境局）　　</w:t>
      </w:r>
    </w:p>
    <w:p w14:paraId="74F16690">
      <w:pPr>
        <w:pStyle w:val="8"/>
        <w:widowControl/>
        <w:spacing w:beforeAutospacing="0" w:afterAutospacing="0" w:line="360" w:lineRule="auto"/>
        <w:ind w:firstLine="480"/>
        <w:rPr>
          <w:rFonts w:ascii="宋体" w:hAnsi="宋体" w:cs="宋体"/>
          <w:szCs w:val="24"/>
          <w:lang w:bidi="ar"/>
        </w:rPr>
      </w:pPr>
      <w:r>
        <w:rPr>
          <w:rFonts w:hint="eastAsia" w:ascii="宋体" w:hAnsi="宋体" w:cs="宋体"/>
          <w:szCs w:val="24"/>
          <w:lang w:bidi="ar"/>
        </w:rPr>
        <w:t>传 　 真：</w:t>
      </w:r>
      <w:r>
        <w:rPr>
          <w:rStyle w:val="14"/>
          <w:rFonts w:hint="eastAsia" w:ascii="宋体" w:hAnsi="宋体" w:cs="宋体"/>
          <w:i w:val="0"/>
          <w:color w:val="333333"/>
          <w:szCs w:val="24"/>
          <w:shd w:val="clear" w:color="auto" w:fill="FFFFFF"/>
          <w:lang w:bidi="ar"/>
        </w:rPr>
        <w:t>0833－4520700</w:t>
      </w:r>
      <w:r>
        <w:rPr>
          <w:rFonts w:hint="eastAsia" w:ascii="宋体" w:hAnsi="宋体" w:cs="宋体"/>
          <w:szCs w:val="24"/>
          <w:lang w:bidi="ar"/>
        </w:rPr>
        <w:t>　　</w:t>
      </w:r>
    </w:p>
    <w:p w14:paraId="49C6A0B5">
      <w:pPr>
        <w:pStyle w:val="8"/>
        <w:widowControl/>
        <w:spacing w:beforeAutospacing="0" w:afterAutospacing="0" w:line="360" w:lineRule="auto"/>
        <w:ind w:firstLine="480"/>
        <w:rPr>
          <w:rFonts w:ascii="宋体" w:hAnsi="宋体" w:cs="宋体"/>
          <w:szCs w:val="24"/>
          <w:lang w:bidi="ar"/>
        </w:rPr>
      </w:pPr>
      <w:r>
        <w:rPr>
          <w:rFonts w:hint="eastAsia" w:ascii="宋体" w:hAnsi="宋体" w:cs="宋体"/>
          <w:szCs w:val="24"/>
          <w:lang w:bidi="ar"/>
        </w:rPr>
        <w:t>通讯地址：</w:t>
      </w:r>
      <w:r>
        <w:rPr>
          <w:rStyle w:val="14"/>
          <w:rFonts w:hint="eastAsia" w:ascii="宋体" w:hAnsi="宋体" w:cs="宋体"/>
          <w:i w:val="0"/>
          <w:color w:val="333333"/>
          <w:szCs w:val="24"/>
          <w:shd w:val="clear" w:color="auto" w:fill="FFFFFF"/>
          <w:lang w:bidi="ar"/>
        </w:rPr>
        <w:t>马边彝族自治县民建镇鄢家巷安置小区1号楼A、B区3F</w:t>
      </w:r>
    </w:p>
    <w:p w14:paraId="520EAFB1">
      <w:pPr>
        <w:pStyle w:val="8"/>
        <w:widowControl/>
        <w:spacing w:beforeAutospacing="0" w:afterAutospacing="0" w:line="360" w:lineRule="auto"/>
        <w:ind w:firstLine="480"/>
        <w:rPr>
          <w:rFonts w:ascii="宋体" w:hAnsi="宋体" w:cs="宋体"/>
          <w:szCs w:val="24"/>
          <w:lang w:bidi="ar"/>
        </w:rPr>
      </w:pPr>
      <w:r>
        <w:rPr>
          <w:rFonts w:hint="eastAsia" w:ascii="宋体" w:hAnsi="宋体" w:cs="宋体"/>
          <w:szCs w:val="24"/>
          <w:lang w:bidi="ar"/>
        </w:rPr>
        <w:t>邮政编码：614600　</w:t>
      </w:r>
    </w:p>
    <w:tbl>
      <w:tblPr>
        <w:tblStyle w:val="10"/>
        <w:tblW w:w="1105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527"/>
        <w:gridCol w:w="3062"/>
        <w:gridCol w:w="2195"/>
        <w:gridCol w:w="2222"/>
        <w:gridCol w:w="1051"/>
      </w:tblGrid>
      <w:tr w14:paraId="4AA3F25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24" w:hRule="atLeast"/>
          <w:tblHeader/>
          <w:jc w:val="center"/>
        </w:trPr>
        <w:tc>
          <w:tcPr>
            <w:tcW w:w="2527" w:type="dxa"/>
            <w:tcBorders>
              <w:top w:val="single" w:color="000000" w:sz="6" w:space="0"/>
              <w:bottom w:val="single" w:color="000000" w:sz="6" w:space="0"/>
              <w:right w:val="single" w:color="000000" w:sz="6" w:space="0"/>
            </w:tcBorders>
            <w:vAlign w:val="center"/>
          </w:tcPr>
          <w:p w14:paraId="3E536A7C">
            <w:pPr>
              <w:widowControl/>
              <w:jc w:val="center"/>
              <w:rPr>
                <w:rFonts w:ascii="宋体" w:hAnsi="宋体" w:cs="宋体"/>
                <w:sz w:val="28"/>
                <w:szCs w:val="28"/>
              </w:rPr>
            </w:pPr>
            <w:r>
              <w:rPr>
                <w:rFonts w:hint="eastAsia" w:ascii="宋体" w:hAnsi="宋体" w:cs="宋体"/>
                <w:bCs/>
                <w:kern w:val="0"/>
                <w:sz w:val="24"/>
                <w:szCs w:val="24"/>
              </w:rPr>
              <w:t>项目名称</w:t>
            </w:r>
          </w:p>
        </w:tc>
        <w:tc>
          <w:tcPr>
            <w:tcW w:w="3062" w:type="dxa"/>
            <w:tcBorders>
              <w:top w:val="single" w:color="000000" w:sz="6" w:space="0"/>
              <w:left w:val="single" w:color="000000" w:sz="6" w:space="0"/>
              <w:bottom w:val="single" w:color="000000" w:sz="6" w:space="0"/>
              <w:right w:val="single" w:color="000000" w:sz="6" w:space="0"/>
            </w:tcBorders>
            <w:vAlign w:val="center"/>
          </w:tcPr>
          <w:p w14:paraId="127E41EB">
            <w:pPr>
              <w:widowControl/>
              <w:jc w:val="center"/>
              <w:rPr>
                <w:rFonts w:ascii="宋体" w:hAnsi="宋体" w:cs="宋体"/>
                <w:sz w:val="28"/>
                <w:szCs w:val="28"/>
              </w:rPr>
            </w:pPr>
            <w:r>
              <w:rPr>
                <w:rFonts w:hint="eastAsia" w:ascii="宋体" w:hAnsi="宋体" w:cs="宋体"/>
                <w:bCs/>
                <w:kern w:val="0"/>
                <w:sz w:val="24"/>
                <w:szCs w:val="24"/>
              </w:rPr>
              <w:t>建设地点</w:t>
            </w:r>
          </w:p>
        </w:tc>
        <w:tc>
          <w:tcPr>
            <w:tcW w:w="2195" w:type="dxa"/>
            <w:tcBorders>
              <w:top w:val="single" w:color="000000" w:sz="6" w:space="0"/>
              <w:left w:val="single" w:color="000000" w:sz="6" w:space="0"/>
              <w:bottom w:val="single" w:color="000000" w:sz="6" w:space="0"/>
              <w:right w:val="single" w:color="000000" w:sz="6" w:space="0"/>
            </w:tcBorders>
            <w:vAlign w:val="center"/>
          </w:tcPr>
          <w:p w14:paraId="4AA4386E">
            <w:pPr>
              <w:widowControl/>
              <w:jc w:val="center"/>
              <w:rPr>
                <w:rFonts w:ascii="Times New Roman" w:hAnsi="Times New Roman" w:cs="Times New Roman"/>
                <w:sz w:val="24"/>
                <w:szCs w:val="24"/>
              </w:rPr>
            </w:pPr>
            <w:r>
              <w:rPr>
                <w:rFonts w:hint="eastAsia" w:ascii="Times New Roman" w:hAnsi="Times New Roman" w:cs="Times New Roman"/>
                <w:sz w:val="24"/>
                <w:szCs w:val="24"/>
              </w:rPr>
              <w:t>建设单位</w:t>
            </w:r>
          </w:p>
        </w:tc>
        <w:tc>
          <w:tcPr>
            <w:tcW w:w="2222" w:type="dxa"/>
            <w:tcBorders>
              <w:top w:val="single" w:color="000000" w:sz="6" w:space="0"/>
              <w:left w:val="single" w:color="000000" w:sz="6" w:space="0"/>
              <w:bottom w:val="single" w:color="000000" w:sz="6" w:space="0"/>
              <w:right w:val="single" w:color="000000" w:sz="6" w:space="0"/>
            </w:tcBorders>
            <w:vAlign w:val="center"/>
          </w:tcPr>
          <w:p w14:paraId="14D7111D">
            <w:pPr>
              <w:widowControl/>
              <w:jc w:val="center"/>
              <w:rPr>
                <w:rFonts w:ascii="Times New Roman" w:hAnsi="Times New Roman" w:cs="Times New Roman"/>
                <w:sz w:val="24"/>
                <w:szCs w:val="24"/>
              </w:rPr>
            </w:pPr>
            <w:r>
              <w:rPr>
                <w:rFonts w:hint="eastAsia" w:ascii="Times New Roman" w:hAnsi="Times New Roman" w:cs="Times New Roman"/>
                <w:sz w:val="24"/>
                <w:szCs w:val="24"/>
              </w:rPr>
              <w:t>审批文号</w:t>
            </w:r>
          </w:p>
        </w:tc>
        <w:tc>
          <w:tcPr>
            <w:tcW w:w="1051" w:type="dxa"/>
            <w:tcBorders>
              <w:top w:val="single" w:color="000000" w:sz="6" w:space="0"/>
              <w:left w:val="single" w:color="000000" w:sz="6" w:space="0"/>
              <w:bottom w:val="single" w:color="000000" w:sz="6" w:space="0"/>
            </w:tcBorders>
            <w:vAlign w:val="center"/>
          </w:tcPr>
          <w:p w14:paraId="6D6889D4">
            <w:pPr>
              <w:widowControl/>
              <w:jc w:val="center"/>
              <w:rPr>
                <w:rFonts w:ascii="Times New Roman" w:hAnsi="Times New Roman" w:cs="Times New Roman"/>
                <w:sz w:val="24"/>
                <w:szCs w:val="24"/>
              </w:rPr>
            </w:pPr>
            <w:r>
              <w:rPr>
                <w:rFonts w:hint="eastAsia" w:ascii="Times New Roman" w:hAnsi="Times New Roman" w:cs="Times New Roman"/>
                <w:sz w:val="24"/>
                <w:szCs w:val="24"/>
              </w:rPr>
              <w:t>审批时间</w:t>
            </w:r>
          </w:p>
        </w:tc>
      </w:tr>
      <w:tr w14:paraId="7B6F428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55" w:hRule="atLeast"/>
          <w:tblHeader/>
          <w:jc w:val="center"/>
        </w:trPr>
        <w:tc>
          <w:tcPr>
            <w:tcW w:w="2527" w:type="dxa"/>
            <w:tcBorders>
              <w:top w:val="single" w:color="000000" w:sz="6" w:space="0"/>
              <w:bottom w:val="single" w:color="000000" w:sz="6" w:space="0"/>
              <w:right w:val="single" w:color="000000" w:sz="6" w:space="0"/>
            </w:tcBorders>
            <w:vAlign w:val="center"/>
          </w:tcPr>
          <w:p w14:paraId="52F1462A">
            <w:pPr>
              <w:widowControl/>
              <w:jc w:val="center"/>
              <w:rPr>
                <w:rFonts w:ascii="宋体" w:hAnsi="宋体" w:cs="宋体"/>
                <w:sz w:val="24"/>
                <w:szCs w:val="24"/>
              </w:rPr>
            </w:pPr>
            <w:r>
              <w:rPr>
                <w:rFonts w:hint="eastAsia" w:ascii="宋体" w:hAnsi="宋体" w:eastAsia="宋体" w:cs="宋体"/>
                <w:b w:val="0"/>
                <w:bCs/>
                <w:color w:val="auto"/>
                <w:kern w:val="0"/>
                <w:sz w:val="24"/>
                <w:szCs w:val="24"/>
                <w:lang w:val="en-US" w:eastAsia="zh-CN"/>
              </w:rPr>
              <w:t>马边鑫丰源矿业有限责任公司阿罗觉巴磷矿二号井破碎筛分系统工程</w:t>
            </w:r>
          </w:p>
        </w:tc>
        <w:tc>
          <w:tcPr>
            <w:tcW w:w="3062" w:type="dxa"/>
            <w:tcBorders>
              <w:top w:val="single" w:color="000000" w:sz="6" w:space="0"/>
              <w:left w:val="single" w:color="000000" w:sz="6" w:space="0"/>
              <w:bottom w:val="single" w:color="000000" w:sz="6" w:space="0"/>
              <w:right w:val="single" w:color="000000" w:sz="6" w:space="0"/>
            </w:tcBorders>
            <w:vAlign w:val="center"/>
          </w:tcPr>
          <w:p w14:paraId="502BC2C1">
            <w:pPr>
              <w:widowControl/>
              <w:jc w:val="center"/>
              <w:rPr>
                <w:rFonts w:ascii="宋体" w:hAnsi="宋体" w:cs="宋体"/>
                <w:bCs/>
                <w:kern w:val="0"/>
                <w:sz w:val="24"/>
                <w:szCs w:val="24"/>
              </w:rPr>
            </w:pPr>
            <w:r>
              <w:rPr>
                <w:rFonts w:hint="default" w:ascii="宋体" w:hAnsi="宋体" w:eastAsia="宋体" w:cs="宋体"/>
                <w:b w:val="0"/>
                <w:bCs/>
                <w:color w:val="auto"/>
                <w:kern w:val="0"/>
                <w:sz w:val="24"/>
                <w:szCs w:val="24"/>
                <w:lang w:val="en-US" w:eastAsia="zh-CN"/>
              </w:rPr>
              <w:t>四川省乐山市马边彝族自治县烟峰镇大风顶村1组</w:t>
            </w:r>
          </w:p>
        </w:tc>
        <w:tc>
          <w:tcPr>
            <w:tcW w:w="2195" w:type="dxa"/>
            <w:tcBorders>
              <w:top w:val="single" w:color="000000" w:sz="6" w:space="0"/>
              <w:left w:val="single" w:color="000000" w:sz="6" w:space="0"/>
              <w:bottom w:val="single" w:color="000000" w:sz="6" w:space="0"/>
              <w:right w:val="single" w:color="000000" w:sz="6" w:space="0"/>
            </w:tcBorders>
            <w:vAlign w:val="center"/>
          </w:tcPr>
          <w:p w14:paraId="3342423E">
            <w:pPr>
              <w:widowControl/>
              <w:jc w:val="center"/>
              <w:rPr>
                <w:rFonts w:ascii="Times New Roman" w:hAnsi="Times New Roman" w:cs="Times New Roman"/>
                <w:sz w:val="24"/>
                <w:szCs w:val="24"/>
              </w:rPr>
            </w:pPr>
            <w:r>
              <w:rPr>
                <w:rFonts w:hint="eastAsia" w:ascii="宋体" w:hAnsi="宋体" w:eastAsia="宋体" w:cs="宋体"/>
                <w:b w:val="0"/>
                <w:bCs/>
                <w:color w:val="auto"/>
                <w:kern w:val="0"/>
                <w:sz w:val="24"/>
                <w:szCs w:val="24"/>
                <w:lang w:val="en-US" w:eastAsia="zh-CN"/>
              </w:rPr>
              <w:t>马边鑫丰源矿业有限责任公司</w:t>
            </w:r>
          </w:p>
        </w:tc>
        <w:tc>
          <w:tcPr>
            <w:tcW w:w="2222" w:type="dxa"/>
            <w:tcBorders>
              <w:top w:val="single" w:color="000000" w:sz="6" w:space="0"/>
              <w:left w:val="single" w:color="000000" w:sz="6" w:space="0"/>
              <w:bottom w:val="single" w:color="000000" w:sz="6" w:space="0"/>
              <w:right w:val="single" w:color="000000" w:sz="6" w:space="0"/>
            </w:tcBorders>
            <w:vAlign w:val="center"/>
          </w:tcPr>
          <w:p w14:paraId="2EEAF4FE">
            <w:pPr>
              <w:widowControl/>
              <w:jc w:val="center"/>
              <w:rPr>
                <w:rFonts w:ascii="Times New Roman" w:hAnsi="Times New Roman" w:cs="Times New Roman"/>
                <w:sz w:val="24"/>
                <w:szCs w:val="24"/>
              </w:rPr>
            </w:pPr>
            <w:r>
              <w:rPr>
                <w:rFonts w:hint="eastAsia" w:ascii="Times New Roman" w:hAnsi="Times New Roman" w:cs="Times New Roman"/>
                <w:sz w:val="24"/>
                <w:szCs w:val="24"/>
              </w:rPr>
              <w:t>乐市环审马字〔202</w:t>
            </w:r>
            <w:r>
              <w:rPr>
                <w:rFonts w:hint="eastAsia" w:ascii="Times New Roman" w:hAnsi="Times New Roman" w:cs="Times New Roman"/>
                <w:sz w:val="24"/>
                <w:szCs w:val="24"/>
                <w:lang w:val="en-US" w:eastAsia="zh-CN"/>
              </w:rPr>
              <w:t>5</w:t>
            </w:r>
            <w:r>
              <w:rPr>
                <w:rFonts w:hint="eastAsia" w:ascii="Times New Roman" w:hAnsi="Times New Roman" w:cs="Times New Roman"/>
                <w:sz w:val="24"/>
                <w:szCs w:val="24"/>
              </w:rPr>
              <w:t>〕</w:t>
            </w:r>
            <w:r>
              <w:rPr>
                <w:rFonts w:hint="eastAsia" w:ascii="Times New Roman" w:hAnsi="Times New Roman" w:cs="Times New Roman"/>
                <w:sz w:val="24"/>
                <w:szCs w:val="24"/>
                <w:lang w:val="en-US" w:eastAsia="zh-CN"/>
              </w:rPr>
              <w:t>9</w:t>
            </w:r>
            <w:r>
              <w:rPr>
                <w:rFonts w:hint="eastAsia" w:ascii="Times New Roman" w:hAnsi="Times New Roman" w:cs="Times New Roman"/>
                <w:sz w:val="24"/>
                <w:szCs w:val="24"/>
              </w:rPr>
              <w:t>号</w:t>
            </w:r>
          </w:p>
        </w:tc>
        <w:tc>
          <w:tcPr>
            <w:tcW w:w="1051" w:type="dxa"/>
            <w:tcBorders>
              <w:top w:val="single" w:color="000000" w:sz="6" w:space="0"/>
              <w:left w:val="single" w:color="000000" w:sz="6" w:space="0"/>
              <w:bottom w:val="single" w:color="000000" w:sz="6" w:space="0"/>
            </w:tcBorders>
            <w:vAlign w:val="center"/>
          </w:tcPr>
          <w:p w14:paraId="54AD6A9B">
            <w:pPr>
              <w:widowControl/>
              <w:jc w:val="center"/>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2025.11.21</w:t>
            </w:r>
          </w:p>
        </w:tc>
      </w:tr>
    </w:tbl>
    <w:p w14:paraId="13CB7174">
      <w:pPr>
        <w:snapToGrid w:val="0"/>
        <w:spacing w:line="560" w:lineRule="exact"/>
        <w:rPr>
          <w:rFonts w:hint="eastAsia" w:ascii="宋体" w:hAnsi="宋体" w:eastAsia="宋体" w:cs="宋体"/>
          <w:kern w:val="0"/>
          <w:sz w:val="24"/>
          <w:szCs w:val="24"/>
        </w:rPr>
      </w:pPr>
      <w:r>
        <w:rPr>
          <w:rFonts w:hint="eastAsia" w:ascii="宋体" w:hAnsi="宋体" w:cs="宋体"/>
          <w:kern w:val="0"/>
          <w:sz w:val="24"/>
          <w:szCs w:val="24"/>
        </w:rPr>
        <w:t>注：根据《建设项目环境影响评价政府信息公开指南（试行）》的有关规定，上述环境影响</w:t>
      </w:r>
      <w:r>
        <w:rPr>
          <w:rFonts w:hint="eastAsia" w:ascii="宋体" w:hAnsi="宋体" w:eastAsia="宋体" w:cs="宋体"/>
          <w:kern w:val="0"/>
          <w:sz w:val="24"/>
          <w:szCs w:val="24"/>
        </w:rPr>
        <w:t>报告书、表不含涉及国家秘密、商业秘密、个人隐私以及涉及国家安全、公共安全、经济安全和社会稳定的内容。</w:t>
      </w:r>
      <w:bookmarkEnd w:id="0"/>
      <w:bookmarkEnd w:id="1"/>
      <w:bookmarkEnd w:id="2"/>
    </w:p>
    <w:p w14:paraId="6F2E2E17">
      <w:pPr>
        <w:snapToGrid w:val="0"/>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附件：</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项目环评审批文件</w:t>
      </w:r>
    </w:p>
    <w:p w14:paraId="11C43FE4">
      <w:pPr>
        <w:snapToGrid w:val="0"/>
        <w:spacing w:line="560" w:lineRule="exac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2.</w:t>
      </w:r>
      <w:r>
        <w:rPr>
          <w:rFonts w:hint="eastAsia" w:cs="宋体"/>
          <w:b w:val="0"/>
          <w:sz w:val="24"/>
          <w:szCs w:val="24"/>
          <w:lang w:val="en-US" w:eastAsia="zh-CN" w:bidi="ar"/>
        </w:rPr>
        <w:t>马边鑫丰源矿业有限责任公司阿罗觉巴磷矿二号井破碎筛分系统工程</w:t>
      </w:r>
      <w:r>
        <w:rPr>
          <w:rFonts w:hint="eastAsia" w:ascii="宋体" w:hAnsi="宋体" w:eastAsia="宋体" w:cs="宋体"/>
          <w:kern w:val="0"/>
          <w:sz w:val="24"/>
          <w:szCs w:val="24"/>
          <w:lang w:val="en-US" w:eastAsia="zh-CN"/>
        </w:rPr>
        <w:t>环境影响报告表</w:t>
      </w:r>
      <w:bookmarkStart w:id="3" w:name="_GoBack"/>
      <w:bookmarkEnd w:id="3"/>
    </w:p>
    <w:sectPr>
      <w:headerReference r:id="rId3" w:type="default"/>
      <w:footerReference r:id="rId4" w:type="default"/>
      <w:footerReference r:id="rId5" w:type="even"/>
      <w:pgSz w:w="11906" w:h="16838"/>
      <w:pgMar w:top="2098" w:right="1474" w:bottom="1440"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sz w:val="28"/>
        <w:szCs w:val="28"/>
      </w:rPr>
      <w:id w:val="29972145"/>
    </w:sdtPr>
    <w:sdtEndPr>
      <w:rPr>
        <w:rFonts w:ascii="宋体" w:hAnsi="宋体"/>
        <w:sz w:val="28"/>
        <w:szCs w:val="28"/>
      </w:rPr>
    </w:sdtEndPr>
    <w:sdtContent>
      <w:p w14:paraId="2A454C26">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1 -</w:t>
        </w:r>
        <w:r>
          <w:rPr>
            <w:rFonts w:ascii="宋体" w:hAnsi="宋体"/>
            <w:sz w:val="28"/>
            <w:szCs w:val="28"/>
          </w:rPr>
          <w:fldChar w:fldCharType="end"/>
        </w:r>
      </w:p>
    </w:sdtContent>
  </w:sdt>
  <w:p w14:paraId="7C70BFB2">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sz w:val="28"/>
        <w:szCs w:val="28"/>
      </w:rPr>
      <w:id w:val="29972149"/>
    </w:sdtPr>
    <w:sdtEndPr>
      <w:rPr>
        <w:rFonts w:ascii="宋体" w:hAnsi="宋体"/>
        <w:sz w:val="28"/>
        <w:szCs w:val="28"/>
      </w:rPr>
    </w:sdtEndPr>
    <w:sdtContent>
      <w:p w14:paraId="39F9913E">
        <w:pPr>
          <w:pStyle w:val="6"/>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sdtContent>
  </w:sdt>
  <w:p w14:paraId="76CFE49E">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58DC0">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oNotHyphenateCaps/>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MWRhZDEwMzdhNmMyNDgwOTFjZWJhM2Y1YmZhNTkifQ=="/>
  </w:docVars>
  <w:rsids>
    <w:rsidRoot w:val="003C3F6E"/>
    <w:rsid w:val="000108C4"/>
    <w:rsid w:val="000157B3"/>
    <w:rsid w:val="000377A4"/>
    <w:rsid w:val="00065AB6"/>
    <w:rsid w:val="0009125F"/>
    <w:rsid w:val="00096C2F"/>
    <w:rsid w:val="000A1812"/>
    <w:rsid w:val="000E7CA3"/>
    <w:rsid w:val="00134A8C"/>
    <w:rsid w:val="001406F3"/>
    <w:rsid w:val="00162528"/>
    <w:rsid w:val="0019000F"/>
    <w:rsid w:val="00207449"/>
    <w:rsid w:val="00216AD3"/>
    <w:rsid w:val="0024269A"/>
    <w:rsid w:val="0028040B"/>
    <w:rsid w:val="00300524"/>
    <w:rsid w:val="00317B45"/>
    <w:rsid w:val="00354FF8"/>
    <w:rsid w:val="00370812"/>
    <w:rsid w:val="003A2355"/>
    <w:rsid w:val="003C0989"/>
    <w:rsid w:val="003C3F6E"/>
    <w:rsid w:val="003D4B1E"/>
    <w:rsid w:val="003D671F"/>
    <w:rsid w:val="003F187D"/>
    <w:rsid w:val="003F5199"/>
    <w:rsid w:val="00400E31"/>
    <w:rsid w:val="00405DB4"/>
    <w:rsid w:val="00415901"/>
    <w:rsid w:val="00436FAA"/>
    <w:rsid w:val="004D5ADE"/>
    <w:rsid w:val="00536ACA"/>
    <w:rsid w:val="005778FD"/>
    <w:rsid w:val="005E26D8"/>
    <w:rsid w:val="005E54E7"/>
    <w:rsid w:val="005F1C73"/>
    <w:rsid w:val="00601933"/>
    <w:rsid w:val="006023F2"/>
    <w:rsid w:val="00605D2D"/>
    <w:rsid w:val="006530AE"/>
    <w:rsid w:val="00660D73"/>
    <w:rsid w:val="00663B99"/>
    <w:rsid w:val="006738A0"/>
    <w:rsid w:val="00676BB3"/>
    <w:rsid w:val="00690B33"/>
    <w:rsid w:val="006B31B8"/>
    <w:rsid w:val="00734E48"/>
    <w:rsid w:val="00761881"/>
    <w:rsid w:val="00783690"/>
    <w:rsid w:val="00783ADD"/>
    <w:rsid w:val="00783D7B"/>
    <w:rsid w:val="007930D3"/>
    <w:rsid w:val="007B74FD"/>
    <w:rsid w:val="008043B2"/>
    <w:rsid w:val="00850DDE"/>
    <w:rsid w:val="008562E1"/>
    <w:rsid w:val="00860A71"/>
    <w:rsid w:val="008709E5"/>
    <w:rsid w:val="00884E07"/>
    <w:rsid w:val="008A3F08"/>
    <w:rsid w:val="0094182A"/>
    <w:rsid w:val="00962654"/>
    <w:rsid w:val="00A654F2"/>
    <w:rsid w:val="00A832B1"/>
    <w:rsid w:val="00AE4C37"/>
    <w:rsid w:val="00B342BB"/>
    <w:rsid w:val="00B64EA5"/>
    <w:rsid w:val="00B83A99"/>
    <w:rsid w:val="00C04CE4"/>
    <w:rsid w:val="00C20616"/>
    <w:rsid w:val="00C46A35"/>
    <w:rsid w:val="00C635FA"/>
    <w:rsid w:val="00C8527D"/>
    <w:rsid w:val="00CB15F4"/>
    <w:rsid w:val="00CC3893"/>
    <w:rsid w:val="00CE7D4E"/>
    <w:rsid w:val="00D63644"/>
    <w:rsid w:val="00DA304D"/>
    <w:rsid w:val="00DE2877"/>
    <w:rsid w:val="00E267FA"/>
    <w:rsid w:val="00E80836"/>
    <w:rsid w:val="00E94C0E"/>
    <w:rsid w:val="00EC427A"/>
    <w:rsid w:val="00ED7A61"/>
    <w:rsid w:val="00EF3B0F"/>
    <w:rsid w:val="00EF6B5A"/>
    <w:rsid w:val="00F47C2E"/>
    <w:rsid w:val="00F90672"/>
    <w:rsid w:val="00F913A4"/>
    <w:rsid w:val="00F927BE"/>
    <w:rsid w:val="00FE7187"/>
    <w:rsid w:val="00FF16A3"/>
    <w:rsid w:val="00FF3E98"/>
    <w:rsid w:val="04B81CAB"/>
    <w:rsid w:val="052E2948"/>
    <w:rsid w:val="06720E1E"/>
    <w:rsid w:val="07883B68"/>
    <w:rsid w:val="0854342B"/>
    <w:rsid w:val="096B702A"/>
    <w:rsid w:val="0A541857"/>
    <w:rsid w:val="0BDD16F2"/>
    <w:rsid w:val="0C1A4B48"/>
    <w:rsid w:val="0CB832EC"/>
    <w:rsid w:val="0E14555A"/>
    <w:rsid w:val="104B4477"/>
    <w:rsid w:val="1155022B"/>
    <w:rsid w:val="119D478A"/>
    <w:rsid w:val="12CE311D"/>
    <w:rsid w:val="1380268A"/>
    <w:rsid w:val="14045069"/>
    <w:rsid w:val="14263031"/>
    <w:rsid w:val="154F76AF"/>
    <w:rsid w:val="18C32CB6"/>
    <w:rsid w:val="1BDB7C7C"/>
    <w:rsid w:val="1C962520"/>
    <w:rsid w:val="1D0069A1"/>
    <w:rsid w:val="1FDE5E00"/>
    <w:rsid w:val="24381B9F"/>
    <w:rsid w:val="24F1010E"/>
    <w:rsid w:val="26233A2E"/>
    <w:rsid w:val="264B36B3"/>
    <w:rsid w:val="26A20EEE"/>
    <w:rsid w:val="27ED0078"/>
    <w:rsid w:val="290857FB"/>
    <w:rsid w:val="2D163584"/>
    <w:rsid w:val="310815F8"/>
    <w:rsid w:val="32417408"/>
    <w:rsid w:val="324902AE"/>
    <w:rsid w:val="330A641A"/>
    <w:rsid w:val="3547679B"/>
    <w:rsid w:val="3C0351CC"/>
    <w:rsid w:val="3EDA4732"/>
    <w:rsid w:val="40C93ACE"/>
    <w:rsid w:val="4485250C"/>
    <w:rsid w:val="45E076F8"/>
    <w:rsid w:val="46D30D82"/>
    <w:rsid w:val="46FC37FA"/>
    <w:rsid w:val="47BE4CA0"/>
    <w:rsid w:val="48114DB0"/>
    <w:rsid w:val="487D69A5"/>
    <w:rsid w:val="4A652949"/>
    <w:rsid w:val="4BB446AF"/>
    <w:rsid w:val="4C2428F9"/>
    <w:rsid w:val="4C856040"/>
    <w:rsid w:val="51491D32"/>
    <w:rsid w:val="5176115E"/>
    <w:rsid w:val="54A601AE"/>
    <w:rsid w:val="56F2318C"/>
    <w:rsid w:val="57F47155"/>
    <w:rsid w:val="587F24DD"/>
    <w:rsid w:val="597A4A53"/>
    <w:rsid w:val="5A730A3E"/>
    <w:rsid w:val="5AB34CE4"/>
    <w:rsid w:val="5E883B5E"/>
    <w:rsid w:val="60250C35"/>
    <w:rsid w:val="61B35EDF"/>
    <w:rsid w:val="620926C8"/>
    <w:rsid w:val="622837B3"/>
    <w:rsid w:val="62816E52"/>
    <w:rsid w:val="63B735A0"/>
    <w:rsid w:val="6532005F"/>
    <w:rsid w:val="658A3AF9"/>
    <w:rsid w:val="661D669D"/>
    <w:rsid w:val="6A3255A9"/>
    <w:rsid w:val="6AD321A7"/>
    <w:rsid w:val="6B217F97"/>
    <w:rsid w:val="6DB215D2"/>
    <w:rsid w:val="70040070"/>
    <w:rsid w:val="700C0D2E"/>
    <w:rsid w:val="7092309D"/>
    <w:rsid w:val="733706E3"/>
    <w:rsid w:val="74543BC7"/>
    <w:rsid w:val="760F3B95"/>
    <w:rsid w:val="765B6019"/>
    <w:rsid w:val="77A00BD8"/>
    <w:rsid w:val="77C34382"/>
    <w:rsid w:val="79B67543"/>
    <w:rsid w:val="7A3E4D0C"/>
    <w:rsid w:val="7A6A1808"/>
    <w:rsid w:val="7AC8166A"/>
    <w:rsid w:val="7B0F7D57"/>
    <w:rsid w:val="7F5838F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99"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semiHidden/>
    <w:unhideWhenUsed/>
    <w:qFormat/>
    <w:locked/>
    <w:uiPriority w:val="0"/>
    <w:pPr>
      <w:spacing w:beforeAutospacing="1" w:afterAutospacing="1"/>
      <w:jc w:val="left"/>
      <w:outlineLvl w:val="2"/>
    </w:pPr>
    <w:rPr>
      <w:rFonts w:hint="eastAsia" w:ascii="宋体" w:hAnsi="宋体" w:cs="Times New Roman"/>
      <w:b/>
      <w:kern w:val="0"/>
      <w:sz w:val="27"/>
      <w:szCs w:val="27"/>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jc w:val="center"/>
    </w:pPr>
  </w:style>
  <w:style w:type="paragraph" w:styleId="4">
    <w:name w:val="Body Text Indent"/>
    <w:basedOn w:val="1"/>
    <w:qFormat/>
    <w:uiPriority w:val="0"/>
    <w:pPr>
      <w:ind w:left="420" w:leftChars="200"/>
    </w:pPr>
  </w:style>
  <w:style w:type="paragraph" w:styleId="5">
    <w:name w:val="Date"/>
    <w:basedOn w:val="1"/>
    <w:next w:val="1"/>
    <w:link w:val="18"/>
    <w:semiHidden/>
    <w:qFormat/>
    <w:uiPriority w:val="99"/>
    <w:pPr>
      <w:ind w:left="100" w:leftChars="2500"/>
    </w:pPr>
  </w:style>
  <w:style w:type="paragraph" w:styleId="6">
    <w:name w:val="footer"/>
    <w:basedOn w:val="1"/>
    <w:link w:val="20"/>
    <w:qFormat/>
    <w:uiPriority w:val="99"/>
    <w:pPr>
      <w:tabs>
        <w:tab w:val="center" w:pos="4153"/>
        <w:tab w:val="right" w:pos="8306"/>
      </w:tabs>
      <w:snapToGrid w:val="0"/>
      <w:jc w:val="left"/>
    </w:pPr>
    <w:rPr>
      <w:sz w:val="18"/>
      <w:szCs w:val="18"/>
    </w:rPr>
  </w:style>
  <w:style w:type="paragraph" w:styleId="7">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9">
    <w:name w:val="Body Text First Indent 2"/>
    <w:basedOn w:val="4"/>
    <w:qFormat/>
    <w:uiPriority w:val="0"/>
    <w:pPr>
      <w:ind w:firstLine="420"/>
    </w:pPr>
  </w:style>
  <w:style w:type="character" w:styleId="12">
    <w:name w:val="Strong"/>
    <w:basedOn w:val="11"/>
    <w:qFormat/>
    <w:locked/>
    <w:uiPriority w:val="99"/>
    <w:rPr>
      <w:rFonts w:cs="Times New Roman"/>
      <w:b/>
      <w:bCs/>
    </w:rPr>
  </w:style>
  <w:style w:type="character" w:styleId="13">
    <w:name w:val="FollowedHyperlink"/>
    <w:basedOn w:val="11"/>
    <w:semiHidden/>
    <w:unhideWhenUsed/>
    <w:qFormat/>
    <w:uiPriority w:val="99"/>
    <w:rPr>
      <w:color w:val="000000"/>
      <w:u w:val="none"/>
    </w:rPr>
  </w:style>
  <w:style w:type="character" w:styleId="14">
    <w:name w:val="Emphasis"/>
    <w:basedOn w:val="11"/>
    <w:qFormat/>
    <w:locked/>
    <w:uiPriority w:val="0"/>
    <w:rPr>
      <w:i/>
    </w:rPr>
  </w:style>
  <w:style w:type="character" w:styleId="15">
    <w:name w:val="Hyperlink"/>
    <w:basedOn w:val="11"/>
    <w:semiHidden/>
    <w:unhideWhenUsed/>
    <w:qFormat/>
    <w:uiPriority w:val="99"/>
    <w:rPr>
      <w:color w:val="000000"/>
      <w:u w:val="none"/>
    </w:rPr>
  </w:style>
  <w:style w:type="paragraph" w:customStyle="1" w:styleId="16">
    <w:name w:val="Default"/>
    <w:qFormat/>
    <w:uiPriority w:val="0"/>
    <w:pPr>
      <w:widowControl w:val="0"/>
      <w:autoSpaceDE w:val="0"/>
      <w:autoSpaceDN w:val="0"/>
      <w:adjustRightInd w:val="0"/>
    </w:pPr>
    <w:rPr>
      <w:rFonts w:ascii="华文中宋" w:hAnsi="Times New Roman" w:eastAsia="华文中宋" w:cs="华文中宋"/>
      <w:color w:val="000000"/>
      <w:sz w:val="24"/>
      <w:szCs w:val="24"/>
      <w:lang w:val="en-US" w:eastAsia="zh-CN" w:bidi="ar-SA"/>
    </w:rPr>
  </w:style>
  <w:style w:type="paragraph" w:customStyle="1" w:styleId="17">
    <w:name w:val="正文 首行缩进:  2 字符"/>
    <w:basedOn w:val="1"/>
    <w:semiHidden/>
    <w:qFormat/>
    <w:uiPriority w:val="0"/>
    <w:pPr>
      <w:ind w:firstLine="602"/>
    </w:pPr>
    <w:rPr>
      <w:rFonts w:cs="宋体"/>
      <w:szCs w:val="20"/>
    </w:rPr>
  </w:style>
  <w:style w:type="character" w:customStyle="1" w:styleId="18">
    <w:name w:val="日期 字符"/>
    <w:basedOn w:val="11"/>
    <w:link w:val="5"/>
    <w:semiHidden/>
    <w:qFormat/>
    <w:locked/>
    <w:uiPriority w:val="99"/>
    <w:rPr>
      <w:rFonts w:cs="Times New Roman"/>
    </w:rPr>
  </w:style>
  <w:style w:type="character" w:customStyle="1" w:styleId="19">
    <w:name w:val="页眉 字符"/>
    <w:basedOn w:val="11"/>
    <w:link w:val="7"/>
    <w:semiHidden/>
    <w:qFormat/>
    <w:locked/>
    <w:uiPriority w:val="99"/>
    <w:rPr>
      <w:rFonts w:cs="Calibri"/>
      <w:sz w:val="18"/>
      <w:szCs w:val="18"/>
    </w:rPr>
  </w:style>
  <w:style w:type="character" w:customStyle="1" w:styleId="20">
    <w:name w:val="页脚 字符"/>
    <w:basedOn w:val="11"/>
    <w:link w:val="6"/>
    <w:semiHidden/>
    <w:qFormat/>
    <w:locked/>
    <w:uiPriority w:val="99"/>
    <w:rPr>
      <w:rFonts w:cs="Calibri"/>
      <w:sz w:val="18"/>
      <w:szCs w:val="18"/>
    </w:rPr>
  </w:style>
  <w:style w:type="paragraph" w:customStyle="1" w:styleId="21">
    <w:name w:val="_Style 14"/>
    <w:basedOn w:val="1"/>
    <w:next w:val="1"/>
    <w:qFormat/>
    <w:uiPriority w:val="0"/>
    <w:pPr>
      <w:pBdr>
        <w:bottom w:val="single" w:color="auto" w:sz="6" w:space="1"/>
      </w:pBdr>
      <w:jc w:val="center"/>
    </w:pPr>
    <w:rPr>
      <w:rFonts w:ascii="Arial"/>
      <w:vanish/>
      <w:sz w:val="16"/>
    </w:rPr>
  </w:style>
  <w:style w:type="paragraph" w:customStyle="1" w:styleId="22">
    <w:name w:val="_Style 15"/>
    <w:basedOn w:val="1"/>
    <w:next w:val="1"/>
    <w:qFormat/>
    <w:uiPriority w:val="0"/>
    <w:pPr>
      <w:pBdr>
        <w:top w:val="single" w:color="auto" w:sz="6" w:space="1"/>
      </w:pBdr>
      <w:jc w:val="center"/>
    </w:pPr>
    <w:rPr>
      <w:rFonts w:ascii="Arial"/>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solarlu</Company>
  <Pages>1</Pages>
  <Words>558</Words>
  <Characters>604</Characters>
  <Lines>4</Lines>
  <Paragraphs>1</Paragraphs>
  <TotalTime>0</TotalTime>
  <ScaleCrop>false</ScaleCrop>
  <LinksUpToDate>false</LinksUpToDate>
  <CharactersWithSpaces>619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2016-03-03T07:29:00Z</dcterms:created>
  <dc:creator>User</dc:creator>
  <cp:lastModifiedBy>李璐茜</cp:lastModifiedBy>
  <dcterms:modified xsi:type="dcterms:W3CDTF">2025-11-18T08:07:05Z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4B1139A8BEC7415F945D2157E6ECB676_12</vt:lpwstr>
  </property>
  <property fmtid="{D5CDD505-2E9C-101B-9397-08002B2CF9AE}" pid="4" name="KSOTemplateDocerSaveRecord">
    <vt:lpwstr>eyJoZGlkIjoiODZmMDIzMjM5YzI0ZGMyOTEyOGY0ZmNhNzAwNWYwNTYiLCJ1c2VySWQiOiIxNDc5MTQ1ODUxIn0=</vt:lpwstr>
  </property>
</Properties>
</file>