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40E2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300" w:afterAutospacing="0" w:line="240" w:lineRule="auto"/>
        <w:ind w:left="0" w:right="0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马边彝族自治县城区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人力客运三轮车管理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暂行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规定》</w:t>
      </w:r>
    </w:p>
    <w:p w14:paraId="767DEA7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300" w:afterAutospacing="0" w:line="240" w:lineRule="auto"/>
        <w:ind w:left="0" w:right="0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政策解读</w:t>
      </w:r>
    </w:p>
    <w:p w14:paraId="60B6B1B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0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一、出台背景</w:t>
      </w:r>
    </w:p>
    <w:p w14:paraId="4CBFE95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为加强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城区人力客运三轮车管理，保障道路交通安全，我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于201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年出台了《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马边彝族自治县城区人力客运三轮车管理办法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》(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马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府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办发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〔201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〕1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号）。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2021年12月16日，马边彝族自治县人民政府办公室《关于行政规范性文件清理结果的通知》（马府办函</w:t>
      </w:r>
      <w:r>
        <w:rPr>
          <w:rFonts w:hint="eastAsia" w:ascii="仿宋" w:hAnsi="仿宋" w:eastAsia="仿宋" w:cs="仿宋"/>
          <w:color w:val="000000" w:themeColor="text1"/>
          <w:spacing w:val="3"/>
          <w:sz w:val="30"/>
          <w:szCs w:val="30"/>
          <w14:textFill>
            <w14:solidFill>
              <w14:schemeClr w14:val="tx1"/>
            </w14:solidFill>
          </w14:textFill>
        </w:rPr>
        <w:t>〔2021〕22 号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），关于批转《马边彝族自治县城区人力客运三轮车管理办法》的通知（马府办发</w:t>
      </w:r>
      <w:r>
        <w:rPr>
          <w:rFonts w:hint="eastAsia" w:ascii="仿宋" w:hAnsi="仿宋" w:eastAsia="仿宋" w:cs="仿宋"/>
          <w:color w:val="000000" w:themeColor="text1"/>
          <w:spacing w:val="11"/>
          <w:sz w:val="30"/>
          <w:szCs w:val="30"/>
          <w14:textFill>
            <w14:solidFill>
              <w14:schemeClr w14:val="tx1"/>
            </w14:solidFill>
          </w14:textFill>
        </w:rPr>
        <w:t>〔2012〕</w:t>
      </w:r>
      <w:r>
        <w:rPr>
          <w:rFonts w:hint="eastAsia" w:ascii="仿宋" w:hAnsi="仿宋" w:eastAsia="仿宋" w:cs="仿宋"/>
          <w:color w:val="000000" w:themeColor="text1"/>
          <w:spacing w:val="1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16号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pacing w:val="11"/>
          <w:sz w:val="30"/>
          <w:szCs w:val="30"/>
          <w14:textFill>
            <w14:solidFill>
              <w14:schemeClr w14:val="tx1"/>
            </w14:solidFill>
          </w14:textFill>
        </w:rPr>
        <w:t>，原关于批转《马边彝族自治县城区人力客运三轮车管理办法》的通知 (马府办发〔2012〕23 号) 废止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，且原规定的相关内容已与我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道路运输市场发展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、建设山水彝乡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秀美马边的旅游市场发展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等变化不相适应，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交通运输局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结合实际起草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了《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马边彝族自治县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城区人力客运三轮车管理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暂行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规定》（以下简称《规定》）。</w:t>
      </w:r>
    </w:p>
    <w:p w14:paraId="578AE2B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0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主要依据</w:t>
      </w:r>
    </w:p>
    <w:p w14:paraId="3C5F3C3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客运人力三轮车及其管理没有专门的法律规范进行调整，但鉴于我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的历史及现状，人力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客运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三轮车作为一种特殊的道路运输工具，于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2012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年经我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交通运输部门批准从事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载客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运输，客观存在且数量较多（目前现存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501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辆）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，当前现有的人力客运三轮车营运期限已长达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12年之久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。人力客运三轮车营运资格及经营行为如何管理规范，上位法没有明确规定，而我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因历史、地域和市民出行习惯等原因，仍存在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较大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数量的人力客运三轮车，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城区市民出行主要是靠人力客运三轮车，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对此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急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需予以管理和规范。根据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《四川省非机动车管理规定》(四川省人</w:t>
      </w:r>
      <w:r>
        <w:rPr>
          <w:rFonts w:hint="eastAsia" w:ascii="仿宋" w:hAnsi="仿宋" w:eastAsia="仿宋" w:cs="仿宋"/>
          <w:color w:val="000000" w:themeColor="text1"/>
          <w:spacing w:val="8"/>
          <w:sz w:val="30"/>
          <w:szCs w:val="30"/>
          <w14:textFill>
            <w14:solidFill>
              <w14:schemeClr w14:val="tx1"/>
            </w14:solidFill>
          </w14:textFill>
        </w:rPr>
        <w:t>民政府令</w:t>
      </w:r>
      <w:r>
        <w:rPr>
          <w:rFonts w:hint="eastAsia" w:ascii="仿宋" w:hAnsi="仿宋" w:eastAsia="仿宋" w:cs="仿宋"/>
          <w:color w:val="000000" w:themeColor="text1"/>
          <w:spacing w:val="5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color w:val="000000" w:themeColor="text1"/>
          <w:spacing w:val="4"/>
          <w:sz w:val="30"/>
          <w:szCs w:val="30"/>
          <w14:textFill>
            <w14:solidFill>
              <w14:schemeClr w14:val="tx1"/>
            </w14:solidFill>
          </w14:textFill>
        </w:rPr>
        <w:t xml:space="preserve"> 222 号) 第三条规定</w:t>
      </w:r>
      <w:r>
        <w:rPr>
          <w:rFonts w:hint="eastAsia" w:ascii="仿宋" w:hAnsi="仿宋" w:eastAsia="仿宋" w:cs="仿宋"/>
          <w:color w:val="000000" w:themeColor="text1"/>
          <w:spacing w:val="4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pacing w:val="4"/>
          <w:sz w:val="30"/>
          <w:szCs w:val="30"/>
          <w14:textFill>
            <w14:solidFill>
              <w14:schemeClr w14:val="tx1"/>
            </w14:solidFill>
          </w14:textFill>
        </w:rPr>
        <w:t>“县级以上公安机关交通管理部门</w:t>
      </w:r>
      <w:r>
        <w:rPr>
          <w:rFonts w:hint="eastAsia" w:ascii="仿宋" w:hAnsi="仿宋" w:eastAsia="仿宋" w:cs="仿宋"/>
          <w:color w:val="000000" w:themeColor="text1"/>
          <w:spacing w:val="21"/>
          <w:sz w:val="30"/>
          <w:szCs w:val="30"/>
          <w14:textFill>
            <w14:solidFill>
              <w14:schemeClr w14:val="tx1"/>
            </w14:solidFill>
          </w14:textFill>
        </w:rPr>
        <w:t>主</w:t>
      </w:r>
      <w:r>
        <w:rPr>
          <w:rFonts w:hint="eastAsia" w:ascii="仿宋" w:hAnsi="仿宋" w:eastAsia="仿宋" w:cs="仿宋"/>
          <w:color w:val="000000" w:themeColor="text1"/>
          <w:spacing w:val="19"/>
          <w:sz w:val="30"/>
          <w:szCs w:val="30"/>
          <w14:textFill>
            <w14:solidFill>
              <w14:schemeClr w14:val="tx1"/>
            </w14:solidFill>
          </w14:textFill>
        </w:rPr>
        <w:t>管本行政区域内的非机动车的登记</w:t>
      </w:r>
      <w:r>
        <w:rPr>
          <w:rFonts w:hint="eastAsia" w:ascii="仿宋" w:hAnsi="仿宋" w:eastAsia="仿宋" w:cs="仿宋"/>
          <w:color w:val="000000" w:themeColor="text1"/>
          <w:spacing w:val="19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19"/>
          <w:sz w:val="30"/>
          <w:szCs w:val="30"/>
          <w14:textFill>
            <w14:solidFill>
              <w14:schemeClr w14:val="tx1"/>
            </w14:solidFill>
          </w14:textFill>
        </w:rPr>
        <w:t>通行管理工作。县级以上质量</w:t>
      </w:r>
      <w:r>
        <w:rPr>
          <w:rFonts w:hint="eastAsia" w:ascii="仿宋" w:hAnsi="仿宋" w:eastAsia="仿宋" w:cs="仿宋"/>
          <w:color w:val="000000" w:themeColor="text1"/>
          <w:spacing w:val="21"/>
          <w:sz w:val="30"/>
          <w:szCs w:val="30"/>
          <w14:textFill>
            <w14:solidFill>
              <w14:schemeClr w14:val="tx1"/>
            </w14:solidFill>
          </w14:textFill>
        </w:rPr>
        <w:t>技</w:t>
      </w:r>
      <w:r>
        <w:rPr>
          <w:rFonts w:hint="eastAsia" w:ascii="仿宋" w:hAnsi="仿宋" w:eastAsia="仿宋" w:cs="仿宋"/>
          <w:color w:val="000000" w:themeColor="text1"/>
          <w:spacing w:val="19"/>
          <w:sz w:val="30"/>
          <w:szCs w:val="30"/>
          <w14:textFill>
            <w14:solidFill>
              <w14:schemeClr w14:val="tx1"/>
            </w14:solidFill>
          </w14:textFill>
        </w:rPr>
        <w:t>术监督部门负责非机动车生产企业产品质量的监督管理</w:t>
      </w:r>
      <w:r>
        <w:rPr>
          <w:rFonts w:hint="eastAsia" w:ascii="仿宋" w:hAnsi="仿宋" w:eastAsia="仿宋" w:cs="仿宋"/>
          <w:color w:val="000000" w:themeColor="text1"/>
          <w:spacing w:val="19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pacing w:val="19"/>
          <w:sz w:val="30"/>
          <w:szCs w:val="30"/>
          <w14:textFill>
            <w14:solidFill>
              <w14:schemeClr w14:val="tx1"/>
            </w14:solidFill>
          </w14:textFill>
        </w:rPr>
        <w:t>县级以上</w:t>
      </w:r>
      <w:r>
        <w:rPr>
          <w:rFonts w:hint="eastAsia" w:ascii="仿宋" w:hAnsi="仿宋" w:eastAsia="仿宋" w:cs="仿宋"/>
          <w:color w:val="000000" w:themeColor="text1"/>
          <w:spacing w:val="12"/>
          <w:sz w:val="30"/>
          <w:szCs w:val="30"/>
          <w14:textFill>
            <w14:solidFill>
              <w14:schemeClr w14:val="tx1"/>
            </w14:solidFill>
          </w14:textFill>
        </w:rPr>
        <w:t>工商行政</w:t>
      </w:r>
      <w:r>
        <w:rPr>
          <w:rFonts w:hint="eastAsia" w:ascii="仿宋" w:hAnsi="仿宋" w:eastAsia="仿宋" w:cs="仿宋"/>
          <w:color w:val="000000" w:themeColor="text1"/>
          <w:spacing w:val="6"/>
          <w:sz w:val="30"/>
          <w:szCs w:val="30"/>
          <w14:textFill>
            <w14:solidFill>
              <w14:schemeClr w14:val="tx1"/>
            </w14:solidFill>
          </w14:textFill>
        </w:rPr>
        <w:t>管理部门负责非机动车销售市场的监督管理”。第四条规定：</w:t>
      </w:r>
      <w:r>
        <w:rPr>
          <w:rFonts w:hint="eastAsia" w:ascii="仿宋" w:hAnsi="仿宋" w:eastAsia="仿宋" w:cs="仿宋"/>
          <w:color w:val="000000" w:themeColor="text1"/>
          <w:spacing w:val="21"/>
          <w:sz w:val="30"/>
          <w:szCs w:val="30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color w:val="000000" w:themeColor="text1"/>
          <w:spacing w:val="19"/>
          <w:sz w:val="30"/>
          <w:szCs w:val="30"/>
          <w14:textFill>
            <w14:solidFill>
              <w14:schemeClr w14:val="tx1"/>
            </w14:solidFill>
          </w14:textFill>
        </w:rPr>
        <w:t>下列非机动车应当经县级公安机关交通管理部门登记后，方可上道</w:t>
      </w:r>
      <w:r>
        <w:rPr>
          <w:rFonts w:hint="eastAsia" w:ascii="仿宋" w:hAnsi="仿宋" w:eastAsia="仿宋" w:cs="仿宋"/>
          <w:color w:val="000000" w:themeColor="text1"/>
          <w:spacing w:val="-16"/>
          <w:sz w:val="30"/>
          <w:szCs w:val="30"/>
          <w14:textFill>
            <w14:solidFill>
              <w14:schemeClr w14:val="tx1"/>
            </w14:solidFill>
          </w14:textFill>
        </w:rPr>
        <w:t>路行驶</w:t>
      </w:r>
      <w:r>
        <w:rPr>
          <w:rFonts w:hint="eastAsia" w:ascii="仿宋" w:hAnsi="仿宋" w:eastAsia="仿宋" w:cs="仿宋"/>
          <w:color w:val="000000" w:themeColor="text1"/>
          <w:spacing w:val="-8"/>
          <w:sz w:val="30"/>
          <w:szCs w:val="30"/>
          <w14:textFill>
            <w14:solidFill>
              <w14:schemeClr w14:val="tx1"/>
            </w14:solidFill>
          </w14:textFill>
        </w:rPr>
        <w:t>：( 一) 人力三轮车</w:t>
      </w:r>
      <w:r>
        <w:rPr>
          <w:rFonts w:hint="eastAsia" w:ascii="仿宋" w:hAnsi="仿宋" w:eastAsia="仿宋" w:cs="仿宋"/>
          <w:color w:val="000000" w:themeColor="text1"/>
          <w:spacing w:val="-8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 w:cs="仿宋"/>
          <w:color w:val="000000" w:themeColor="text1"/>
          <w:spacing w:val="-8"/>
          <w:sz w:val="30"/>
          <w:szCs w:val="30"/>
          <w14:textFill>
            <w14:solidFill>
              <w14:schemeClr w14:val="tx1"/>
            </w14:solidFill>
          </w14:textFill>
        </w:rPr>
        <w:t>(二) 有动力装置驱动但设计最高时速、</w:t>
      </w:r>
      <w:r>
        <w:rPr>
          <w:rFonts w:hint="eastAsia" w:ascii="仿宋" w:hAnsi="仿宋" w:eastAsia="仿宋" w:cs="仿宋"/>
          <w:color w:val="000000" w:themeColor="text1"/>
          <w:spacing w:val="21"/>
          <w:sz w:val="30"/>
          <w:szCs w:val="30"/>
          <w14:textFill>
            <w14:solidFill>
              <w14:schemeClr w14:val="tx1"/>
            </w14:solidFill>
          </w14:textFill>
        </w:rPr>
        <w:t>空</w:t>
      </w:r>
      <w:r>
        <w:rPr>
          <w:rFonts w:hint="eastAsia" w:ascii="仿宋" w:hAnsi="仿宋" w:eastAsia="仿宋" w:cs="仿宋"/>
          <w:color w:val="000000" w:themeColor="text1"/>
          <w:spacing w:val="19"/>
          <w:sz w:val="30"/>
          <w:szCs w:val="30"/>
          <w14:textFill>
            <w14:solidFill>
              <w14:schemeClr w14:val="tx1"/>
            </w14:solidFill>
          </w14:textFill>
        </w:rPr>
        <w:t>车质量、外形尺寸符合有关国家标准的电动自行车、残疾人机动轮</w:t>
      </w:r>
      <w:r>
        <w:rPr>
          <w:rFonts w:hint="eastAsia" w:ascii="仿宋" w:hAnsi="仿宋" w:eastAsia="仿宋" w:cs="仿宋"/>
          <w:color w:val="000000" w:themeColor="text1"/>
          <w:spacing w:val="1"/>
          <w:sz w:val="30"/>
          <w:szCs w:val="30"/>
          <w14:textFill>
            <w14:solidFill>
              <w14:schemeClr w14:val="tx1"/>
            </w14:solidFill>
          </w14:textFill>
        </w:rPr>
        <w:t>椅车</w:t>
      </w:r>
      <w:r>
        <w:rPr>
          <w:rFonts w:hint="eastAsia" w:ascii="仿宋" w:hAnsi="仿宋" w:eastAsia="仿宋" w:cs="仿宋"/>
          <w:color w:val="000000" w:themeColor="text1"/>
          <w:spacing w:val="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 w:cs="仿宋"/>
          <w:color w:val="000000" w:themeColor="text1"/>
          <w:spacing w:val="1"/>
          <w:sz w:val="30"/>
          <w:szCs w:val="30"/>
          <w14:textFill>
            <w14:solidFill>
              <w14:schemeClr w14:val="tx1"/>
            </w14:solidFill>
          </w14:textFill>
        </w:rPr>
        <w:t>(三) 省人民政府确定的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其他种类的非机动车。禁止童车、串</w:t>
      </w:r>
      <w:r>
        <w:rPr>
          <w:rFonts w:hint="eastAsia" w:ascii="仿宋" w:hAnsi="仿宋" w:eastAsia="仿宋" w:cs="仿宋"/>
          <w:color w:val="000000" w:themeColor="text1"/>
          <w:spacing w:val="10"/>
          <w:sz w:val="30"/>
          <w:szCs w:val="30"/>
          <w14:textFill>
            <w14:solidFill>
              <w14:schemeClr w14:val="tx1"/>
            </w14:solidFill>
          </w14:textFill>
        </w:rPr>
        <w:t>列</w:t>
      </w:r>
      <w:r>
        <w:rPr>
          <w:rFonts w:hint="eastAsia" w:ascii="仿宋" w:hAnsi="仿宋" w:eastAsia="仿宋" w:cs="仿宋"/>
          <w:color w:val="000000" w:themeColor="text1"/>
          <w:spacing w:val="9"/>
          <w:sz w:val="30"/>
          <w:szCs w:val="30"/>
          <w14:textFill>
            <w14:solidFill>
              <w14:schemeClr w14:val="tx1"/>
            </w14:solidFill>
          </w14:textFill>
        </w:rPr>
        <w:t>式自行车、并列式自行车等非机动车上道路行驶”</w:t>
      </w:r>
      <w:r>
        <w:rPr>
          <w:rFonts w:hint="eastAsia" w:ascii="仿宋" w:hAnsi="仿宋" w:eastAsia="仿宋" w:cs="仿宋"/>
          <w:color w:val="000000" w:themeColor="text1"/>
          <w:spacing w:val="9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pacing w:val="9"/>
          <w:sz w:val="30"/>
          <w:szCs w:val="30"/>
          <w14:textFill>
            <w14:solidFill>
              <w14:schemeClr w14:val="tx1"/>
            </w14:solidFill>
          </w14:textFill>
        </w:rPr>
        <w:t>四川省公安厅规范性文件</w:t>
      </w:r>
      <w:r>
        <w:rPr>
          <w:rFonts w:hint="eastAsia" w:ascii="仿宋" w:hAnsi="仿宋" w:eastAsia="仿宋" w:cs="仿宋"/>
          <w:color w:val="000000" w:themeColor="text1"/>
          <w:spacing w:val="9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pacing w:val="9"/>
          <w:sz w:val="30"/>
          <w:szCs w:val="30"/>
          <w14:textFill>
            <w14:solidFill>
              <w14:schemeClr w14:val="tx1"/>
            </w14:solidFill>
          </w14:textFill>
        </w:rPr>
        <w:t>四川省公安厅关于印发《四川省公安机关非机动车登</w:t>
      </w:r>
      <w:r>
        <w:rPr>
          <w:rFonts w:hint="eastAsia" w:ascii="仿宋" w:hAnsi="仿宋" w:eastAsia="仿宋" w:cs="仿宋"/>
          <w:color w:val="000000" w:themeColor="text1"/>
          <w:spacing w:val="-1"/>
          <w:sz w:val="30"/>
          <w:szCs w:val="30"/>
          <w14:textFill>
            <w14:solidFill>
              <w14:schemeClr w14:val="tx1"/>
            </w14:solidFill>
          </w14:textFill>
        </w:rPr>
        <w:t>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工作规范》的通知 (川公规〔2022〕1 号) 第二条：“各级公安机</w:t>
      </w:r>
      <w:r>
        <w:rPr>
          <w:rFonts w:hint="eastAsia" w:ascii="仿宋" w:hAnsi="仿宋" w:eastAsia="仿宋" w:cs="仿宋"/>
          <w:color w:val="000000" w:themeColor="text1"/>
          <w:spacing w:val="18"/>
          <w:sz w:val="30"/>
          <w:szCs w:val="30"/>
          <w14:textFill>
            <w14:solidFill>
              <w14:schemeClr w14:val="tx1"/>
            </w14:solidFill>
          </w14:textFill>
        </w:rPr>
        <w:t>关交通管理部门应当根据《四川省非机动车管理规定》规定的职责</w:t>
      </w:r>
      <w:r>
        <w:rPr>
          <w:rFonts w:hint="eastAsia" w:ascii="仿宋" w:hAnsi="仿宋" w:eastAsia="仿宋" w:cs="仿宋"/>
          <w:color w:val="000000" w:themeColor="text1"/>
          <w:spacing w:val="-6"/>
          <w:sz w:val="30"/>
          <w:szCs w:val="30"/>
          <w14:textFill>
            <w14:solidFill>
              <w14:schemeClr w14:val="tx1"/>
            </w14:solidFill>
          </w14:textFill>
        </w:rPr>
        <w:t>本规范规定的程序</w:t>
      </w:r>
      <w:r>
        <w:rPr>
          <w:rFonts w:hint="eastAsia" w:ascii="仿宋" w:hAnsi="仿宋" w:eastAsia="仿宋" w:cs="仿宋"/>
          <w:color w:val="000000" w:themeColor="text1"/>
          <w:spacing w:val="-4"/>
          <w:sz w:val="30"/>
          <w:szCs w:val="30"/>
          <w14:textFill>
            <w14:solidFill>
              <w14:schemeClr w14:val="tx1"/>
            </w14:solidFill>
          </w14:textFill>
        </w:rPr>
        <w:t>办</w:t>
      </w:r>
      <w:r>
        <w:rPr>
          <w:rFonts w:hint="eastAsia" w:ascii="仿宋" w:hAnsi="仿宋" w:eastAsia="仿宋" w:cs="仿宋"/>
          <w:color w:val="000000" w:themeColor="text1"/>
          <w:spacing w:val="-3"/>
          <w:sz w:val="30"/>
          <w:szCs w:val="30"/>
          <w14:textFill>
            <w14:solidFill>
              <w14:schemeClr w14:val="tx1"/>
            </w14:solidFill>
          </w14:textFill>
        </w:rPr>
        <w:t>理非机动车登记业务”。第三条：“人力三轮车、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pacing w:val="13"/>
          <w:sz w:val="30"/>
          <w:szCs w:val="30"/>
          <w14:textFill>
            <w14:solidFill>
              <w14:schemeClr w14:val="tx1"/>
            </w14:solidFill>
          </w14:textFill>
        </w:rPr>
        <w:t xml:space="preserve">符合电动自行车国家标准并取得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CCC</w:t>
      </w:r>
      <w:r>
        <w:rPr>
          <w:rFonts w:hint="eastAsia" w:ascii="仿宋" w:hAnsi="仿宋" w:eastAsia="仿宋" w:cs="仿宋"/>
          <w:color w:val="000000" w:themeColor="text1"/>
          <w:spacing w:val="13"/>
          <w:sz w:val="30"/>
          <w:szCs w:val="30"/>
          <w14:textFill>
            <w14:solidFill>
              <w14:schemeClr w14:val="tx1"/>
            </w14:solidFill>
          </w14:textFill>
        </w:rPr>
        <w:t xml:space="preserve"> 认证的电动自行车、残疾人机</w:t>
      </w:r>
      <w:r>
        <w:rPr>
          <w:rFonts w:hint="eastAsia" w:ascii="仿宋" w:hAnsi="仿宋" w:eastAsia="仿宋" w:cs="仿宋"/>
          <w:color w:val="000000" w:themeColor="text1"/>
          <w:spacing w:val="9"/>
          <w:sz w:val="30"/>
          <w:szCs w:val="30"/>
          <w14:textFill>
            <w14:solidFill>
              <w14:schemeClr w14:val="tx1"/>
            </w14:solidFill>
          </w14:textFill>
        </w:rPr>
        <w:t>动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pacing w:val="35"/>
          <w:sz w:val="30"/>
          <w:szCs w:val="30"/>
          <w14:textFill>
            <w14:solidFill>
              <w14:schemeClr w14:val="tx1"/>
            </w14:solidFill>
          </w14:textFill>
        </w:rPr>
        <w:t>轮</w:t>
      </w:r>
      <w:r>
        <w:rPr>
          <w:rFonts w:hint="eastAsia" w:ascii="仿宋" w:hAnsi="仿宋" w:eastAsia="仿宋" w:cs="仿宋"/>
          <w:color w:val="000000" w:themeColor="text1"/>
          <w:spacing w:val="27"/>
          <w:sz w:val="30"/>
          <w:szCs w:val="30"/>
          <w14:textFill>
            <w14:solidFill>
              <w14:schemeClr w14:val="tx1"/>
            </w14:solidFill>
          </w14:textFill>
        </w:rPr>
        <w:t>椅车以及四川省人民政府确定的其他种类非机动车登记适用本规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pacing w:val="14"/>
          <w:sz w:val="30"/>
          <w:szCs w:val="30"/>
          <w14:textFill>
            <w14:solidFill>
              <w14:schemeClr w14:val="tx1"/>
            </w14:solidFill>
          </w14:textFill>
        </w:rPr>
        <w:t>范”</w:t>
      </w:r>
      <w:r>
        <w:rPr>
          <w:rFonts w:hint="eastAsia" w:ascii="仿宋" w:hAnsi="仿宋" w:eastAsia="仿宋" w:cs="仿宋"/>
          <w:color w:val="000000" w:themeColor="text1"/>
          <w:spacing w:val="10"/>
          <w:sz w:val="30"/>
          <w:szCs w:val="30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第四条</w:t>
      </w:r>
      <w:r>
        <w:rPr>
          <w:rFonts w:hint="eastAsia" w:ascii="仿宋" w:hAnsi="仿宋" w:eastAsia="仿宋" w:cs="仿宋"/>
          <w:color w:val="000000" w:themeColor="text1"/>
          <w:spacing w:val="7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“本规范由公安机关交通管理部门负责实施”</w:t>
      </w:r>
      <w:r>
        <w:rPr>
          <w:rFonts w:hint="eastAsia" w:ascii="仿宋" w:hAnsi="仿宋" w:eastAsia="仿宋" w:cs="仿宋"/>
          <w:color w:val="000000" w:themeColor="text1"/>
          <w:spacing w:val="7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将《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四川省非机动车管理规定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》作为我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马边彝族自治县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城区人力客运三轮车管理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暂行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规定（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征求意见稿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）》的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地方政府规范性文件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依据。</w:t>
      </w:r>
    </w:p>
    <w:p w14:paraId="395624D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制定本规定的主要依据是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《中华人民共和国产品质量法》《中华人民共和国消费者权益保护法》《中华人民共和国道路交通安全法实施条例》《无证无照经营查处办法》〈四川省《中华人民共和国道路交通安全法》实施办法〉《四川省城乡环境综合治理条例》《乐山市城市管理条例》《乐山市城市市容和环境卫生管理办法》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等有关规定。</w:t>
      </w:r>
    </w:p>
    <w:p w14:paraId="3F3B556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0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三、主要措施</w:t>
      </w:r>
    </w:p>
    <w:p w14:paraId="44DEC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（一）明确管理工作原则。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《规定》第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条明确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人力客运三轮车实行总量控制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一户一车、一人一证管理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不再新增人力客运三轮车。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按照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方便于民，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规范有序原则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实行统一营运牌证、统一车身颜色、统一外观标志、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统一前挡风帘、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统一遮阳雨篷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”人力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客运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三轮车，随着而来的管理问题也是层出不穷。近年来，因我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道路运输市场变化、城区范围扩大、市民出行方式改变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、城市形象提升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等客观情况的变化，确定该管理原则符合我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城市交通发展的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实际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6BE53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）加强日常管理工作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强化监督执法处罚。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《规定》第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十一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：“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人力客运三轮车实行记分管理，在一个年度内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1月1日至12月31日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累计被记满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5分的，暂停其营运资格5日；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累计被记满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10分的，暂停其营运资格10日；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累计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被记满20分的，暂停其营运资格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30日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，交通运输部门收回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车辆道路运输证、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营运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牌和从业资格证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，经学习培训合格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重新获得营运资格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且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恢复20分方可经营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，学习培训不合格的，取消营运资格。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《规定》第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十二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：“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车辆管理记分卡由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县交警大队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配发，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应当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随车携带，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公安交警、交通运输、综合行政执法等部门联合开展检查，定期或不定期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14:textFill>
            <w14:solidFill>
              <w14:schemeClr w14:val="tx1"/>
            </w14:solidFill>
          </w14:textFill>
        </w:rPr>
        <w:t>安排专人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14:textFill>
            <w14:solidFill>
              <w14:schemeClr w14:val="tx1"/>
            </w14:solidFill>
          </w14:textFill>
        </w:rPr>
        <w:t>巡查，发现违章行为立即取证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纠正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14:textFill>
            <w14:solidFill>
              <w14:schemeClr w14:val="tx1"/>
            </w14:solidFill>
          </w14:textFill>
        </w:rPr>
        <w:t>，在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记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14:textFill>
            <w14:solidFill>
              <w14:schemeClr w14:val="tx1"/>
            </w14:solidFill>
          </w14:textFill>
        </w:rPr>
        <w:t>分卡上记录扣分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0"/>
          <w:szCs w:val="30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并通报县交警大队。县交警大队牵头负责记分审核工作，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每季度将车辆的违章记分情况在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县城区主要场所或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媒体上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公告。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”</w:t>
      </w:r>
    </w:p>
    <w:p w14:paraId="058DA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明确部门职责、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形成执法合力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《规定》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明确：“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相关职能部门按照各自的职责，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形成齐抓共管的强大合力，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共同做好人力客运三轮车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的规范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管理工作。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59285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县交通运输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局负责规范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人力客运三轮车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单双号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经营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秩序，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对从业人员开展培训教育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受理并处理相关投诉、举报。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 xml:space="preserve"> </w:t>
      </w:r>
    </w:p>
    <w:p w14:paraId="26525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县交警大队负责人力客运三轮车的登记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通行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和记分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管理，严禁无牌无证三轮车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上路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行驶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加强对人力客运三轮车从业人员的交通安全教育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交通事故处理，对三轮车未经登记取得号牌或者使用伪造、变造号牌上路行驶的，依法扣留车辆并处罚；对其它交通违法行为依法查处。</w:t>
      </w:r>
    </w:p>
    <w:p w14:paraId="070C3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县市场监督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局负责对从事经营性拼装、加装、改装人力三轮车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以及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生产、销售不符合保障人身健康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财产安全的国家及行业标准的三轮车违法行为，按照职责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依法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查处。</w:t>
      </w:r>
    </w:p>
    <w:p w14:paraId="0A218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县综合行政执法局负责对人力客运三轮车车容车貌进行管理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对人力客运三轮车非法喷涂、张贴、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悬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挂广告以及虽经批准但设置不符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规范、污损或残缺不全广告的行为，进行依法查处。</w:t>
      </w:r>
    </w:p>
    <w:p w14:paraId="0848B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县公安局负责依法查处欺行霸市、扰乱正常经营秩序、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涉嫌犯罪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>阻挠执法等违法犯罪行为。</w:t>
      </w:r>
    </w:p>
    <w:p w14:paraId="6187F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:lang w:eastAsia="zh-CN"/>
          <w14:textFill>
            <w14:solidFill>
              <w14:schemeClr w14:val="tx1"/>
            </w14:solidFill>
          </w14:textFill>
        </w:rPr>
        <w:t>民建镇人民政府负责辖区内人力客运三轮车有关政策的宣传，引导人力客运三轮车经营者规范营运。</w:t>
      </w:r>
    </w:p>
    <w:p w14:paraId="78E983CD">
      <w:pPr>
        <w:keepNext w:val="0"/>
        <w:keepLines w:val="0"/>
        <w:pageBreakBefore w:val="0"/>
        <w:tabs>
          <w:tab w:val="left" w:pos="7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 w14:paraId="6A727A2C">
      <w:pPr>
        <w:keepNext w:val="0"/>
        <w:keepLines w:val="0"/>
        <w:pageBreakBefore w:val="0"/>
        <w:tabs>
          <w:tab w:val="left" w:pos="7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84B9A">
    <w:pPr>
      <w:spacing w:before="1" w:line="184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0369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0369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wOTJiMjhkNzljMzBkZjEwNzllYjg4NGFjZDU1MjkifQ=="/>
  </w:docVars>
  <w:rsids>
    <w:rsidRoot w:val="52C265D4"/>
    <w:rsid w:val="13A520F1"/>
    <w:rsid w:val="1CCC6940"/>
    <w:rsid w:val="23014A64"/>
    <w:rsid w:val="29167613"/>
    <w:rsid w:val="2FB76FDC"/>
    <w:rsid w:val="437B05F4"/>
    <w:rsid w:val="52C265D4"/>
    <w:rsid w:val="670562A3"/>
    <w:rsid w:val="6B97075A"/>
    <w:rsid w:val="7314004D"/>
    <w:rsid w:val="7B88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2314</Words>
  <Characters>2358</Characters>
  <Lines>0</Lines>
  <Paragraphs>0</Paragraphs>
  <TotalTime>4</TotalTime>
  <ScaleCrop>false</ScaleCrop>
  <LinksUpToDate>false</LinksUpToDate>
  <CharactersWithSpaces>2382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2023-09-25T09:07:00Z</dcterms:created>
  <dc:creator>那些年一起同甘、共苦的兄弟！</dc:creator>
  <cp:lastModifiedBy>那些年一起同甘、共苦的兄弟！</cp:lastModifiedBy>
  <dcterms:modified xsi:type="dcterms:W3CDTF">2024-07-18T07:36:51Z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928384273371436B814170D16DDBB929_11</vt:lpwstr>
  </property>
</Properties>
</file>