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Pr>
      <w:bookmarkStart w:id="85" w:name="_GoBack"/>
      <w:bookmarkEnd w:id="85"/>
    </w:p>
    <w:p>
      <w:pPr>
        <w:pStyle w:val="2"/>
      </w:pPr>
    </w:p>
    <w:p>
      <w:pPr>
        <w:jc w:val="center"/>
        <w:rPr>
          <w:rFonts w:hint="eastAsia" w:ascii="Times New Roman" w:hAnsi="Times New Roman" w:eastAsia="宋体" w:cs="Times New Roman"/>
          <w:b/>
          <w:bCs/>
          <w:color w:val="000000"/>
          <w:sz w:val="48"/>
          <w:szCs w:val="48"/>
          <w:lang w:val="en-US" w:eastAsia="zh-CN"/>
        </w:rPr>
      </w:pPr>
      <w:r>
        <w:rPr>
          <w:rFonts w:hint="eastAsia"/>
          <w:b/>
          <w:bCs/>
          <w:color w:val="000000"/>
          <w:sz w:val="48"/>
          <w:szCs w:val="48"/>
          <w:lang w:eastAsia="zh-CN"/>
        </w:rPr>
        <w:t>马边彝族自治县</w:t>
      </w:r>
      <w:r>
        <w:rPr>
          <w:b/>
          <w:bCs/>
          <w:color w:val="000000"/>
          <w:sz w:val="48"/>
          <w:szCs w:val="48"/>
        </w:rPr>
        <w:t>“十四五”</w:t>
      </w:r>
      <w:r>
        <w:rPr>
          <w:rFonts w:hint="eastAsia" w:ascii="Times New Roman" w:hAnsi="Times New Roman" w:eastAsia="宋体" w:cs="Times New Roman"/>
          <w:b/>
          <w:bCs/>
          <w:color w:val="000000"/>
          <w:sz w:val="48"/>
          <w:szCs w:val="48"/>
          <w:lang w:eastAsia="zh-CN"/>
        </w:rPr>
        <w:t>新时期农村水利</w:t>
      </w:r>
    </w:p>
    <w:p>
      <w:pPr>
        <w:jc w:val="center"/>
        <w:rPr>
          <w:color w:val="000000"/>
        </w:rPr>
      </w:pPr>
    </w:p>
    <w:p>
      <w:pPr>
        <w:jc w:val="center"/>
        <w:rPr>
          <w:color w:val="000000"/>
        </w:rPr>
      </w:pPr>
    </w:p>
    <w:p>
      <w:pPr>
        <w:jc w:val="center"/>
        <w:rPr>
          <w:rFonts w:eastAsia="方正隶书简体"/>
          <w:color w:val="000000"/>
          <w:sz w:val="100"/>
          <w:szCs w:val="100"/>
        </w:rPr>
      </w:pPr>
      <w:r>
        <w:rPr>
          <w:rFonts w:eastAsia="方正隶书简体"/>
          <w:color w:val="000000"/>
          <w:sz w:val="100"/>
          <w:szCs w:val="100"/>
        </w:rPr>
        <w:t>规 划 报 告</w:t>
      </w:r>
    </w:p>
    <w:p>
      <w:pPr>
        <w:jc w:val="center"/>
        <w:rPr>
          <w:color w:val="000000"/>
          <w:sz w:val="28"/>
          <w:szCs w:val="28"/>
        </w:rPr>
      </w:pPr>
    </w:p>
    <w:p>
      <w:pPr>
        <w:jc w:val="center"/>
        <w:rPr>
          <w:color w:val="000000"/>
          <w:sz w:val="28"/>
          <w:szCs w:val="28"/>
        </w:rPr>
      </w:pPr>
    </w:p>
    <w:p>
      <w:pPr>
        <w:jc w:val="center"/>
        <w:rPr>
          <w:color w:val="000000"/>
          <w:sz w:val="28"/>
          <w:szCs w:val="28"/>
        </w:rPr>
      </w:pPr>
    </w:p>
    <w:p>
      <w:pPr>
        <w:jc w:val="center"/>
        <w:rPr>
          <w:color w:val="000000"/>
          <w:sz w:val="28"/>
          <w:szCs w:val="28"/>
        </w:rPr>
      </w:pPr>
    </w:p>
    <w:p>
      <w:pPr>
        <w:jc w:val="center"/>
        <w:rPr>
          <w:color w:val="000000"/>
          <w:sz w:val="28"/>
          <w:szCs w:val="28"/>
        </w:rPr>
      </w:pPr>
    </w:p>
    <w:p>
      <w:pPr>
        <w:jc w:val="center"/>
        <w:rPr>
          <w:color w:val="000000"/>
          <w:sz w:val="28"/>
          <w:szCs w:val="28"/>
        </w:rPr>
      </w:pPr>
    </w:p>
    <w:p>
      <w:pPr>
        <w:jc w:val="center"/>
        <w:rPr>
          <w:color w:val="000000"/>
          <w:sz w:val="28"/>
          <w:szCs w:val="28"/>
        </w:rPr>
      </w:pPr>
    </w:p>
    <w:p>
      <w:pPr>
        <w:jc w:val="center"/>
        <w:rPr>
          <w:color w:val="000000"/>
          <w:sz w:val="28"/>
          <w:szCs w:val="28"/>
        </w:rPr>
      </w:pPr>
    </w:p>
    <w:p>
      <w:pPr>
        <w:jc w:val="center"/>
        <w:rPr>
          <w:color w:val="000000"/>
          <w:sz w:val="28"/>
          <w:szCs w:val="28"/>
        </w:rPr>
      </w:pPr>
    </w:p>
    <w:p>
      <w:pPr>
        <w:jc w:val="center"/>
        <w:rPr>
          <w:color w:val="000000"/>
          <w:sz w:val="28"/>
          <w:szCs w:val="28"/>
        </w:rPr>
      </w:pPr>
    </w:p>
    <w:p>
      <w:pPr>
        <w:jc w:val="center"/>
        <w:rPr>
          <w:color w:val="000000"/>
          <w:sz w:val="28"/>
          <w:szCs w:val="28"/>
        </w:rPr>
      </w:pPr>
    </w:p>
    <w:p>
      <w:pPr>
        <w:pStyle w:val="2"/>
      </w:pPr>
    </w:p>
    <w:p>
      <w:pPr>
        <w:jc w:val="center"/>
        <w:rPr>
          <w:color w:val="000000"/>
          <w:sz w:val="28"/>
          <w:szCs w:val="28"/>
        </w:rPr>
      </w:pPr>
    </w:p>
    <w:tbl>
      <w:tblPr>
        <w:tblStyle w:val="86"/>
        <w:tblW w:w="0" w:type="auto"/>
        <w:jc w:val="center"/>
        <w:tblLayout w:type="fixed"/>
        <w:tblCellMar>
          <w:top w:w="0" w:type="dxa"/>
          <w:left w:w="108" w:type="dxa"/>
          <w:bottom w:w="0" w:type="dxa"/>
          <w:right w:w="108" w:type="dxa"/>
        </w:tblCellMar>
      </w:tblPr>
      <w:tblGrid>
        <w:gridCol w:w="7133"/>
      </w:tblGrid>
      <w:tr>
        <w:tblPrEx>
          <w:tblCellMar>
            <w:top w:w="0" w:type="dxa"/>
            <w:left w:w="108" w:type="dxa"/>
            <w:bottom w:w="0" w:type="dxa"/>
            <w:right w:w="108" w:type="dxa"/>
          </w:tblCellMar>
        </w:tblPrEx>
        <w:trPr>
          <w:trHeight w:val="22" w:hRule="atLeast"/>
          <w:jc w:val="center"/>
        </w:trPr>
        <w:tc>
          <w:tcPr>
            <w:tcW w:w="7133" w:type="dxa"/>
            <w:vAlign w:val="center"/>
          </w:tcPr>
          <w:p>
            <w:pPr>
              <w:rPr>
                <w:rFonts w:cs="Times New Roman"/>
                <w:b/>
                <w:kern w:val="2"/>
                <w:sz w:val="28"/>
                <w:szCs w:val="28"/>
              </w:rPr>
            </w:pPr>
            <w:r>
              <w:rPr>
                <w:rFonts w:cs="Times New Roman"/>
                <w:b/>
                <w:kern w:val="2"/>
                <w:sz w:val="28"/>
                <w:szCs w:val="28"/>
              </w:rPr>
              <w:t>组织单位：</w:t>
            </w:r>
            <w:r>
              <w:rPr>
                <w:rFonts w:hint="eastAsia" w:cs="Times New Roman"/>
                <w:b/>
                <w:kern w:val="2"/>
                <w:sz w:val="28"/>
                <w:szCs w:val="28"/>
              </w:rPr>
              <w:t>马边彝族自治县水务局</w:t>
            </w:r>
          </w:p>
        </w:tc>
      </w:tr>
      <w:tr>
        <w:tblPrEx>
          <w:tblCellMar>
            <w:top w:w="0" w:type="dxa"/>
            <w:left w:w="108" w:type="dxa"/>
            <w:bottom w:w="0" w:type="dxa"/>
            <w:right w:w="108" w:type="dxa"/>
          </w:tblCellMar>
        </w:tblPrEx>
        <w:trPr>
          <w:trHeight w:val="22" w:hRule="atLeast"/>
          <w:jc w:val="center"/>
        </w:trPr>
        <w:tc>
          <w:tcPr>
            <w:tcW w:w="7133" w:type="dxa"/>
            <w:vAlign w:val="center"/>
          </w:tcPr>
          <w:p>
            <w:pPr>
              <w:rPr>
                <w:rFonts w:cs="Times New Roman"/>
                <w:b/>
                <w:kern w:val="2"/>
                <w:sz w:val="28"/>
                <w:szCs w:val="28"/>
              </w:rPr>
            </w:pPr>
            <w:r>
              <w:rPr>
                <w:rFonts w:cs="Times New Roman"/>
                <w:b/>
                <w:kern w:val="2"/>
                <w:sz w:val="28"/>
                <w:szCs w:val="28"/>
              </w:rPr>
              <w:t>编制单位：</w:t>
            </w:r>
            <w:r>
              <w:rPr>
                <w:rFonts w:ascii="Times New Roman" w:hAnsi="Times New Roman" w:cs="Times New Roman"/>
                <w:b/>
                <w:kern w:val="2"/>
                <w:sz w:val="28"/>
                <w:szCs w:val="28"/>
              </w:rPr>
              <w:t>乐山市水利电力建筑勘察设计研究院</w:t>
            </w:r>
          </w:p>
        </w:tc>
      </w:tr>
    </w:tbl>
    <w:p>
      <w:pPr>
        <w:spacing w:before="469" w:beforeLines="100"/>
        <w:jc w:val="center"/>
        <w:rPr>
          <w:rFonts w:eastAsia="黑体"/>
          <w:bCs/>
          <w:color w:val="000000"/>
          <w:sz w:val="36"/>
          <w:szCs w:val="36"/>
        </w:rPr>
      </w:pPr>
      <w:r>
        <w:rPr>
          <w:rFonts w:eastAsia="黑体"/>
          <w:bCs/>
          <w:color w:val="000000"/>
          <w:sz w:val="36"/>
          <w:szCs w:val="36"/>
        </w:rPr>
        <w:t>20</w:t>
      </w:r>
      <w:r>
        <w:rPr>
          <w:rFonts w:hint="eastAsia" w:eastAsia="黑体"/>
          <w:bCs/>
          <w:color w:val="000000"/>
          <w:sz w:val="36"/>
          <w:szCs w:val="36"/>
          <w:lang w:val="en-US" w:eastAsia="zh-CN"/>
        </w:rPr>
        <w:t>21</w:t>
      </w:r>
      <w:r>
        <w:rPr>
          <w:rFonts w:eastAsia="黑体"/>
          <w:bCs/>
          <w:color w:val="000000"/>
          <w:sz w:val="36"/>
          <w:szCs w:val="36"/>
        </w:rPr>
        <w:t>年0</w:t>
      </w:r>
      <w:r>
        <w:rPr>
          <w:rFonts w:hint="eastAsia" w:eastAsia="黑体"/>
          <w:bCs/>
          <w:color w:val="000000"/>
          <w:sz w:val="36"/>
          <w:szCs w:val="36"/>
          <w:lang w:val="en-US" w:eastAsia="zh-CN"/>
        </w:rPr>
        <w:t>9</w:t>
      </w:r>
      <w:r>
        <w:rPr>
          <w:rFonts w:eastAsia="黑体"/>
          <w:bCs/>
          <w:color w:val="000000"/>
          <w:sz w:val="36"/>
          <w:szCs w:val="36"/>
        </w:rPr>
        <w:t>月</w:t>
      </w:r>
    </w:p>
    <w:p>
      <w:pPr>
        <w:ind w:firstLine="814" w:firstLineChars="192"/>
        <w:rPr>
          <w:rFonts w:eastAsia="黑体"/>
          <w:b/>
          <w:color w:val="000000"/>
          <w:sz w:val="44"/>
          <w:szCs w:val="44"/>
        </w:rPr>
        <w:sectPr>
          <w:headerReference r:id="rId3" w:type="default"/>
          <w:footerReference r:id="rId4" w:type="default"/>
          <w:footerReference r:id="rId5" w:type="even"/>
          <w:pgSz w:w="11906" w:h="16838"/>
          <w:pgMar w:top="1985" w:right="1588" w:bottom="1701" w:left="1588" w:header="992" w:footer="992" w:gutter="0"/>
          <w:pgNumType w:start="1"/>
          <w:cols w:space="720" w:num="1"/>
          <w:docGrid w:type="linesAndChars" w:linePitch="469" w:charSpace="-3320"/>
        </w:sectPr>
      </w:pPr>
    </w:p>
    <w:p>
      <w:pPr>
        <w:ind w:firstLine="584" w:firstLineChars="192"/>
        <w:rPr>
          <w:rFonts w:eastAsia="黑体"/>
          <w:color w:val="000000"/>
          <w:sz w:val="32"/>
        </w:rPr>
      </w:pPr>
    </w:p>
    <w:p>
      <w:pPr>
        <w:ind w:firstLine="584" w:firstLineChars="192"/>
        <w:rPr>
          <w:rFonts w:eastAsia="黑体"/>
          <w:color w:val="000000"/>
          <w:sz w:val="32"/>
        </w:rPr>
      </w:pPr>
    </w:p>
    <w:p>
      <w:pPr>
        <w:ind w:firstLine="584" w:firstLineChars="192"/>
        <w:rPr>
          <w:rFonts w:eastAsia="黑体"/>
          <w:color w:val="000000"/>
          <w:sz w:val="32"/>
        </w:rPr>
      </w:pPr>
    </w:p>
    <w:p>
      <w:pPr>
        <w:ind w:firstLine="584" w:firstLineChars="192"/>
        <w:rPr>
          <w:rFonts w:eastAsia="黑体"/>
          <w:color w:val="000000"/>
          <w:sz w:val="32"/>
        </w:rPr>
      </w:pPr>
    </w:p>
    <w:p>
      <w:pPr>
        <w:ind w:firstLine="584" w:firstLineChars="192"/>
        <w:rPr>
          <w:rFonts w:eastAsia="黑体"/>
          <w:color w:val="000000"/>
          <w:sz w:val="32"/>
        </w:rPr>
      </w:pPr>
    </w:p>
    <w:p>
      <w:pPr>
        <w:ind w:firstLine="1368" w:firstLineChars="450"/>
        <w:rPr>
          <w:rFonts w:eastAsia="黑体"/>
          <w:color w:val="000000"/>
          <w:sz w:val="32"/>
        </w:rPr>
      </w:pPr>
      <w:r>
        <w:rPr>
          <w:rFonts w:eastAsia="黑体"/>
          <w:color w:val="000000"/>
          <w:sz w:val="32"/>
        </w:rPr>
        <w:t>批    准： 钟友胜</w:t>
      </w:r>
    </w:p>
    <w:p>
      <w:pPr>
        <w:ind w:firstLine="1368" w:firstLineChars="450"/>
        <w:rPr>
          <w:rFonts w:eastAsia="黑体"/>
          <w:color w:val="000000"/>
          <w:sz w:val="32"/>
        </w:rPr>
      </w:pPr>
    </w:p>
    <w:p>
      <w:pPr>
        <w:ind w:firstLine="1368" w:firstLineChars="450"/>
        <w:rPr>
          <w:rFonts w:eastAsia="黑体"/>
          <w:color w:val="000000"/>
          <w:sz w:val="32"/>
        </w:rPr>
      </w:pPr>
      <w:r>
        <w:rPr>
          <w:rFonts w:eastAsia="黑体"/>
          <w:color w:val="000000"/>
          <w:sz w:val="32"/>
        </w:rPr>
        <w:t>核    定： 党  杰</w:t>
      </w:r>
    </w:p>
    <w:p>
      <w:pPr>
        <w:ind w:firstLine="1368" w:firstLineChars="450"/>
        <w:rPr>
          <w:rFonts w:eastAsia="黑体"/>
          <w:color w:val="000000"/>
          <w:sz w:val="32"/>
        </w:rPr>
      </w:pPr>
      <w:r>
        <w:rPr>
          <w:rFonts w:eastAsia="黑体"/>
          <w:color w:val="000000"/>
          <w:sz w:val="32"/>
        </w:rPr>
        <w:t xml:space="preserve"> </w:t>
      </w:r>
    </w:p>
    <w:p>
      <w:pPr>
        <w:ind w:firstLine="1368" w:firstLineChars="450"/>
        <w:rPr>
          <w:rFonts w:eastAsia="黑体"/>
          <w:color w:val="000000"/>
          <w:sz w:val="32"/>
        </w:rPr>
      </w:pPr>
      <w:r>
        <w:rPr>
          <w:rFonts w:eastAsia="黑体"/>
          <w:color w:val="000000"/>
          <w:sz w:val="32"/>
        </w:rPr>
        <w:t>审    查： 刘  萍</w:t>
      </w:r>
    </w:p>
    <w:p>
      <w:pPr>
        <w:rPr>
          <w:rFonts w:eastAsia="黑体"/>
          <w:color w:val="000000"/>
          <w:sz w:val="32"/>
        </w:rPr>
      </w:pPr>
    </w:p>
    <w:p>
      <w:pPr>
        <w:ind w:firstLine="1368" w:firstLineChars="450"/>
        <w:rPr>
          <w:rFonts w:eastAsia="黑体"/>
          <w:color w:val="000000"/>
          <w:sz w:val="32"/>
        </w:rPr>
      </w:pPr>
      <w:r>
        <w:rPr>
          <w:rFonts w:eastAsia="黑体"/>
          <w:color w:val="000000"/>
          <w:sz w:val="32"/>
        </w:rPr>
        <w:t>校    核： 刘  凡</w:t>
      </w:r>
    </w:p>
    <w:p>
      <w:pPr>
        <w:ind w:firstLine="1368" w:firstLineChars="450"/>
        <w:rPr>
          <w:rFonts w:eastAsia="黑体"/>
          <w:color w:val="000000"/>
          <w:sz w:val="32"/>
        </w:rPr>
      </w:pPr>
      <w:r>
        <w:rPr>
          <w:rFonts w:eastAsia="黑体"/>
          <w:color w:val="000000"/>
          <w:sz w:val="32"/>
        </w:rPr>
        <w:t xml:space="preserve"> </w:t>
      </w:r>
    </w:p>
    <w:p>
      <w:pPr>
        <w:ind w:firstLine="1368" w:firstLineChars="450"/>
        <w:rPr>
          <w:rFonts w:hint="eastAsia" w:eastAsia="黑体"/>
          <w:color w:val="000000"/>
          <w:sz w:val="32"/>
          <w:lang w:eastAsia="zh-CN"/>
        </w:rPr>
      </w:pPr>
      <w:r>
        <w:rPr>
          <w:rFonts w:eastAsia="黑体"/>
          <w:color w:val="000000"/>
          <w:sz w:val="32"/>
        </w:rPr>
        <w:t xml:space="preserve">参加工作人员：刘  萍    刘  凡    </w:t>
      </w:r>
      <w:r>
        <w:rPr>
          <w:rFonts w:hint="eastAsia" w:eastAsia="黑体"/>
          <w:color w:val="000000"/>
          <w:sz w:val="32"/>
          <w:lang w:eastAsia="zh-CN"/>
        </w:rPr>
        <w:t>沈</w:t>
      </w:r>
      <w:r>
        <w:rPr>
          <w:rFonts w:hint="eastAsia" w:eastAsia="黑体"/>
          <w:color w:val="000000"/>
          <w:sz w:val="32"/>
          <w:lang w:val="en-US" w:eastAsia="zh-CN"/>
        </w:rPr>
        <w:t xml:space="preserve">  </w:t>
      </w:r>
      <w:r>
        <w:rPr>
          <w:rFonts w:hint="eastAsia" w:eastAsia="黑体"/>
          <w:color w:val="000000"/>
          <w:sz w:val="32"/>
          <w:lang w:eastAsia="zh-CN"/>
        </w:rPr>
        <w:t>锐</w:t>
      </w:r>
      <w:r>
        <w:rPr>
          <w:rFonts w:eastAsia="黑体"/>
          <w:color w:val="000000"/>
          <w:sz w:val="32"/>
        </w:rPr>
        <w:t xml:space="preserve">   </w:t>
      </w:r>
      <w:r>
        <w:rPr>
          <w:rFonts w:hint="eastAsia" w:eastAsia="黑体"/>
          <w:color w:val="000000"/>
          <w:sz w:val="32"/>
          <w:lang w:eastAsia="zh-CN"/>
        </w:rPr>
        <w:t>李</w:t>
      </w:r>
      <w:r>
        <w:rPr>
          <w:rFonts w:hint="eastAsia" w:eastAsia="黑体"/>
          <w:color w:val="000000"/>
          <w:sz w:val="32"/>
          <w:lang w:val="en-US" w:eastAsia="zh-CN"/>
        </w:rPr>
        <w:t xml:space="preserve">  </w:t>
      </w:r>
      <w:r>
        <w:rPr>
          <w:rFonts w:hint="eastAsia" w:eastAsia="黑体"/>
          <w:color w:val="000000"/>
          <w:sz w:val="32"/>
          <w:lang w:eastAsia="zh-CN"/>
        </w:rPr>
        <w:t>智</w:t>
      </w:r>
    </w:p>
    <w:p>
      <w:pPr>
        <w:ind w:firstLine="1368" w:firstLineChars="450"/>
        <w:rPr>
          <w:rFonts w:eastAsia="黑体"/>
          <w:color w:val="000000"/>
          <w:sz w:val="32"/>
        </w:rPr>
      </w:pPr>
    </w:p>
    <w:p>
      <w:pPr>
        <w:ind w:firstLine="1368" w:firstLineChars="450"/>
        <w:rPr>
          <w:rFonts w:eastAsia="黑体"/>
          <w:color w:val="000000"/>
          <w:sz w:val="32"/>
        </w:rPr>
      </w:pPr>
      <w:r>
        <w:rPr>
          <w:rFonts w:eastAsia="黑体"/>
          <w:color w:val="000000"/>
          <w:sz w:val="32"/>
        </w:rPr>
        <w:t xml:space="preserve">              </w:t>
      </w:r>
    </w:p>
    <w:p>
      <w:pPr>
        <w:jc w:val="center"/>
        <w:rPr>
          <w:rFonts w:eastAsia="黑体"/>
          <w:color w:val="000000"/>
          <w:sz w:val="44"/>
        </w:rPr>
      </w:pPr>
    </w:p>
    <w:p>
      <w:pPr>
        <w:jc w:val="center"/>
        <w:rPr>
          <w:rFonts w:eastAsia="黑体"/>
          <w:color w:val="000000"/>
          <w:sz w:val="44"/>
        </w:rPr>
      </w:pPr>
    </w:p>
    <w:p>
      <w:pPr>
        <w:jc w:val="center"/>
        <w:rPr>
          <w:rFonts w:eastAsia="黑体"/>
          <w:color w:val="000000"/>
          <w:sz w:val="44"/>
        </w:rPr>
      </w:pPr>
    </w:p>
    <w:p>
      <w:pPr>
        <w:jc w:val="center"/>
        <w:rPr>
          <w:rFonts w:eastAsia="黑体"/>
          <w:color w:val="000000"/>
          <w:sz w:val="44"/>
        </w:rPr>
      </w:pPr>
    </w:p>
    <w:p>
      <w:pPr>
        <w:jc w:val="center"/>
        <w:rPr>
          <w:rFonts w:eastAsia="黑体"/>
          <w:color w:val="000000"/>
          <w:sz w:val="44"/>
        </w:rPr>
      </w:pPr>
    </w:p>
    <w:p>
      <w:pPr>
        <w:ind w:firstLine="540"/>
        <w:rPr>
          <w:color w:val="000000"/>
        </w:rPr>
        <w:sectPr>
          <w:headerReference r:id="rId8" w:type="first"/>
          <w:footerReference r:id="rId11" w:type="first"/>
          <w:headerReference r:id="rId6" w:type="default"/>
          <w:footerReference r:id="rId9" w:type="default"/>
          <w:headerReference r:id="rId7" w:type="even"/>
          <w:footerReference r:id="rId10" w:type="even"/>
          <w:pgSz w:w="11906" w:h="16838"/>
          <w:pgMar w:top="1985" w:right="1588" w:bottom="1701" w:left="1588" w:header="992" w:footer="992" w:gutter="0"/>
          <w:pgNumType w:start="1"/>
          <w:cols w:space="720" w:num="1"/>
          <w:docGrid w:type="linesAndChars" w:linePitch="469" w:charSpace="-3320"/>
        </w:sectPr>
      </w:pPr>
    </w:p>
    <w:p>
      <w:pPr>
        <w:pStyle w:val="4"/>
        <w:spacing w:line="240" w:lineRule="auto"/>
        <w:jc w:val="center"/>
        <w:rPr>
          <w:sz w:val="36"/>
          <w:szCs w:val="36"/>
        </w:rPr>
      </w:pPr>
      <w:bookmarkStart w:id="0" w:name="_Toc36028993"/>
      <w:r>
        <w:rPr>
          <w:sz w:val="36"/>
          <w:szCs w:val="36"/>
        </w:rPr>
        <w:t>前 言</w:t>
      </w:r>
      <w:bookmarkEnd w:id="0"/>
    </w:p>
    <w:p>
      <w:pPr>
        <w:ind w:firstLine="540"/>
      </w:pPr>
      <w:r>
        <w:rPr>
          <w:rFonts w:hint="eastAsia"/>
          <w:lang w:eastAsia="zh-CN"/>
        </w:rPr>
        <w:t>按照四川省委农村工作领导小组办公室、四川省水利厅《关于加强新时期农村水利工作助力乡村振兴发展的知道意见》（川农领办</w:t>
      </w:r>
      <w:r>
        <w:rPr>
          <w:rFonts w:hint="eastAsia"/>
          <w:lang w:val="en-US" w:eastAsia="zh-CN"/>
        </w:rPr>
        <w:t>[2021]48号</w:t>
      </w:r>
      <w:r>
        <w:rPr>
          <w:rFonts w:hint="eastAsia"/>
          <w:lang w:eastAsia="zh-CN"/>
        </w:rPr>
        <w:t>）要求，为加快推进我省新时期农村水利工作从传统的农田水利向构建完备的乡村水网体系和现代水管理体系转变，</w:t>
      </w:r>
      <w:bookmarkStart w:id="1" w:name="OLE_LINK10"/>
      <w:r>
        <w:rPr>
          <w:rFonts w:hint="eastAsia"/>
          <w:lang w:eastAsia="zh-CN"/>
        </w:rPr>
        <w:t>四川省水利厅下发</w:t>
      </w:r>
      <w:r>
        <w:t>《</w:t>
      </w:r>
      <w:r>
        <w:rPr>
          <w:rFonts w:hint="eastAsia"/>
          <w:lang w:eastAsia="zh-CN"/>
        </w:rPr>
        <w:t>关于开展县级“十四五”新时期农村水利规划编制工作的通知</w:t>
      </w:r>
      <w:r>
        <w:t>》（</w:t>
      </w:r>
      <w:r>
        <w:rPr>
          <w:rFonts w:hint="eastAsia"/>
          <w:lang w:eastAsia="zh-CN"/>
        </w:rPr>
        <w:t>川水</w:t>
      </w:r>
      <w:r>
        <w:t>函[20</w:t>
      </w:r>
      <w:r>
        <w:rPr>
          <w:rFonts w:hint="eastAsia"/>
          <w:lang w:val="en-US" w:eastAsia="zh-CN"/>
        </w:rPr>
        <w:t>21</w:t>
      </w:r>
      <w:r>
        <w:t>]</w:t>
      </w:r>
      <w:r>
        <w:rPr>
          <w:rFonts w:hint="eastAsia"/>
          <w:lang w:val="en-US" w:eastAsia="zh-CN"/>
        </w:rPr>
        <w:t>1089</w:t>
      </w:r>
      <w:r>
        <w:t>号），</w:t>
      </w:r>
      <w:bookmarkEnd w:id="1"/>
      <w:r>
        <w:t>要求以县为单位编制</w:t>
      </w:r>
      <w:r>
        <w:rPr>
          <w:rFonts w:hint="eastAsia"/>
          <w:lang w:eastAsia="zh-CN"/>
        </w:rPr>
        <w:t>县级</w:t>
      </w:r>
      <w:r>
        <w:t>“十四五”</w:t>
      </w:r>
      <w:r>
        <w:rPr>
          <w:rFonts w:hint="eastAsia"/>
          <w:lang w:eastAsia="zh-CN"/>
        </w:rPr>
        <w:t>新时期农村水利规划</w:t>
      </w:r>
      <w:r>
        <w:t>。我院受</w:t>
      </w:r>
      <w:r>
        <w:rPr>
          <w:rFonts w:hint="eastAsia"/>
          <w:lang w:eastAsia="zh-CN"/>
        </w:rPr>
        <w:t>马边彝族自治县</w:t>
      </w:r>
      <w:r>
        <w:t>水务局委托进行本次</w:t>
      </w:r>
      <w:bookmarkStart w:id="2" w:name="OLE_LINK3"/>
      <w:r>
        <w:t>《</w:t>
      </w:r>
      <w:bookmarkStart w:id="3" w:name="OLE_LINK2"/>
      <w:bookmarkStart w:id="4" w:name="OLE_LINK53"/>
      <w:r>
        <w:rPr>
          <w:rFonts w:hint="eastAsia"/>
          <w:lang w:eastAsia="zh-CN"/>
        </w:rPr>
        <w:t>马边彝族自治县</w:t>
      </w:r>
      <w:r>
        <w:t>“十四五”</w:t>
      </w:r>
      <w:bookmarkEnd w:id="3"/>
      <w:bookmarkEnd w:id="4"/>
      <w:r>
        <w:rPr>
          <w:rFonts w:hint="eastAsia"/>
          <w:lang w:eastAsia="zh-CN"/>
        </w:rPr>
        <w:t>新时期农村水利规划</w:t>
      </w:r>
      <w:r>
        <w:t>》</w:t>
      </w:r>
      <w:bookmarkEnd w:id="2"/>
      <w:r>
        <w:t>编制工作。</w:t>
      </w:r>
    </w:p>
    <w:p>
      <w:pPr>
        <w:ind w:firstLine="540"/>
      </w:pPr>
      <w:r>
        <w:t>自接受本次任务起，我院立即组织专业人员对</w:t>
      </w:r>
      <w:r>
        <w:rPr>
          <w:rFonts w:hint="eastAsia"/>
          <w:lang w:eastAsia="zh-CN"/>
        </w:rPr>
        <w:t>马边彝族自治县新时期农村水利</w:t>
      </w:r>
      <w:r>
        <w:t>现状及存在的问题等资料进行收集，在</w:t>
      </w:r>
      <w:r>
        <w:rPr>
          <w:rFonts w:hint="eastAsia"/>
          <w:lang w:eastAsia="zh-CN"/>
        </w:rPr>
        <w:t>马边彝族自治县</w:t>
      </w:r>
      <w:r>
        <w:t>水务局的配合下，于202</w:t>
      </w:r>
      <w:r>
        <w:rPr>
          <w:rFonts w:hint="eastAsia"/>
          <w:lang w:val="en-US" w:eastAsia="zh-CN"/>
        </w:rPr>
        <w:t>1</w:t>
      </w:r>
      <w:r>
        <w:t>年</w:t>
      </w:r>
      <w:r>
        <w:rPr>
          <w:rFonts w:hint="eastAsia"/>
          <w:lang w:val="en-US" w:eastAsia="zh-CN"/>
        </w:rPr>
        <w:t>8</w:t>
      </w:r>
      <w:r>
        <w:t>月</w:t>
      </w:r>
      <w:r>
        <w:rPr>
          <w:rFonts w:hint="eastAsia"/>
          <w:lang w:eastAsia="zh-CN"/>
        </w:rPr>
        <w:t>中旬</w:t>
      </w:r>
      <w:r>
        <w:t>根据《县级“十四五”</w:t>
      </w:r>
      <w:r>
        <w:rPr>
          <w:rFonts w:hint="eastAsia"/>
          <w:lang w:eastAsia="zh-CN"/>
        </w:rPr>
        <w:t>新农水</w:t>
      </w:r>
      <w:r>
        <w:t>规划编制参考提纲》的要求正式展开编制工作，并于</w:t>
      </w:r>
      <w:r>
        <w:rPr>
          <w:rFonts w:hint="eastAsia"/>
          <w:lang w:val="en-US" w:eastAsia="zh-CN"/>
        </w:rPr>
        <w:t>8</w:t>
      </w:r>
      <w:r>
        <w:t>月下旬完成本次《</w:t>
      </w:r>
      <w:r>
        <w:rPr>
          <w:rFonts w:hint="eastAsia"/>
          <w:lang w:eastAsia="zh-CN"/>
        </w:rPr>
        <w:t>马边彝族自治县</w:t>
      </w:r>
      <w:r>
        <w:t>“十四五”</w:t>
      </w:r>
      <w:r>
        <w:rPr>
          <w:rFonts w:hint="eastAsia"/>
          <w:lang w:eastAsia="zh-CN"/>
        </w:rPr>
        <w:t>新时期农村水利</w:t>
      </w:r>
      <w:r>
        <w:t>规划》的编制工作。</w:t>
      </w:r>
    </w:p>
    <w:p>
      <w:pPr>
        <w:ind w:firstLine="540"/>
        <w:rPr>
          <w:rFonts w:hint="eastAsia" w:ascii="Times New Roman" w:hAnsi="Times New Roman" w:eastAsia="宋体" w:cs="Times New Roman"/>
          <w:lang w:eastAsia="zh-CN"/>
        </w:rPr>
      </w:pPr>
      <w:r>
        <w:t>本次</w:t>
      </w:r>
      <w:r>
        <w:rPr>
          <w:rFonts w:hint="eastAsia"/>
          <w:lang w:eastAsia="zh-CN"/>
        </w:rPr>
        <w:t>马边彝族自治县</w:t>
      </w:r>
      <w:r>
        <w:t>“十四五”</w:t>
      </w:r>
      <w:r>
        <w:rPr>
          <w:rFonts w:hint="eastAsia"/>
          <w:lang w:eastAsia="zh-CN"/>
        </w:rPr>
        <w:t>新时期农</w:t>
      </w:r>
      <w:r>
        <w:rPr>
          <w:rFonts w:hint="eastAsia" w:ascii="Times New Roman" w:hAnsi="Times New Roman" w:eastAsia="宋体" w:cs="Times New Roman"/>
          <w:lang w:eastAsia="zh-CN"/>
        </w:rPr>
        <w:t>村水利</w:t>
      </w:r>
      <w:r>
        <w:rPr>
          <w:rFonts w:ascii="Times New Roman" w:hAnsi="Times New Roman" w:eastAsia="宋体" w:cs="Times New Roman"/>
        </w:rPr>
        <w:t>规划</w:t>
      </w:r>
      <w:r>
        <w:rPr>
          <w:rFonts w:hint="eastAsia" w:ascii="Times New Roman" w:hAnsi="Times New Roman" w:eastAsia="宋体" w:cs="Times New Roman"/>
          <w:lang w:eastAsia="zh-CN"/>
        </w:rPr>
        <w:t>以习近平新时代中国特色社会主义思想为指导思想，深刻把握“三新一高”和农业农村优先发展要求，围绕四川水利高质量发展“</w:t>
      </w:r>
      <w:r>
        <w:rPr>
          <w:rFonts w:hint="eastAsia" w:ascii="Times New Roman" w:hAnsi="Times New Roman" w:eastAsia="宋体" w:cs="Times New Roman"/>
          <w:lang w:val="en-US" w:eastAsia="zh-CN"/>
        </w:rPr>
        <w:t>3226</w:t>
      </w:r>
      <w:r>
        <w:rPr>
          <w:rFonts w:hint="eastAsia" w:ascii="Times New Roman" w:hAnsi="Times New Roman" w:eastAsia="宋体" w:cs="Times New Roman"/>
          <w:lang w:eastAsia="zh-CN"/>
        </w:rPr>
        <w:t>”总体工作思路，把</w:t>
      </w:r>
      <w:r>
        <w:rPr>
          <w:rFonts w:hint="eastAsia" w:cs="Times New Roman"/>
          <w:lang w:eastAsia="zh-CN"/>
        </w:rPr>
        <w:t>马边彝族自治县</w:t>
      </w:r>
      <w:r>
        <w:rPr>
          <w:rFonts w:hint="eastAsia" w:ascii="Times New Roman" w:hAnsi="Times New Roman" w:eastAsia="宋体" w:cs="Times New Roman"/>
          <w:lang w:eastAsia="zh-CN"/>
        </w:rPr>
        <w:t>域内乡村水务、农业灌溉、水库及其渠道、水美新村等四大板块作为重点工作，并与</w:t>
      </w:r>
      <w:r>
        <w:rPr>
          <w:rFonts w:hint="eastAsia" w:cs="Times New Roman"/>
          <w:lang w:eastAsia="zh-CN"/>
        </w:rPr>
        <w:t>马边彝族自治县</w:t>
      </w:r>
      <w:r>
        <w:rPr>
          <w:rFonts w:hint="eastAsia" w:ascii="Times New Roman" w:hAnsi="Times New Roman" w:eastAsia="宋体" w:cs="Times New Roman"/>
          <w:lang w:eastAsia="zh-CN"/>
        </w:rPr>
        <w:t>“十四五”水安全保障规划进行充分衔接。</w:t>
      </w:r>
    </w:p>
    <w:p>
      <w:pPr>
        <w:ind w:firstLine="540"/>
      </w:pPr>
      <w:r>
        <w:rPr>
          <w:rFonts w:hint="eastAsia" w:ascii="Times New Roman" w:hAnsi="Times New Roman" w:eastAsia="宋体" w:cs="Times New Roman"/>
          <w:lang w:eastAsia="zh-CN"/>
        </w:rPr>
        <w:t>乡村水务主要体现在农村供水板块，</w:t>
      </w:r>
      <w:r>
        <w:t>拟采取规模化供水方式，通过县城片区供水工程、大竹堡片区供水工程、雪口山片区供水工程、荣丁片区供水工程</w:t>
      </w:r>
      <w:r>
        <w:rPr>
          <w:rFonts w:hint="eastAsia"/>
          <w:lang w:eastAsia="zh-CN"/>
        </w:rPr>
        <w:t>及苏坝片区供水工程为依托</w:t>
      </w:r>
      <w:r>
        <w:t>实现片区统一管理、运行高效的划片供水模式。</w:t>
      </w:r>
      <w:r>
        <w:rPr>
          <w:rFonts w:hint="eastAsia"/>
          <w:lang w:eastAsia="zh-CN"/>
        </w:rPr>
        <w:t>主要建设内容包括新建取水工程、输配水管道工程及净水处理厂区工程等</w:t>
      </w:r>
      <w:r>
        <w:t>。</w:t>
      </w:r>
    </w:p>
    <w:p>
      <w:pPr>
        <w:ind w:firstLine="540"/>
        <w:rPr>
          <w:rFonts w:hint="eastAsia"/>
          <w:lang w:eastAsia="zh-CN"/>
        </w:rPr>
      </w:pPr>
      <w:r>
        <w:rPr>
          <w:rFonts w:hint="eastAsia" w:ascii="Times New Roman" w:hAnsi="Times New Roman" w:eastAsia="宋体" w:cs="Times New Roman"/>
          <w:lang w:eastAsia="zh-CN"/>
        </w:rPr>
        <w:t>水库及其渠道板块</w:t>
      </w:r>
      <w:r>
        <w:rPr>
          <w:rFonts w:hint="eastAsia"/>
          <w:lang w:eastAsia="zh-CN"/>
        </w:rPr>
        <w:t>以青龙水库为重点，对青龙水库的水雨情监测设施及安全监测设施进行优化及完善；对其灌区渠道进行维修整治，提高其灌溉水利用率，节约水资源。</w:t>
      </w:r>
    </w:p>
    <w:p>
      <w:pPr>
        <w:ind w:firstLine="540"/>
        <w:rPr>
          <w:rFonts w:hint="eastAsia" w:ascii="Times New Roman" w:hAnsi="Times New Roman" w:eastAsia="宋体" w:cs="Times New Roman"/>
        </w:rPr>
      </w:pPr>
      <w:r>
        <w:rPr>
          <w:rFonts w:hint="eastAsia" w:ascii="Times New Roman" w:hAnsi="Times New Roman" w:eastAsia="宋体" w:cs="Times New Roman"/>
        </w:rPr>
        <w:t>水美新村</w:t>
      </w:r>
      <w:r>
        <w:rPr>
          <w:rFonts w:hint="eastAsia" w:ascii="Times New Roman" w:hAnsi="Times New Roman" w:eastAsia="宋体" w:cs="Times New Roman"/>
          <w:lang w:eastAsia="zh-CN"/>
        </w:rPr>
        <w:t>板块</w:t>
      </w:r>
      <w:r>
        <w:rPr>
          <w:rFonts w:hint="eastAsia" w:ascii="Times New Roman" w:hAnsi="Times New Roman" w:eastAsia="宋体" w:cs="Times New Roman"/>
        </w:rPr>
        <w:t>着力构建节水配水管理体系、设施生态网络体系、河湖保护体系、水旱灾害防治体系、现代水利制度体系和蜀水文化体系的“六水美村”网络体系，</w:t>
      </w:r>
      <w:r>
        <w:rPr>
          <w:rFonts w:hint="eastAsia" w:ascii="Times New Roman" w:hAnsi="Times New Roman" w:eastAsia="宋体" w:cs="Times New Roman"/>
          <w:lang w:val="en-US" w:eastAsia="zh-CN"/>
        </w:rPr>
        <w:t>与</w:t>
      </w:r>
      <w:r>
        <w:rPr>
          <w:rFonts w:hint="eastAsia" w:ascii="Times New Roman" w:hAnsi="Times New Roman" w:eastAsia="宋体" w:cs="Times New Roman"/>
        </w:rPr>
        <w:t>乡村振兴战略总体规划相协调，分阶段分步骤开展建设工作，2021到2025年年底新建龙秧坪村、小谷溪村、西城社区、新华村、黎明村、桃溪村、先家普村共7个水美新村，覆盖人口14915人。</w:t>
      </w:r>
    </w:p>
    <w:p>
      <w:pPr>
        <w:ind w:firstLine="540"/>
        <w:rPr>
          <w:rFonts w:ascii="Times New Roman" w:hAnsi="Times New Roman" w:eastAsia="宋体" w:cs="Times New Roman"/>
          <w:color w:val="auto"/>
        </w:rPr>
      </w:pPr>
      <w:r>
        <w:rPr>
          <w:rFonts w:ascii="Times New Roman" w:hAnsi="Times New Roman" w:eastAsia="宋体" w:cs="Times New Roman"/>
          <w:color w:val="auto"/>
        </w:rPr>
        <w:t>规划项目总投资为</w:t>
      </w:r>
      <w:r>
        <w:rPr>
          <w:rFonts w:hint="eastAsia" w:ascii="Times New Roman" w:hAnsi="Times New Roman" w:eastAsia="宋体" w:cs="Times New Roman"/>
          <w:color w:val="auto"/>
          <w:lang w:val="en-US" w:eastAsia="zh-CN"/>
        </w:rPr>
        <w:t>25852.78万</w:t>
      </w:r>
      <w:r>
        <w:rPr>
          <w:rFonts w:ascii="Times New Roman" w:hAnsi="Times New Roman" w:eastAsia="宋体" w:cs="Times New Roman"/>
          <w:color w:val="auto"/>
        </w:rPr>
        <w:t>元，其中</w:t>
      </w:r>
      <w:r>
        <w:rPr>
          <w:rFonts w:hint="eastAsia" w:ascii="Times New Roman" w:hAnsi="Times New Roman" w:eastAsia="宋体" w:cs="Times New Roman"/>
          <w:color w:val="auto"/>
          <w:lang w:eastAsia="zh-CN"/>
        </w:rPr>
        <w:t>农村供水</w:t>
      </w:r>
      <w:r>
        <w:rPr>
          <w:rFonts w:ascii="Times New Roman" w:hAnsi="Times New Roman" w:eastAsia="宋体" w:cs="Times New Roman"/>
          <w:color w:val="auto"/>
        </w:rPr>
        <w:t>工程规划投资</w:t>
      </w:r>
      <w:r>
        <w:rPr>
          <w:rFonts w:hint="eastAsia" w:ascii="Times New Roman" w:hAnsi="Times New Roman" w:eastAsia="宋体" w:cs="Times New Roman"/>
          <w:color w:val="auto"/>
          <w:lang w:val="en-US" w:eastAsia="zh-CN"/>
        </w:rPr>
        <w:t>24642.19</w:t>
      </w:r>
      <w:r>
        <w:rPr>
          <w:rFonts w:hint="eastAsia" w:ascii="Times New Roman" w:hAnsi="Times New Roman" w:eastAsia="宋体" w:cs="Times New Roman"/>
          <w:color w:val="auto"/>
          <w:lang w:eastAsia="zh-CN"/>
        </w:rPr>
        <w:t>万</w:t>
      </w:r>
      <w:r>
        <w:rPr>
          <w:rFonts w:ascii="Times New Roman" w:hAnsi="Times New Roman" w:eastAsia="宋体" w:cs="Times New Roman"/>
          <w:color w:val="auto"/>
        </w:rPr>
        <w:t>元，占比</w:t>
      </w:r>
      <w:r>
        <w:rPr>
          <w:rFonts w:hint="eastAsia" w:ascii="Times New Roman" w:hAnsi="Times New Roman" w:eastAsia="宋体" w:cs="Times New Roman"/>
          <w:color w:val="auto"/>
          <w:lang w:val="en-US" w:eastAsia="zh-CN"/>
        </w:rPr>
        <w:t>95.3</w:t>
      </w:r>
      <w:r>
        <w:rPr>
          <w:rFonts w:ascii="Times New Roman" w:hAnsi="Times New Roman" w:eastAsia="宋体" w:cs="Times New Roman"/>
          <w:color w:val="auto"/>
        </w:rPr>
        <w:t>%；</w:t>
      </w:r>
      <w:r>
        <w:rPr>
          <w:rFonts w:hint="eastAsia" w:ascii="Times New Roman" w:hAnsi="Times New Roman" w:eastAsia="宋体" w:cs="Times New Roman"/>
          <w:color w:val="auto"/>
          <w:lang w:eastAsia="zh-CN"/>
        </w:rPr>
        <w:t>水库及其渠道</w:t>
      </w:r>
      <w:r>
        <w:rPr>
          <w:rFonts w:ascii="Times New Roman" w:hAnsi="Times New Roman" w:eastAsia="宋体" w:cs="Times New Roman"/>
          <w:color w:val="auto"/>
        </w:rPr>
        <w:t>规划投资</w:t>
      </w:r>
      <w:r>
        <w:rPr>
          <w:rFonts w:hint="eastAsia" w:ascii="Times New Roman" w:hAnsi="Times New Roman" w:eastAsia="宋体" w:cs="Times New Roman"/>
          <w:color w:val="auto"/>
          <w:lang w:val="en-US" w:eastAsia="zh-CN"/>
        </w:rPr>
        <w:t>41.54万</w:t>
      </w:r>
      <w:r>
        <w:rPr>
          <w:rFonts w:ascii="Times New Roman" w:hAnsi="Times New Roman" w:eastAsia="宋体" w:cs="Times New Roman"/>
          <w:color w:val="auto"/>
        </w:rPr>
        <w:t>元，占比</w:t>
      </w:r>
      <w:r>
        <w:rPr>
          <w:rFonts w:hint="eastAsia" w:ascii="Times New Roman" w:hAnsi="Times New Roman" w:eastAsia="宋体" w:cs="Times New Roman"/>
          <w:color w:val="auto"/>
          <w:lang w:val="en-US" w:eastAsia="zh-CN"/>
        </w:rPr>
        <w:t>0.2</w:t>
      </w:r>
      <w:r>
        <w:rPr>
          <w:rFonts w:ascii="Times New Roman" w:hAnsi="Times New Roman" w:eastAsia="宋体" w:cs="Times New Roman"/>
          <w:color w:val="auto"/>
        </w:rPr>
        <w:t>%；</w:t>
      </w:r>
      <w:r>
        <w:rPr>
          <w:rFonts w:hint="eastAsia" w:ascii="Times New Roman" w:hAnsi="Times New Roman" w:eastAsia="宋体" w:cs="Times New Roman"/>
          <w:color w:val="auto"/>
          <w:lang w:eastAsia="zh-CN"/>
        </w:rPr>
        <w:t>农业水价综合改革规划</w:t>
      </w:r>
      <w:r>
        <w:rPr>
          <w:rFonts w:ascii="Times New Roman" w:hAnsi="Times New Roman" w:eastAsia="宋体" w:cs="Times New Roman"/>
          <w:color w:val="auto"/>
        </w:rPr>
        <w:t>投资</w:t>
      </w:r>
      <w:r>
        <w:rPr>
          <w:rFonts w:hint="eastAsia" w:ascii="Times New Roman" w:hAnsi="Times New Roman" w:eastAsia="宋体" w:cs="Times New Roman"/>
          <w:color w:val="auto"/>
          <w:lang w:val="en-US" w:eastAsia="zh-CN"/>
        </w:rPr>
        <w:t>1169.06</w:t>
      </w:r>
      <w:r>
        <w:rPr>
          <w:rFonts w:hint="eastAsia" w:ascii="Times New Roman" w:hAnsi="Times New Roman" w:eastAsia="宋体" w:cs="Times New Roman"/>
          <w:color w:val="auto"/>
          <w:lang w:eastAsia="zh-CN"/>
        </w:rPr>
        <w:t>万</w:t>
      </w:r>
      <w:r>
        <w:rPr>
          <w:rFonts w:ascii="Times New Roman" w:hAnsi="Times New Roman" w:eastAsia="宋体" w:cs="Times New Roman"/>
          <w:color w:val="auto"/>
        </w:rPr>
        <w:t>元，占比</w:t>
      </w:r>
      <w:r>
        <w:rPr>
          <w:rFonts w:hint="eastAsia" w:ascii="Times New Roman" w:hAnsi="Times New Roman" w:eastAsia="宋体" w:cs="Times New Roman"/>
          <w:color w:val="auto"/>
          <w:lang w:val="en-US" w:eastAsia="zh-CN"/>
        </w:rPr>
        <w:t>4.5</w:t>
      </w:r>
      <w:r>
        <w:rPr>
          <w:rFonts w:ascii="Times New Roman" w:hAnsi="Times New Roman" w:eastAsia="宋体" w:cs="Times New Roman"/>
          <w:color w:val="auto"/>
        </w:rPr>
        <w:t>%。</w:t>
      </w:r>
      <w:r>
        <w:rPr>
          <w:rFonts w:hint="eastAsia" w:ascii="Times New Roman" w:hAnsi="Times New Roman" w:eastAsia="宋体" w:cs="Times New Roman"/>
          <w:color w:val="auto"/>
        </w:rPr>
        <w:t>项目实施在积极争取上级各类专项投资的同时，充分发挥财政资金的撬动作用，引导社会资本投入。</w:t>
      </w:r>
      <w:r>
        <w:rPr>
          <w:rFonts w:ascii="Times New Roman" w:hAnsi="Times New Roman" w:eastAsia="宋体" w:cs="Times New Roman"/>
          <w:color w:val="auto"/>
        </w:rPr>
        <w:t>根据</w:t>
      </w:r>
      <w:r>
        <w:rPr>
          <w:rFonts w:hint="eastAsia" w:ascii="Times New Roman" w:hAnsi="Times New Roman" w:eastAsia="宋体" w:cs="Times New Roman"/>
          <w:color w:val="auto"/>
        </w:rPr>
        <w:t>“</w:t>
      </w:r>
      <w:r>
        <w:rPr>
          <w:rFonts w:ascii="Times New Roman" w:hAnsi="Times New Roman" w:eastAsia="宋体" w:cs="Times New Roman"/>
          <w:color w:val="auto"/>
        </w:rPr>
        <w:t>十四五</w:t>
      </w:r>
      <w:r>
        <w:rPr>
          <w:rFonts w:hint="eastAsia" w:ascii="Times New Roman" w:hAnsi="Times New Roman" w:eastAsia="宋体" w:cs="Times New Roman"/>
          <w:color w:val="auto"/>
        </w:rPr>
        <w:t>”</w:t>
      </w:r>
      <w:r>
        <w:rPr>
          <w:rFonts w:ascii="Times New Roman" w:hAnsi="Times New Roman" w:eastAsia="宋体" w:cs="Times New Roman"/>
          <w:color w:val="auto"/>
        </w:rPr>
        <w:t>资金平衡原则，估算中央补助投资</w:t>
      </w:r>
      <w:r>
        <w:rPr>
          <w:rFonts w:hint="eastAsia" w:ascii="Times New Roman" w:hAnsi="Times New Roman" w:eastAsia="宋体" w:cs="Times New Roman"/>
          <w:color w:val="auto"/>
          <w:lang w:val="en-US" w:eastAsia="zh-CN"/>
        </w:rPr>
        <w:t>8110.72万</w:t>
      </w:r>
      <w:r>
        <w:rPr>
          <w:rFonts w:ascii="Times New Roman" w:hAnsi="Times New Roman" w:eastAsia="宋体" w:cs="Times New Roman"/>
          <w:color w:val="auto"/>
        </w:rPr>
        <w:t>元，占规划投资的</w:t>
      </w:r>
      <w:r>
        <w:rPr>
          <w:rFonts w:hint="eastAsia" w:ascii="Times New Roman" w:hAnsi="Times New Roman" w:eastAsia="宋体" w:cs="Times New Roman"/>
          <w:color w:val="auto"/>
          <w:lang w:val="en-US" w:eastAsia="zh-CN"/>
        </w:rPr>
        <w:t>31.4</w:t>
      </w:r>
      <w:r>
        <w:rPr>
          <w:rFonts w:ascii="Times New Roman" w:hAnsi="Times New Roman" w:eastAsia="宋体" w:cs="Times New Roman"/>
          <w:color w:val="auto"/>
        </w:rPr>
        <w:t>%；省级投资</w:t>
      </w:r>
      <w:r>
        <w:rPr>
          <w:rFonts w:hint="eastAsia" w:ascii="Times New Roman" w:hAnsi="Times New Roman" w:eastAsia="宋体" w:cs="Times New Roman"/>
          <w:color w:val="auto"/>
          <w:lang w:val="en-US" w:eastAsia="zh-CN"/>
        </w:rPr>
        <w:t>2710.49万</w:t>
      </w:r>
      <w:r>
        <w:rPr>
          <w:rFonts w:ascii="Times New Roman" w:hAnsi="Times New Roman" w:eastAsia="宋体" w:cs="Times New Roman"/>
          <w:color w:val="auto"/>
        </w:rPr>
        <w:t>元，占规划投资的</w:t>
      </w:r>
      <w:r>
        <w:rPr>
          <w:rFonts w:hint="eastAsia" w:ascii="Times New Roman" w:hAnsi="Times New Roman" w:eastAsia="宋体" w:cs="Times New Roman"/>
          <w:color w:val="auto"/>
          <w:lang w:val="en-US" w:eastAsia="zh-CN"/>
        </w:rPr>
        <w:t>10.</w:t>
      </w:r>
      <w:r>
        <w:rPr>
          <w:rFonts w:hint="eastAsia" w:ascii="Times New Roman" w:hAnsi="Times New Roman" w:eastAsia="宋体" w:cs="Times New Roman"/>
          <w:color w:val="auto"/>
        </w:rPr>
        <w:t>5</w:t>
      </w:r>
      <w:r>
        <w:rPr>
          <w:rFonts w:ascii="Times New Roman" w:hAnsi="Times New Roman" w:eastAsia="宋体" w:cs="Times New Roman"/>
          <w:color w:val="auto"/>
        </w:rPr>
        <w:t>%；</w:t>
      </w:r>
      <w:r>
        <w:rPr>
          <w:rFonts w:hint="eastAsia" w:ascii="Times New Roman" w:hAnsi="Times New Roman" w:eastAsia="宋体" w:cs="Times New Roman"/>
          <w:color w:val="auto"/>
          <w:lang w:eastAsia="zh-CN"/>
        </w:rPr>
        <w:t>县级投资</w:t>
      </w:r>
      <w:r>
        <w:rPr>
          <w:rFonts w:hint="eastAsia" w:ascii="Times New Roman" w:hAnsi="Times New Roman" w:eastAsia="宋体" w:cs="Times New Roman"/>
          <w:color w:val="auto"/>
          <w:lang w:val="en-US" w:eastAsia="zh-CN"/>
        </w:rPr>
        <w:t>8.31万元，</w:t>
      </w:r>
      <w:r>
        <w:rPr>
          <w:rFonts w:ascii="Times New Roman" w:hAnsi="Times New Roman" w:eastAsia="宋体" w:cs="Times New Roman"/>
          <w:color w:val="auto"/>
        </w:rPr>
        <w:t>占规划投资的</w:t>
      </w:r>
      <w:r>
        <w:rPr>
          <w:rFonts w:hint="eastAsia" w:ascii="Times New Roman" w:hAnsi="Times New Roman" w:eastAsia="宋体" w:cs="Times New Roman"/>
          <w:color w:val="auto"/>
          <w:lang w:val="en-US" w:eastAsia="zh-CN"/>
        </w:rPr>
        <w:t>0.03</w:t>
      </w:r>
      <w:r>
        <w:rPr>
          <w:rFonts w:ascii="Times New Roman" w:hAnsi="Times New Roman" w:eastAsia="宋体" w:cs="Times New Roman"/>
          <w:color w:val="auto"/>
        </w:rPr>
        <w:t>%；地方</w:t>
      </w:r>
      <w:r>
        <w:rPr>
          <w:rFonts w:hint="eastAsia" w:ascii="Times New Roman" w:hAnsi="Times New Roman" w:eastAsia="宋体" w:cs="Times New Roman"/>
          <w:color w:val="auto"/>
          <w:lang w:eastAsia="zh-CN"/>
        </w:rPr>
        <w:t>债券</w:t>
      </w:r>
      <w:r>
        <w:rPr>
          <w:rFonts w:ascii="Times New Roman" w:hAnsi="Times New Roman" w:eastAsia="宋体" w:cs="Times New Roman"/>
          <w:color w:val="auto"/>
        </w:rPr>
        <w:t>和其他合计</w:t>
      </w:r>
      <w:r>
        <w:rPr>
          <w:rFonts w:hint="eastAsia" w:ascii="Times New Roman" w:hAnsi="Times New Roman" w:eastAsia="宋体" w:cs="Times New Roman"/>
          <w:color w:val="auto"/>
          <w:lang w:val="en-US" w:eastAsia="zh-CN"/>
        </w:rPr>
        <w:t>15023.28万</w:t>
      </w:r>
      <w:r>
        <w:rPr>
          <w:rFonts w:ascii="Times New Roman" w:hAnsi="Times New Roman" w:eastAsia="宋体" w:cs="Times New Roman"/>
          <w:color w:val="auto"/>
        </w:rPr>
        <w:t>元，占规划投资的</w:t>
      </w:r>
      <w:r>
        <w:rPr>
          <w:rFonts w:hint="eastAsia" w:ascii="Times New Roman" w:hAnsi="Times New Roman" w:eastAsia="宋体" w:cs="Times New Roman"/>
          <w:color w:val="auto"/>
          <w:lang w:val="en-US" w:eastAsia="zh-CN"/>
        </w:rPr>
        <w:t>58.1</w:t>
      </w:r>
      <w:r>
        <w:rPr>
          <w:rFonts w:ascii="Times New Roman" w:hAnsi="Times New Roman" w:eastAsia="宋体" w:cs="Times New Roman"/>
          <w:color w:val="auto"/>
        </w:rPr>
        <w:t>%。</w:t>
      </w:r>
    </w:p>
    <w:p>
      <w:pPr>
        <w:ind w:firstLine="540"/>
      </w:pPr>
      <w:r>
        <w:rPr>
          <w:rFonts w:ascii="Times New Roman" w:hAnsi="Times New Roman" w:eastAsia="宋体" w:cs="Times New Roman"/>
        </w:rPr>
        <w:t>报告编制过程中，</w:t>
      </w:r>
      <w:r>
        <w:rPr>
          <w:rFonts w:hint="eastAsia"/>
          <w:lang w:eastAsia="zh-CN"/>
        </w:rPr>
        <w:t>马边彝族自治县</w:t>
      </w:r>
      <w:r>
        <w:t>水务局等部门提供了大量详实的资料和技术支持，同时得到了乐山市水务局的悉心指导帮助，在此表示衷心感谢！</w:t>
      </w:r>
    </w:p>
    <w:p>
      <w:pPr>
        <w:jc w:val="center"/>
        <w:rPr>
          <w:rFonts w:eastAsia="黑体"/>
          <w:color w:val="FF0000"/>
          <w:sz w:val="44"/>
          <w:szCs w:val="44"/>
        </w:rPr>
        <w:sectPr>
          <w:footerReference r:id="rId12" w:type="default"/>
          <w:pgSz w:w="11906" w:h="16838"/>
          <w:pgMar w:top="1814" w:right="1588" w:bottom="1701" w:left="1588" w:header="851" w:footer="992" w:gutter="0"/>
          <w:pgNumType w:start="1"/>
          <w:cols w:space="720" w:num="1"/>
          <w:docGrid w:type="linesAndChars" w:linePitch="475" w:charSpace="512"/>
        </w:sectPr>
      </w:pPr>
    </w:p>
    <w:p>
      <w:pPr>
        <w:jc w:val="center"/>
        <w:rPr>
          <w:rFonts w:eastAsia="黑体"/>
          <w:color w:val="FF0000"/>
          <w:sz w:val="44"/>
          <w:szCs w:val="44"/>
        </w:rPr>
      </w:pPr>
      <w:r>
        <w:rPr>
          <w:rFonts w:eastAsia="黑体"/>
          <w:color w:val="FF0000"/>
          <w:sz w:val="44"/>
          <w:szCs w:val="44"/>
        </w:rPr>
        <w:t>目   录</w:t>
      </w:r>
    </w:p>
    <w:p>
      <w:pPr>
        <w:pStyle w:val="58"/>
        <w:tabs>
          <w:tab w:val="right" w:leader="dot" w:pos="8720"/>
        </w:tabs>
        <w:rPr>
          <w:rFonts w:ascii="Calibri" w:hAnsi="Calibri"/>
          <w:color w:val="FF0000"/>
          <w:sz w:val="21"/>
          <w:szCs w:val="22"/>
        </w:rPr>
      </w:pPr>
      <w:r>
        <w:rPr>
          <w:color w:val="FF0000"/>
        </w:rPr>
        <w:fldChar w:fldCharType="begin"/>
      </w:r>
      <w:r>
        <w:rPr>
          <w:color w:val="FF0000"/>
        </w:rPr>
        <w:instrText xml:space="preserve"> TOC \o "1-2" \h \z \u </w:instrText>
      </w:r>
      <w:r>
        <w:rPr>
          <w:color w:val="FF0000"/>
        </w:rPr>
        <w:fldChar w:fldCharType="separate"/>
      </w:r>
      <w:r>
        <w:rPr>
          <w:color w:val="FF0000"/>
        </w:rPr>
        <w:fldChar w:fldCharType="begin"/>
      </w:r>
      <w:r>
        <w:rPr>
          <w:rStyle w:val="98"/>
          <w:color w:val="FF0000"/>
        </w:rPr>
        <w:instrText xml:space="preserve"> </w:instrText>
      </w:r>
      <w:r>
        <w:rPr>
          <w:color w:val="FF0000"/>
        </w:rPr>
        <w:instrText xml:space="preserve">HYPERLINK \l "_Toc36028993"</w:instrText>
      </w:r>
      <w:r>
        <w:rPr>
          <w:rStyle w:val="98"/>
          <w:color w:val="FF0000"/>
        </w:rPr>
        <w:instrText xml:space="preserve"> </w:instrText>
      </w:r>
      <w:r>
        <w:rPr>
          <w:color w:val="FF0000"/>
        </w:rPr>
        <w:fldChar w:fldCharType="separate"/>
      </w:r>
      <w:r>
        <w:rPr>
          <w:rStyle w:val="98"/>
          <w:rFonts w:hint="eastAsia"/>
          <w:color w:val="FF0000"/>
        </w:rPr>
        <w:t>前</w:t>
      </w:r>
      <w:r>
        <w:rPr>
          <w:rStyle w:val="98"/>
          <w:color w:val="FF0000"/>
        </w:rPr>
        <w:t xml:space="preserve"> </w:t>
      </w:r>
      <w:r>
        <w:rPr>
          <w:rStyle w:val="98"/>
          <w:rFonts w:hint="eastAsia"/>
          <w:color w:val="FF0000"/>
        </w:rPr>
        <w:t>言</w:t>
      </w:r>
      <w:r>
        <w:rPr>
          <w:color w:val="FF0000"/>
        </w:rPr>
        <w:tab/>
      </w:r>
      <w:r>
        <w:rPr>
          <w:color w:val="FF0000"/>
        </w:rPr>
        <w:fldChar w:fldCharType="begin"/>
      </w:r>
      <w:r>
        <w:rPr>
          <w:color w:val="FF0000"/>
        </w:rPr>
        <w:instrText xml:space="preserve"> PAGEREF _Toc36028993 \h </w:instrText>
      </w:r>
      <w:r>
        <w:rPr>
          <w:color w:val="FF0000"/>
        </w:rPr>
        <w:fldChar w:fldCharType="separate"/>
      </w:r>
      <w:r>
        <w:rPr>
          <w:color w:val="FF0000"/>
        </w:rPr>
        <w:t>1</w:t>
      </w:r>
      <w:r>
        <w:rPr>
          <w:color w:val="FF0000"/>
        </w:rPr>
        <w:fldChar w:fldCharType="end"/>
      </w:r>
      <w:r>
        <w:rPr>
          <w:color w:val="FF0000"/>
        </w:rPr>
        <w:fldChar w:fldCharType="end"/>
      </w:r>
    </w:p>
    <w:p>
      <w:pPr>
        <w:pStyle w:val="58"/>
        <w:tabs>
          <w:tab w:val="right" w:leader="dot" w:pos="8720"/>
        </w:tabs>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"_Toc36028994"</w:instrText>
      </w:r>
      <w:r>
        <w:rPr>
          <w:rStyle w:val="98"/>
          <w:color w:val="FF0000"/>
        </w:rPr>
        <w:instrText xml:space="preserve"> </w:instrText>
      </w:r>
      <w:r>
        <w:rPr>
          <w:color w:val="FF0000"/>
        </w:rPr>
        <w:fldChar w:fldCharType="separate"/>
      </w:r>
      <w:r>
        <w:rPr>
          <w:rStyle w:val="98"/>
          <w:rFonts w:eastAsia="黑体"/>
          <w:color w:val="FF0000"/>
        </w:rPr>
        <w:t>1</w:t>
      </w:r>
      <w:r>
        <w:rPr>
          <w:rStyle w:val="98"/>
          <w:rFonts w:hint="eastAsia" w:eastAsia="黑体"/>
          <w:color w:val="FF0000"/>
        </w:rPr>
        <w:t>农村供水现状评价与预测</w:t>
      </w:r>
      <w:r>
        <w:rPr>
          <w:color w:val="FF0000"/>
        </w:rPr>
        <w:tab/>
      </w:r>
      <w:r>
        <w:rPr>
          <w:color w:val="FF0000"/>
        </w:rPr>
        <w:fldChar w:fldCharType="begin"/>
      </w:r>
      <w:r>
        <w:rPr>
          <w:color w:val="FF0000"/>
        </w:rPr>
        <w:instrText xml:space="preserve"> PAGEREF _Toc36028994 \h </w:instrText>
      </w:r>
      <w:r>
        <w:rPr>
          <w:color w:val="FF0000"/>
        </w:rPr>
        <w:fldChar w:fldCharType="separate"/>
      </w:r>
      <w:r>
        <w:rPr>
          <w:color w:val="FF0000"/>
        </w:rPr>
        <w:t>2</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"_Toc36028995"</w:instrText>
      </w:r>
      <w:r>
        <w:rPr>
          <w:rStyle w:val="98"/>
          <w:color w:val="FF0000"/>
        </w:rPr>
        <w:instrText xml:space="preserve"> </w:instrText>
      </w:r>
      <w:r>
        <w:rPr>
          <w:color w:val="FF0000"/>
        </w:rPr>
        <w:fldChar w:fldCharType="separate"/>
      </w:r>
      <w:r>
        <w:rPr>
          <w:rStyle w:val="98"/>
          <w:color w:val="FF0000"/>
        </w:rPr>
        <w:t>1.1</w:t>
      </w:r>
      <w:r>
        <w:rPr>
          <w:rStyle w:val="98"/>
          <w:rFonts w:hint="eastAsia"/>
          <w:color w:val="FF0000"/>
        </w:rPr>
        <w:t>自然地理、社会经济和水资源概况</w:t>
      </w:r>
      <w:r>
        <w:rPr>
          <w:color w:val="FF0000"/>
        </w:rPr>
        <w:tab/>
      </w:r>
      <w:r>
        <w:rPr>
          <w:color w:val="FF0000"/>
        </w:rPr>
        <w:fldChar w:fldCharType="begin"/>
      </w:r>
      <w:r>
        <w:rPr>
          <w:color w:val="FF0000"/>
        </w:rPr>
        <w:instrText xml:space="preserve"> PAGEREF _Toc36028995 \h </w:instrText>
      </w:r>
      <w:r>
        <w:rPr>
          <w:color w:val="FF0000"/>
        </w:rPr>
        <w:fldChar w:fldCharType="separate"/>
      </w:r>
      <w:r>
        <w:rPr>
          <w:color w:val="FF0000"/>
        </w:rPr>
        <w:t>2</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"_Toc36028996"</w:instrText>
      </w:r>
      <w:r>
        <w:rPr>
          <w:rStyle w:val="98"/>
          <w:color w:val="FF0000"/>
        </w:rPr>
        <w:instrText xml:space="preserve"> </w:instrText>
      </w:r>
      <w:r>
        <w:rPr>
          <w:color w:val="FF0000"/>
        </w:rPr>
        <w:fldChar w:fldCharType="separate"/>
      </w:r>
      <w:r>
        <w:rPr>
          <w:rStyle w:val="98"/>
          <w:color w:val="FF0000"/>
        </w:rPr>
        <w:t>1.2“</w:t>
      </w:r>
      <w:r>
        <w:rPr>
          <w:rStyle w:val="98"/>
          <w:rFonts w:hint="eastAsia"/>
          <w:color w:val="FF0000"/>
        </w:rPr>
        <w:t>十三五</w:t>
      </w:r>
      <w:r>
        <w:rPr>
          <w:rStyle w:val="98"/>
          <w:color w:val="FF0000"/>
        </w:rPr>
        <w:t>”</w:t>
      </w:r>
      <w:r>
        <w:rPr>
          <w:rStyle w:val="98"/>
          <w:rFonts w:hint="eastAsia"/>
          <w:color w:val="FF0000"/>
        </w:rPr>
        <w:t>规划实施情况及成效</w:t>
      </w:r>
      <w:r>
        <w:rPr>
          <w:color w:val="FF0000"/>
        </w:rPr>
        <w:tab/>
      </w:r>
      <w:r>
        <w:rPr>
          <w:color w:val="FF0000"/>
        </w:rPr>
        <w:fldChar w:fldCharType="begin"/>
      </w:r>
      <w:r>
        <w:rPr>
          <w:color w:val="FF0000"/>
        </w:rPr>
        <w:instrText xml:space="preserve"> PAGEREF _Toc36028996 \h </w:instrText>
      </w:r>
      <w:r>
        <w:rPr>
          <w:color w:val="FF0000"/>
        </w:rPr>
        <w:fldChar w:fldCharType="separate"/>
      </w:r>
      <w:r>
        <w:rPr>
          <w:color w:val="FF0000"/>
        </w:rPr>
        <w:t>4</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"_Toc36028997"</w:instrText>
      </w:r>
      <w:r>
        <w:rPr>
          <w:rStyle w:val="98"/>
          <w:color w:val="FF0000"/>
        </w:rPr>
        <w:instrText xml:space="preserve"> </w:instrText>
      </w:r>
      <w:r>
        <w:rPr>
          <w:color w:val="FF0000"/>
        </w:rPr>
        <w:fldChar w:fldCharType="separate"/>
      </w:r>
      <w:r>
        <w:rPr>
          <w:rStyle w:val="98"/>
          <w:color w:val="FF0000"/>
        </w:rPr>
        <w:t>1.3</w:t>
      </w:r>
      <w:r>
        <w:rPr>
          <w:rStyle w:val="98"/>
          <w:rFonts w:hint="eastAsia"/>
          <w:color w:val="FF0000"/>
        </w:rPr>
        <w:t>存在的主要问题及原因</w:t>
      </w:r>
      <w:r>
        <w:rPr>
          <w:color w:val="FF0000"/>
        </w:rPr>
        <w:tab/>
      </w:r>
      <w:r>
        <w:rPr>
          <w:color w:val="FF0000"/>
        </w:rPr>
        <w:fldChar w:fldCharType="begin"/>
      </w:r>
      <w:r>
        <w:rPr>
          <w:color w:val="FF0000"/>
        </w:rPr>
        <w:instrText xml:space="preserve"> PAGEREF _Toc36028997 \h </w:instrText>
      </w:r>
      <w:r>
        <w:rPr>
          <w:color w:val="FF0000"/>
        </w:rPr>
        <w:fldChar w:fldCharType="separate"/>
      </w:r>
      <w:r>
        <w:rPr>
          <w:color w:val="FF0000"/>
        </w:rPr>
        <w:t>8</w:t>
      </w:r>
      <w:r>
        <w:rPr>
          <w:color w:val="FF0000"/>
        </w:rPr>
        <w:fldChar w:fldCharType="end"/>
      </w:r>
      <w:r>
        <w:rPr>
          <w:color w:val="FF0000"/>
        </w:rPr>
        <w:fldChar w:fldCharType="end"/>
      </w:r>
    </w:p>
    <w:p>
      <w:pPr>
        <w:pStyle w:val="58"/>
        <w:tabs>
          <w:tab w:val="right" w:leader="dot" w:pos="8720"/>
        </w:tabs>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"_Toc36028998"</w:instrText>
      </w:r>
      <w:r>
        <w:rPr>
          <w:rStyle w:val="98"/>
          <w:color w:val="FF0000"/>
        </w:rPr>
        <w:instrText xml:space="preserve"> </w:instrText>
      </w:r>
      <w:r>
        <w:rPr>
          <w:color w:val="FF0000"/>
        </w:rPr>
        <w:fldChar w:fldCharType="separate"/>
      </w:r>
      <w:r>
        <w:rPr>
          <w:rStyle w:val="98"/>
          <w:rFonts w:eastAsia="黑体"/>
          <w:color w:val="FF0000"/>
        </w:rPr>
        <w:t>2</w:t>
      </w:r>
      <w:r>
        <w:rPr>
          <w:rStyle w:val="98"/>
          <w:rFonts w:hint="eastAsia" w:eastAsia="黑体"/>
          <w:color w:val="FF0000"/>
        </w:rPr>
        <w:t>实施</w:t>
      </w:r>
      <w:r>
        <w:rPr>
          <w:rStyle w:val="98"/>
          <w:rFonts w:eastAsia="黑体"/>
          <w:color w:val="FF0000"/>
        </w:rPr>
        <w:t>“</w:t>
      </w:r>
      <w:r>
        <w:rPr>
          <w:rStyle w:val="98"/>
          <w:rFonts w:hint="eastAsia" w:eastAsia="黑体"/>
          <w:color w:val="FF0000"/>
        </w:rPr>
        <w:t>十四五</w:t>
      </w:r>
      <w:r>
        <w:rPr>
          <w:rStyle w:val="98"/>
          <w:rFonts w:eastAsia="黑体"/>
          <w:color w:val="FF0000"/>
        </w:rPr>
        <w:t>”</w:t>
      </w:r>
      <w:bookmarkStart w:id="5" w:name="_Hlt36029644"/>
      <w:r>
        <w:rPr>
          <w:rStyle w:val="98"/>
          <w:rFonts w:hint="eastAsia" w:eastAsia="黑体"/>
          <w:color w:val="FF0000"/>
        </w:rPr>
        <w:t>农</w:t>
      </w:r>
      <w:bookmarkEnd w:id="5"/>
      <w:r>
        <w:rPr>
          <w:rStyle w:val="98"/>
          <w:rFonts w:hint="eastAsia" w:eastAsia="黑体"/>
          <w:color w:val="FF0000"/>
        </w:rPr>
        <w:t>村供水规划的必要性</w:t>
      </w:r>
      <w:r>
        <w:rPr>
          <w:color w:val="FF0000"/>
        </w:rPr>
        <w:tab/>
      </w:r>
      <w:r>
        <w:rPr>
          <w:color w:val="FF0000"/>
        </w:rPr>
        <w:fldChar w:fldCharType="begin"/>
      </w:r>
      <w:r>
        <w:rPr>
          <w:color w:val="FF0000"/>
        </w:rPr>
        <w:instrText xml:space="preserve"> PAGEREF _Toc36028998 \h </w:instrText>
      </w:r>
      <w:r>
        <w:rPr>
          <w:color w:val="FF0000"/>
        </w:rPr>
        <w:fldChar w:fldCharType="separate"/>
      </w:r>
      <w:r>
        <w:rPr>
          <w:b/>
        </w:rPr>
        <w:t>错误！未定义书签。</w:t>
      </w:r>
      <w:r>
        <w:rPr>
          <w:color w:val="FF0000"/>
        </w:rPr>
        <w:fldChar w:fldCharType="end"/>
      </w:r>
      <w:r>
        <w:rPr>
          <w:color w:val="FF0000"/>
        </w:rPr>
        <w:fldChar w:fldCharType="end"/>
      </w:r>
    </w:p>
    <w:p>
      <w:pPr>
        <w:pStyle w:val="58"/>
        <w:tabs>
          <w:tab w:val="right" w:leader="dot" w:pos="8720"/>
        </w:tabs>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"_Toc36028999"</w:instrText>
      </w:r>
      <w:r>
        <w:rPr>
          <w:rStyle w:val="98"/>
          <w:color w:val="FF0000"/>
        </w:rPr>
        <w:instrText xml:space="preserve"> </w:instrText>
      </w:r>
      <w:r>
        <w:rPr>
          <w:color w:val="FF0000"/>
        </w:rPr>
        <w:fldChar w:fldCharType="separate"/>
      </w:r>
      <w:r>
        <w:rPr>
          <w:rStyle w:val="98"/>
          <w:rFonts w:eastAsia="黑体"/>
          <w:color w:val="FF0000"/>
        </w:rPr>
        <w:t>3</w:t>
      </w:r>
      <w:r>
        <w:rPr>
          <w:rStyle w:val="98"/>
          <w:rFonts w:hint="eastAsia" w:eastAsia="黑体"/>
          <w:color w:val="FF0000"/>
        </w:rPr>
        <w:t>规划指导思想与目标任务</w:t>
      </w:r>
      <w:r>
        <w:rPr>
          <w:color w:val="FF0000"/>
        </w:rPr>
        <w:tab/>
      </w:r>
      <w:r>
        <w:rPr>
          <w:color w:val="FF0000"/>
        </w:rPr>
        <w:fldChar w:fldCharType="begin"/>
      </w:r>
      <w:r>
        <w:rPr>
          <w:color w:val="FF0000"/>
        </w:rPr>
        <w:instrText xml:space="preserve"> PAGEREF _Toc36028999 \h </w:instrText>
      </w:r>
      <w:r>
        <w:rPr>
          <w:color w:val="FF0000"/>
        </w:rPr>
        <w:fldChar w:fldCharType="separate"/>
      </w:r>
      <w:r>
        <w:rPr>
          <w:color w:val="FF0000"/>
        </w:rPr>
        <w:t>11</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"_Toc36029000"</w:instrText>
      </w:r>
      <w:r>
        <w:rPr>
          <w:rStyle w:val="98"/>
          <w:color w:val="FF0000"/>
        </w:rPr>
        <w:instrText xml:space="preserve"> </w:instrText>
      </w:r>
      <w:r>
        <w:rPr>
          <w:color w:val="FF0000"/>
        </w:rPr>
        <w:fldChar w:fldCharType="separate"/>
      </w:r>
      <w:r>
        <w:rPr>
          <w:rStyle w:val="98"/>
          <w:color w:val="FF0000"/>
        </w:rPr>
        <w:t>3.1</w:t>
      </w:r>
      <w:r>
        <w:rPr>
          <w:rStyle w:val="98"/>
          <w:rFonts w:hint="eastAsia"/>
          <w:color w:val="FF0000"/>
        </w:rPr>
        <w:t>规划编制依据</w:t>
      </w:r>
      <w:r>
        <w:rPr>
          <w:color w:val="FF0000"/>
        </w:rPr>
        <w:tab/>
      </w:r>
      <w:r>
        <w:rPr>
          <w:color w:val="FF0000"/>
        </w:rPr>
        <w:fldChar w:fldCharType="begin"/>
      </w:r>
      <w:r>
        <w:rPr>
          <w:color w:val="FF0000"/>
        </w:rPr>
        <w:instrText xml:space="preserve"> PAGEREF _Toc36029000 \h </w:instrText>
      </w:r>
      <w:r>
        <w:rPr>
          <w:color w:val="FF0000"/>
        </w:rPr>
        <w:fldChar w:fldCharType="separate"/>
      </w:r>
      <w:r>
        <w:rPr>
          <w:color w:val="FF0000"/>
        </w:rPr>
        <w:t>11</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"_Toc36029001"</w:instrText>
      </w:r>
      <w:r>
        <w:rPr>
          <w:rStyle w:val="98"/>
          <w:color w:val="FF0000"/>
        </w:rPr>
        <w:instrText xml:space="preserve"> </w:instrText>
      </w:r>
      <w:r>
        <w:rPr>
          <w:color w:val="FF0000"/>
        </w:rPr>
        <w:fldChar w:fldCharType="separate"/>
      </w:r>
      <w:r>
        <w:rPr>
          <w:rStyle w:val="98"/>
          <w:color w:val="FF0000"/>
        </w:rPr>
        <w:t>3.2</w:t>
      </w:r>
      <w:r>
        <w:rPr>
          <w:rStyle w:val="98"/>
          <w:rFonts w:hint="eastAsia"/>
          <w:color w:val="FF0000"/>
        </w:rPr>
        <w:t>规划范围与水平年</w:t>
      </w:r>
      <w:r>
        <w:rPr>
          <w:color w:val="FF0000"/>
        </w:rPr>
        <w:tab/>
      </w:r>
      <w:r>
        <w:rPr>
          <w:color w:val="FF0000"/>
        </w:rPr>
        <w:fldChar w:fldCharType="begin"/>
      </w:r>
      <w:r>
        <w:rPr>
          <w:color w:val="FF0000"/>
        </w:rPr>
        <w:instrText xml:space="preserve"> PAGEREF _Toc36029001 \h </w:instrText>
      </w:r>
      <w:r>
        <w:rPr>
          <w:color w:val="FF0000"/>
        </w:rPr>
        <w:fldChar w:fldCharType="separate"/>
      </w:r>
      <w:r>
        <w:rPr>
          <w:color w:val="FF0000"/>
        </w:rPr>
        <w:t>11</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"_Toc36029002"</w:instrText>
      </w:r>
      <w:r>
        <w:rPr>
          <w:rStyle w:val="98"/>
          <w:color w:val="FF0000"/>
        </w:rPr>
        <w:instrText xml:space="preserve"> </w:instrText>
      </w:r>
      <w:r>
        <w:rPr>
          <w:color w:val="FF0000"/>
        </w:rPr>
        <w:fldChar w:fldCharType="separate"/>
      </w:r>
      <w:r>
        <w:rPr>
          <w:rStyle w:val="98"/>
          <w:color w:val="FF0000"/>
        </w:rPr>
        <w:t>3.3</w:t>
      </w:r>
      <w:r>
        <w:rPr>
          <w:rStyle w:val="98"/>
          <w:rFonts w:hint="eastAsia"/>
          <w:color w:val="FF0000"/>
        </w:rPr>
        <w:t>规划指导思想与基本原则</w:t>
      </w:r>
      <w:r>
        <w:rPr>
          <w:color w:val="FF0000"/>
        </w:rPr>
        <w:tab/>
      </w:r>
      <w:r>
        <w:rPr>
          <w:color w:val="FF0000"/>
        </w:rPr>
        <w:fldChar w:fldCharType="begin"/>
      </w:r>
      <w:r>
        <w:rPr>
          <w:color w:val="FF0000"/>
        </w:rPr>
        <w:instrText xml:space="preserve"> PAGEREF _Toc36029002 \h </w:instrText>
      </w:r>
      <w:r>
        <w:rPr>
          <w:color w:val="FF0000"/>
        </w:rPr>
        <w:fldChar w:fldCharType="separate"/>
      </w:r>
      <w:r>
        <w:rPr>
          <w:color w:val="FF0000"/>
        </w:rPr>
        <w:t>12</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"_Toc36029003"</w:instrText>
      </w:r>
      <w:r>
        <w:rPr>
          <w:rStyle w:val="98"/>
          <w:color w:val="FF0000"/>
        </w:rPr>
        <w:instrText xml:space="preserve"> </w:instrText>
      </w:r>
      <w:r>
        <w:rPr>
          <w:color w:val="FF0000"/>
        </w:rPr>
        <w:fldChar w:fldCharType="separate"/>
      </w:r>
      <w:r>
        <w:rPr>
          <w:rStyle w:val="98"/>
          <w:color w:val="FF0000"/>
        </w:rPr>
        <w:t>3.4</w:t>
      </w:r>
      <w:r>
        <w:rPr>
          <w:rStyle w:val="98"/>
          <w:rFonts w:hint="eastAsia"/>
          <w:color w:val="FF0000"/>
        </w:rPr>
        <w:t>规划目标</w:t>
      </w:r>
      <w:r>
        <w:rPr>
          <w:color w:val="FF0000"/>
        </w:rPr>
        <w:tab/>
      </w:r>
      <w:r>
        <w:rPr>
          <w:color w:val="FF0000"/>
        </w:rPr>
        <w:fldChar w:fldCharType="begin"/>
      </w:r>
      <w:r>
        <w:rPr>
          <w:color w:val="FF0000"/>
        </w:rPr>
        <w:instrText xml:space="preserve"> PAGEREF _Toc36029003 \h </w:instrText>
      </w:r>
      <w:r>
        <w:rPr>
          <w:color w:val="FF0000"/>
        </w:rPr>
        <w:fldChar w:fldCharType="separate"/>
      </w:r>
      <w:r>
        <w:rPr>
          <w:color w:val="FF0000"/>
        </w:rPr>
        <w:t>12</w:t>
      </w:r>
      <w:r>
        <w:rPr>
          <w:color w:val="FF0000"/>
        </w:rPr>
        <w:fldChar w:fldCharType="end"/>
      </w:r>
      <w:r>
        <w:rPr>
          <w:color w:val="FF0000"/>
        </w:rPr>
        <w:fldChar w:fldCharType="end"/>
      </w:r>
    </w:p>
    <w:p>
      <w:pPr>
        <w:pStyle w:val="58"/>
        <w:tabs>
          <w:tab w:val="right" w:leader="dot" w:pos="8720"/>
        </w:tabs>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"_Toc36029004"</w:instrText>
      </w:r>
      <w:r>
        <w:rPr>
          <w:rStyle w:val="98"/>
          <w:color w:val="FF0000"/>
        </w:rPr>
        <w:instrText xml:space="preserve"> </w:instrText>
      </w:r>
      <w:r>
        <w:rPr>
          <w:color w:val="FF0000"/>
        </w:rPr>
        <w:fldChar w:fldCharType="separate"/>
      </w:r>
      <w:r>
        <w:rPr>
          <w:rStyle w:val="98"/>
          <w:rFonts w:eastAsia="黑体"/>
          <w:color w:val="FF0000"/>
        </w:rPr>
        <w:t>4</w:t>
      </w:r>
      <w:r>
        <w:rPr>
          <w:rStyle w:val="98"/>
          <w:rFonts w:hint="eastAsia" w:eastAsia="黑体"/>
          <w:color w:val="FF0000"/>
        </w:rPr>
        <w:t>规划布局</w:t>
      </w:r>
      <w:r>
        <w:rPr>
          <w:color w:val="FF0000"/>
        </w:rPr>
        <w:tab/>
      </w:r>
      <w:r>
        <w:rPr>
          <w:color w:val="FF0000"/>
        </w:rPr>
        <w:fldChar w:fldCharType="begin"/>
      </w:r>
      <w:r>
        <w:rPr>
          <w:color w:val="FF0000"/>
        </w:rPr>
        <w:instrText xml:space="preserve"> PAGEREF _Toc36029004 \h </w:instrText>
      </w:r>
      <w:r>
        <w:rPr>
          <w:color w:val="FF0000"/>
        </w:rPr>
        <w:fldChar w:fldCharType="separate"/>
      </w:r>
      <w:r>
        <w:rPr>
          <w:color w:val="FF0000"/>
        </w:rPr>
        <w:t>15</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"_Toc36029005"</w:instrText>
      </w:r>
      <w:r>
        <w:rPr>
          <w:rStyle w:val="98"/>
          <w:color w:val="FF0000"/>
        </w:rPr>
        <w:instrText xml:space="preserve"> </w:instrText>
      </w:r>
      <w:r>
        <w:rPr>
          <w:color w:val="FF0000"/>
        </w:rPr>
        <w:fldChar w:fldCharType="separate"/>
      </w:r>
      <w:r>
        <w:rPr>
          <w:rStyle w:val="98"/>
          <w:color w:val="FF0000"/>
        </w:rPr>
        <w:t>4.1</w:t>
      </w:r>
      <w:r>
        <w:rPr>
          <w:rStyle w:val="98"/>
          <w:rFonts w:hint="eastAsia"/>
          <w:color w:val="FF0000"/>
        </w:rPr>
        <w:t>水量供需平衡分析</w:t>
      </w:r>
      <w:r>
        <w:rPr>
          <w:color w:val="FF0000"/>
        </w:rPr>
        <w:tab/>
      </w:r>
      <w:r>
        <w:rPr>
          <w:color w:val="FF0000"/>
        </w:rPr>
        <w:fldChar w:fldCharType="begin"/>
      </w:r>
      <w:r>
        <w:rPr>
          <w:color w:val="FF0000"/>
        </w:rPr>
        <w:instrText xml:space="preserve"> PAGEREF _Toc36029005 \h </w:instrText>
      </w:r>
      <w:r>
        <w:rPr>
          <w:color w:val="FF0000"/>
        </w:rPr>
        <w:fldChar w:fldCharType="separate"/>
      </w:r>
      <w:r>
        <w:rPr>
          <w:color w:val="FF0000"/>
        </w:rPr>
        <w:t>15</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"_Toc36029006"</w:instrText>
      </w:r>
      <w:r>
        <w:rPr>
          <w:rStyle w:val="98"/>
          <w:color w:val="FF0000"/>
        </w:rPr>
        <w:instrText xml:space="preserve"> </w:instrText>
      </w:r>
      <w:r>
        <w:rPr>
          <w:color w:val="FF0000"/>
        </w:rPr>
        <w:fldChar w:fldCharType="separate"/>
      </w:r>
      <w:r>
        <w:rPr>
          <w:rStyle w:val="98"/>
          <w:color w:val="FF0000"/>
        </w:rPr>
        <w:t>4.2</w:t>
      </w:r>
      <w:r>
        <w:rPr>
          <w:rStyle w:val="98"/>
          <w:rFonts w:hint="eastAsia"/>
          <w:color w:val="FF0000"/>
        </w:rPr>
        <w:t>总体布局</w:t>
      </w:r>
      <w:r>
        <w:rPr>
          <w:color w:val="FF0000"/>
        </w:rPr>
        <w:tab/>
      </w:r>
      <w:r>
        <w:rPr>
          <w:color w:val="FF0000"/>
        </w:rPr>
        <w:fldChar w:fldCharType="begin"/>
      </w:r>
      <w:r>
        <w:rPr>
          <w:color w:val="FF0000"/>
        </w:rPr>
        <w:instrText xml:space="preserve"> PAGEREF _Toc36029006 \h </w:instrText>
      </w:r>
      <w:r>
        <w:rPr>
          <w:color w:val="FF0000"/>
        </w:rPr>
        <w:fldChar w:fldCharType="separate"/>
      </w:r>
      <w:r>
        <w:rPr>
          <w:color w:val="FF0000"/>
        </w:rPr>
        <w:t>16</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"_Toc36029007"</w:instrText>
      </w:r>
      <w:r>
        <w:rPr>
          <w:rStyle w:val="98"/>
          <w:color w:val="FF0000"/>
        </w:rPr>
        <w:instrText xml:space="preserve"> </w:instrText>
      </w:r>
      <w:r>
        <w:rPr>
          <w:color w:val="FF0000"/>
        </w:rPr>
        <w:fldChar w:fldCharType="separate"/>
      </w:r>
      <w:r>
        <w:rPr>
          <w:rStyle w:val="98"/>
          <w:color w:val="FF0000"/>
        </w:rPr>
        <w:t>4.3</w:t>
      </w:r>
      <w:r>
        <w:rPr>
          <w:rStyle w:val="98"/>
          <w:rFonts w:hint="eastAsia"/>
          <w:color w:val="FF0000"/>
        </w:rPr>
        <w:t>规划分区</w:t>
      </w:r>
      <w:r>
        <w:rPr>
          <w:color w:val="FF0000"/>
        </w:rPr>
        <w:tab/>
      </w:r>
      <w:r>
        <w:rPr>
          <w:color w:val="FF0000"/>
        </w:rPr>
        <w:fldChar w:fldCharType="begin"/>
      </w:r>
      <w:r>
        <w:rPr>
          <w:color w:val="FF0000"/>
        </w:rPr>
        <w:instrText xml:space="preserve"> PAGEREF _Toc36029007 \h </w:instrText>
      </w:r>
      <w:r>
        <w:rPr>
          <w:color w:val="FF0000"/>
        </w:rPr>
        <w:fldChar w:fldCharType="separate"/>
      </w:r>
      <w:r>
        <w:rPr>
          <w:color w:val="FF0000"/>
        </w:rPr>
        <w:t>18</w:t>
      </w:r>
      <w:r>
        <w:rPr>
          <w:color w:val="FF0000"/>
        </w:rPr>
        <w:fldChar w:fldCharType="end"/>
      </w:r>
      <w:r>
        <w:rPr>
          <w:color w:val="FF0000"/>
        </w:rPr>
        <w:fldChar w:fldCharType="end"/>
      </w:r>
    </w:p>
    <w:p>
      <w:pPr>
        <w:pStyle w:val="58"/>
        <w:tabs>
          <w:tab w:val="right" w:leader="dot" w:pos="8720"/>
        </w:tabs>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"_Toc36029008"</w:instrText>
      </w:r>
      <w:r>
        <w:rPr>
          <w:rStyle w:val="98"/>
          <w:color w:val="FF0000"/>
        </w:rPr>
        <w:instrText xml:space="preserve"> </w:instrText>
      </w:r>
      <w:r>
        <w:rPr>
          <w:color w:val="FF0000"/>
        </w:rPr>
        <w:fldChar w:fldCharType="separate"/>
      </w:r>
      <w:r>
        <w:rPr>
          <w:rStyle w:val="98"/>
          <w:rFonts w:eastAsia="黑体"/>
          <w:color w:val="FF0000"/>
        </w:rPr>
        <w:t>5</w:t>
      </w:r>
      <w:r>
        <w:rPr>
          <w:rStyle w:val="98"/>
          <w:rFonts w:hint="eastAsia" w:eastAsia="黑体"/>
          <w:color w:val="FF0000"/>
        </w:rPr>
        <w:t>工程建设内容</w:t>
      </w:r>
      <w:r>
        <w:rPr>
          <w:color w:val="FF0000"/>
        </w:rPr>
        <w:tab/>
      </w:r>
      <w:r>
        <w:rPr>
          <w:color w:val="FF0000"/>
        </w:rPr>
        <w:fldChar w:fldCharType="begin"/>
      </w:r>
      <w:r>
        <w:rPr>
          <w:color w:val="FF0000"/>
        </w:rPr>
        <w:instrText xml:space="preserve"> PAGEREF _Toc36029008 \h </w:instrText>
      </w:r>
      <w:r>
        <w:rPr>
          <w:color w:val="FF0000"/>
        </w:rPr>
        <w:fldChar w:fldCharType="separate"/>
      </w:r>
      <w:r>
        <w:rPr>
          <w:b/>
        </w:rPr>
        <w:t>错误！未定义书签。</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"_Toc36029009"</w:instrText>
      </w:r>
      <w:r>
        <w:rPr>
          <w:rStyle w:val="98"/>
          <w:color w:val="FF0000"/>
        </w:rPr>
        <w:instrText xml:space="preserve"> </w:instrText>
      </w:r>
      <w:r>
        <w:rPr>
          <w:color w:val="FF0000"/>
        </w:rPr>
        <w:fldChar w:fldCharType="separate"/>
      </w:r>
      <w:r>
        <w:rPr>
          <w:rStyle w:val="98"/>
          <w:color w:val="FF0000"/>
        </w:rPr>
        <w:t>5.1</w:t>
      </w:r>
      <w:r>
        <w:rPr>
          <w:rStyle w:val="98"/>
          <w:rFonts w:hint="eastAsia"/>
          <w:color w:val="FF0000"/>
        </w:rPr>
        <w:t>建设规模</w:t>
      </w:r>
      <w:r>
        <w:rPr>
          <w:color w:val="FF0000"/>
        </w:rPr>
        <w:tab/>
      </w:r>
      <w:r>
        <w:rPr>
          <w:color w:val="FF0000"/>
        </w:rPr>
        <w:fldChar w:fldCharType="begin"/>
      </w:r>
      <w:r>
        <w:rPr>
          <w:color w:val="FF0000"/>
        </w:rPr>
        <w:instrText xml:space="preserve"> PAGEREF _Toc36029009 \h </w:instrText>
      </w:r>
      <w:r>
        <w:rPr>
          <w:color w:val="FF0000"/>
        </w:rPr>
        <w:fldChar w:fldCharType="separate"/>
      </w:r>
      <w:r>
        <w:rPr>
          <w:b/>
        </w:rPr>
        <w:t>错误！未定义书签。</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"_Toc36029010"</w:instrText>
      </w:r>
      <w:r>
        <w:rPr>
          <w:rStyle w:val="98"/>
          <w:color w:val="FF0000"/>
        </w:rPr>
        <w:instrText xml:space="preserve"> </w:instrText>
      </w:r>
      <w:r>
        <w:rPr>
          <w:color w:val="FF0000"/>
        </w:rPr>
        <w:fldChar w:fldCharType="separate"/>
      </w:r>
      <w:r>
        <w:rPr>
          <w:rStyle w:val="98"/>
          <w:color w:val="FF0000"/>
        </w:rPr>
        <w:t>5.2</w:t>
      </w:r>
      <w:r>
        <w:rPr>
          <w:rStyle w:val="98"/>
          <w:rFonts w:hint="eastAsia"/>
          <w:color w:val="FF0000"/>
        </w:rPr>
        <w:t>建设内容</w:t>
      </w:r>
      <w:r>
        <w:rPr>
          <w:color w:val="FF0000"/>
        </w:rPr>
        <w:tab/>
      </w:r>
      <w:r>
        <w:rPr>
          <w:color w:val="FF0000"/>
        </w:rPr>
        <w:fldChar w:fldCharType="begin"/>
      </w:r>
      <w:r>
        <w:rPr>
          <w:color w:val="FF0000"/>
        </w:rPr>
        <w:instrText xml:space="preserve"> PAGEREF _Toc36029010 \h </w:instrText>
      </w:r>
      <w:r>
        <w:rPr>
          <w:color w:val="FF0000"/>
        </w:rPr>
        <w:fldChar w:fldCharType="separate"/>
      </w:r>
      <w:r>
        <w:rPr>
          <w:b/>
        </w:rPr>
        <w:t>错误！未定义书签。</w:t>
      </w:r>
      <w:r>
        <w:rPr>
          <w:color w:val="FF0000"/>
        </w:rPr>
        <w:fldChar w:fldCharType="end"/>
      </w:r>
      <w:r>
        <w:rPr>
          <w:color w:val="FF0000"/>
        </w:rPr>
        <w:fldChar w:fldCharType="end"/>
      </w:r>
    </w:p>
    <w:p>
      <w:pPr>
        <w:pStyle w:val="58"/>
        <w:tabs>
          <w:tab w:val="right" w:leader="dot" w:pos="8720"/>
        </w:tabs>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"_Toc36029011"</w:instrText>
      </w:r>
      <w:r>
        <w:rPr>
          <w:rStyle w:val="98"/>
          <w:color w:val="FF0000"/>
        </w:rPr>
        <w:instrText xml:space="preserve"> </w:instrText>
      </w:r>
      <w:r>
        <w:rPr>
          <w:color w:val="FF0000"/>
        </w:rPr>
        <w:fldChar w:fldCharType="separate"/>
      </w:r>
      <w:r>
        <w:rPr>
          <w:rStyle w:val="98"/>
          <w:rFonts w:eastAsia="黑体"/>
          <w:color w:val="FF0000"/>
        </w:rPr>
        <w:t>6</w:t>
      </w:r>
      <w:r>
        <w:rPr>
          <w:rStyle w:val="98"/>
          <w:rFonts w:hint="eastAsia" w:eastAsia="黑体"/>
          <w:color w:val="FF0000"/>
        </w:rPr>
        <w:t>单项工程设计</w:t>
      </w:r>
      <w:r>
        <w:rPr>
          <w:color w:val="FF0000"/>
        </w:rPr>
        <w:tab/>
      </w:r>
      <w:r>
        <w:rPr>
          <w:color w:val="FF0000"/>
        </w:rPr>
        <w:fldChar w:fldCharType="begin"/>
      </w:r>
      <w:r>
        <w:rPr>
          <w:color w:val="FF0000"/>
        </w:rPr>
        <w:instrText xml:space="preserve"> PAGEREF _Toc36029011 \h </w:instrText>
      </w:r>
      <w:r>
        <w:rPr>
          <w:color w:val="FF0000"/>
        </w:rPr>
        <w:fldChar w:fldCharType="separate"/>
      </w:r>
      <w:r>
        <w:rPr>
          <w:b/>
        </w:rPr>
        <w:t>错误！未定义书签。</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"_Toc36029012"</w:instrText>
      </w:r>
      <w:r>
        <w:rPr>
          <w:rStyle w:val="98"/>
          <w:color w:val="FF0000"/>
        </w:rPr>
        <w:instrText xml:space="preserve"> </w:instrText>
      </w:r>
      <w:r>
        <w:rPr>
          <w:color w:val="FF0000"/>
        </w:rPr>
        <w:fldChar w:fldCharType="separate"/>
      </w:r>
      <w:r>
        <w:rPr>
          <w:rStyle w:val="98"/>
          <w:color w:val="FF0000"/>
        </w:rPr>
        <w:t>6.1</w:t>
      </w:r>
      <w:r>
        <w:rPr>
          <w:rStyle w:val="98"/>
          <w:rFonts w:hint="eastAsia"/>
          <w:color w:val="FF0000"/>
        </w:rPr>
        <w:t>县城片区供水工程设计</w:t>
      </w:r>
      <w:r>
        <w:rPr>
          <w:color w:val="FF0000"/>
        </w:rPr>
        <w:tab/>
      </w:r>
      <w:r>
        <w:rPr>
          <w:color w:val="FF0000"/>
        </w:rPr>
        <w:fldChar w:fldCharType="begin"/>
      </w:r>
      <w:r>
        <w:rPr>
          <w:color w:val="FF0000"/>
        </w:rPr>
        <w:instrText xml:space="preserve"> PAGEREF _Toc36029012 \h </w:instrText>
      </w:r>
      <w:r>
        <w:rPr>
          <w:color w:val="FF0000"/>
        </w:rPr>
        <w:fldChar w:fldCharType="separate"/>
      </w:r>
      <w:r>
        <w:rPr>
          <w:color w:val="FF0000"/>
        </w:rPr>
        <w:t>19</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"_Toc36029013"</w:instrText>
      </w:r>
      <w:r>
        <w:rPr>
          <w:rStyle w:val="98"/>
          <w:color w:val="FF0000"/>
        </w:rPr>
        <w:instrText xml:space="preserve"> </w:instrText>
      </w:r>
      <w:r>
        <w:rPr>
          <w:color w:val="FF0000"/>
        </w:rPr>
        <w:fldChar w:fldCharType="separate"/>
      </w:r>
      <w:r>
        <w:rPr>
          <w:rStyle w:val="98"/>
          <w:color w:val="FF0000"/>
        </w:rPr>
        <w:t>6.2</w:t>
      </w:r>
      <w:r>
        <w:rPr>
          <w:rStyle w:val="98"/>
          <w:rFonts w:hint="eastAsia"/>
          <w:color w:val="FF0000"/>
        </w:rPr>
        <w:t>大竹堡片区供水工程设计</w:t>
      </w:r>
      <w:r>
        <w:rPr>
          <w:color w:val="FF0000"/>
        </w:rPr>
        <w:tab/>
      </w:r>
      <w:r>
        <w:rPr>
          <w:color w:val="FF0000"/>
        </w:rPr>
        <w:fldChar w:fldCharType="begin"/>
      </w:r>
      <w:r>
        <w:rPr>
          <w:color w:val="FF0000"/>
        </w:rPr>
        <w:instrText xml:space="preserve"> PAGEREF _Toc36029013 \h </w:instrText>
      </w:r>
      <w:r>
        <w:rPr>
          <w:color w:val="FF0000"/>
        </w:rPr>
        <w:fldChar w:fldCharType="separate"/>
      </w:r>
      <w:r>
        <w:rPr>
          <w:color w:val="FF0000"/>
        </w:rPr>
        <w:t>23</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"_Toc36029014"</w:instrText>
      </w:r>
      <w:r>
        <w:rPr>
          <w:rStyle w:val="98"/>
          <w:color w:val="FF0000"/>
        </w:rPr>
        <w:instrText xml:space="preserve"> </w:instrText>
      </w:r>
      <w:r>
        <w:rPr>
          <w:color w:val="FF0000"/>
        </w:rPr>
        <w:fldChar w:fldCharType="separate"/>
      </w:r>
      <w:r>
        <w:rPr>
          <w:rStyle w:val="98"/>
          <w:color w:val="FF0000"/>
        </w:rPr>
        <w:t>6.3</w:t>
      </w:r>
      <w:r>
        <w:rPr>
          <w:rStyle w:val="98"/>
          <w:rFonts w:hint="eastAsia"/>
          <w:color w:val="FF0000"/>
        </w:rPr>
        <w:t>雪口山片区供水工程设计</w:t>
      </w:r>
      <w:r>
        <w:rPr>
          <w:color w:val="FF0000"/>
        </w:rPr>
        <w:tab/>
      </w:r>
      <w:r>
        <w:rPr>
          <w:color w:val="FF0000"/>
        </w:rPr>
        <w:fldChar w:fldCharType="begin"/>
      </w:r>
      <w:r>
        <w:rPr>
          <w:color w:val="FF0000"/>
        </w:rPr>
        <w:instrText xml:space="preserve"> PAGEREF _Toc36029014 \h </w:instrText>
      </w:r>
      <w:r>
        <w:rPr>
          <w:color w:val="FF0000"/>
        </w:rPr>
        <w:fldChar w:fldCharType="separate"/>
      </w:r>
      <w:r>
        <w:rPr>
          <w:color w:val="FF0000"/>
        </w:rPr>
        <w:t>24</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"_Toc36029015"</w:instrText>
      </w:r>
      <w:r>
        <w:rPr>
          <w:rStyle w:val="98"/>
          <w:color w:val="FF0000"/>
        </w:rPr>
        <w:instrText xml:space="preserve"> </w:instrText>
      </w:r>
      <w:r>
        <w:rPr>
          <w:color w:val="FF0000"/>
        </w:rPr>
        <w:fldChar w:fldCharType="separate"/>
      </w:r>
      <w:r>
        <w:rPr>
          <w:rStyle w:val="98"/>
          <w:color w:val="FF0000"/>
        </w:rPr>
        <w:t>6.4</w:t>
      </w:r>
      <w:r>
        <w:rPr>
          <w:rStyle w:val="98"/>
          <w:rFonts w:hint="eastAsia"/>
          <w:color w:val="FF0000"/>
        </w:rPr>
        <w:t>荣丁片区供水工程设计</w:t>
      </w:r>
      <w:r>
        <w:rPr>
          <w:color w:val="FF0000"/>
        </w:rPr>
        <w:tab/>
      </w:r>
      <w:r>
        <w:rPr>
          <w:color w:val="FF0000"/>
        </w:rPr>
        <w:fldChar w:fldCharType="begin"/>
      </w:r>
      <w:r>
        <w:rPr>
          <w:color w:val="FF0000"/>
        </w:rPr>
        <w:instrText xml:space="preserve"> PAGEREF _Toc36029015 \h </w:instrText>
      </w:r>
      <w:r>
        <w:rPr>
          <w:color w:val="FF0000"/>
        </w:rPr>
        <w:fldChar w:fldCharType="separate"/>
      </w:r>
      <w:r>
        <w:rPr>
          <w:color w:val="FF0000"/>
        </w:rPr>
        <w:t>26</w:t>
      </w:r>
      <w:r>
        <w:rPr>
          <w:color w:val="FF0000"/>
        </w:rPr>
        <w:fldChar w:fldCharType="end"/>
      </w:r>
      <w:r>
        <w:rPr>
          <w:color w:val="FF0000"/>
        </w:rPr>
        <w:fldChar w:fldCharType="end"/>
      </w:r>
    </w:p>
    <w:p>
      <w:pPr>
        <w:pStyle w:val="58"/>
        <w:tabs>
          <w:tab w:val="right" w:leader="dot" w:pos="8720"/>
        </w:tabs>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"_Toc36029016"</w:instrText>
      </w:r>
      <w:r>
        <w:rPr>
          <w:rStyle w:val="98"/>
          <w:color w:val="FF0000"/>
        </w:rPr>
        <w:instrText xml:space="preserve"> </w:instrText>
      </w:r>
      <w:r>
        <w:rPr>
          <w:color w:val="FF0000"/>
        </w:rPr>
        <w:fldChar w:fldCharType="separate"/>
      </w:r>
      <w:r>
        <w:rPr>
          <w:rStyle w:val="98"/>
          <w:rFonts w:eastAsia="黑体"/>
          <w:color w:val="FF0000"/>
        </w:rPr>
        <w:t>7</w:t>
      </w:r>
      <w:r>
        <w:rPr>
          <w:rStyle w:val="98"/>
          <w:rFonts w:hint="eastAsia" w:eastAsia="黑体"/>
          <w:color w:val="FF0000"/>
        </w:rPr>
        <w:t>农村饮用水水源保护</w:t>
      </w:r>
      <w:r>
        <w:rPr>
          <w:color w:val="FF0000"/>
        </w:rPr>
        <w:tab/>
      </w:r>
      <w:r>
        <w:rPr>
          <w:color w:val="FF0000"/>
        </w:rPr>
        <w:fldChar w:fldCharType="begin"/>
      </w:r>
      <w:r>
        <w:rPr>
          <w:color w:val="FF0000"/>
        </w:rPr>
        <w:instrText xml:space="preserve"> PAGEREF _Toc36029016 \h </w:instrText>
      </w:r>
      <w:r>
        <w:rPr>
          <w:color w:val="FF0000"/>
        </w:rPr>
        <w:fldChar w:fldCharType="separate"/>
      </w:r>
      <w:r>
        <w:rPr>
          <w:color w:val="FF0000"/>
        </w:rPr>
        <w:t>36</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"_Toc36029017"</w:instrText>
      </w:r>
      <w:r>
        <w:rPr>
          <w:rStyle w:val="98"/>
          <w:color w:val="FF0000"/>
        </w:rPr>
        <w:instrText xml:space="preserve"> </w:instrText>
      </w:r>
      <w:r>
        <w:rPr>
          <w:color w:val="FF0000"/>
        </w:rPr>
        <w:fldChar w:fldCharType="separate"/>
      </w:r>
      <w:r>
        <w:rPr>
          <w:rStyle w:val="98"/>
          <w:color w:val="FF0000"/>
        </w:rPr>
        <w:t>7.1</w:t>
      </w:r>
      <w:r>
        <w:rPr>
          <w:rStyle w:val="98"/>
          <w:rFonts w:hint="eastAsia"/>
          <w:color w:val="FF0000"/>
        </w:rPr>
        <w:t>水源地概况</w:t>
      </w:r>
      <w:r>
        <w:rPr>
          <w:color w:val="FF0000"/>
        </w:rPr>
        <w:tab/>
      </w:r>
      <w:r>
        <w:rPr>
          <w:color w:val="FF0000"/>
        </w:rPr>
        <w:fldChar w:fldCharType="begin"/>
      </w:r>
      <w:r>
        <w:rPr>
          <w:color w:val="FF0000"/>
        </w:rPr>
        <w:instrText xml:space="preserve"> PAGEREF _Toc36029017 \h </w:instrText>
      </w:r>
      <w:r>
        <w:rPr>
          <w:color w:val="FF0000"/>
        </w:rPr>
        <w:fldChar w:fldCharType="separate"/>
      </w:r>
      <w:r>
        <w:rPr>
          <w:b/>
        </w:rPr>
        <w:t>错误！未定义书签。</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"_Toc36029018"</w:instrText>
      </w:r>
      <w:r>
        <w:rPr>
          <w:rStyle w:val="98"/>
          <w:color w:val="FF0000"/>
        </w:rPr>
        <w:instrText xml:space="preserve"> </w:instrText>
      </w:r>
      <w:r>
        <w:rPr>
          <w:color w:val="FF0000"/>
        </w:rPr>
        <w:fldChar w:fldCharType="separate"/>
      </w:r>
      <w:r>
        <w:rPr>
          <w:rStyle w:val="98"/>
          <w:color w:val="FF0000"/>
        </w:rPr>
        <w:t>7.2</w:t>
      </w:r>
      <w:r>
        <w:rPr>
          <w:rStyle w:val="98"/>
          <w:rFonts w:hint="eastAsia"/>
          <w:color w:val="FF0000"/>
        </w:rPr>
        <w:t>水源保护区或保护范围划分方案</w:t>
      </w:r>
      <w:r>
        <w:rPr>
          <w:color w:val="FF0000"/>
        </w:rPr>
        <w:tab/>
      </w:r>
      <w:r>
        <w:rPr>
          <w:color w:val="FF0000"/>
        </w:rPr>
        <w:fldChar w:fldCharType="begin"/>
      </w:r>
      <w:r>
        <w:rPr>
          <w:color w:val="FF0000"/>
        </w:rPr>
        <w:instrText xml:space="preserve"> PAGEREF _Toc36029018 \h </w:instrText>
      </w:r>
      <w:r>
        <w:rPr>
          <w:color w:val="FF0000"/>
        </w:rPr>
        <w:fldChar w:fldCharType="separate"/>
      </w:r>
      <w:r>
        <w:rPr>
          <w:b/>
        </w:rPr>
        <w:t>错误！未定义书签。</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"_Toc36029019"</w:instrText>
      </w:r>
      <w:r>
        <w:rPr>
          <w:rStyle w:val="98"/>
          <w:color w:val="FF0000"/>
        </w:rPr>
        <w:instrText xml:space="preserve"> </w:instrText>
      </w:r>
      <w:r>
        <w:rPr>
          <w:color w:val="FF0000"/>
        </w:rPr>
        <w:fldChar w:fldCharType="separate"/>
      </w:r>
      <w:r>
        <w:rPr>
          <w:rStyle w:val="98"/>
          <w:color w:val="FF0000"/>
        </w:rPr>
        <w:t>7.3</w:t>
      </w:r>
      <w:r>
        <w:rPr>
          <w:rStyle w:val="98"/>
          <w:rFonts w:hint="eastAsia"/>
          <w:color w:val="FF0000"/>
        </w:rPr>
        <w:t>水源保护措施</w:t>
      </w:r>
      <w:r>
        <w:rPr>
          <w:color w:val="FF0000"/>
        </w:rPr>
        <w:tab/>
      </w:r>
      <w:r>
        <w:rPr>
          <w:color w:val="FF0000"/>
        </w:rPr>
        <w:fldChar w:fldCharType="begin"/>
      </w:r>
      <w:r>
        <w:rPr>
          <w:color w:val="FF0000"/>
        </w:rPr>
        <w:instrText xml:space="preserve"> PAGEREF _Toc36029019 \h </w:instrText>
      </w:r>
      <w:r>
        <w:rPr>
          <w:color w:val="FF0000"/>
        </w:rPr>
        <w:fldChar w:fldCharType="separate"/>
      </w:r>
      <w:r>
        <w:rPr>
          <w:b/>
        </w:rPr>
        <w:t>错误！未定义书签。</w:t>
      </w:r>
      <w:r>
        <w:rPr>
          <w:color w:val="FF0000"/>
        </w:rPr>
        <w:fldChar w:fldCharType="end"/>
      </w:r>
      <w:r>
        <w:rPr>
          <w:color w:val="FF0000"/>
        </w:rPr>
        <w:fldChar w:fldCharType="end"/>
      </w:r>
    </w:p>
    <w:p>
      <w:pPr>
        <w:pStyle w:val="58"/>
        <w:tabs>
          <w:tab w:val="right" w:leader="dot" w:pos="8720"/>
        </w:tabs>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"_Toc36029020"</w:instrText>
      </w:r>
      <w:r>
        <w:rPr>
          <w:rStyle w:val="98"/>
          <w:color w:val="FF0000"/>
        </w:rPr>
        <w:instrText xml:space="preserve"> </w:instrText>
      </w:r>
      <w:r>
        <w:rPr>
          <w:color w:val="FF0000"/>
        </w:rPr>
        <w:fldChar w:fldCharType="separate"/>
      </w:r>
      <w:r>
        <w:rPr>
          <w:rStyle w:val="98"/>
          <w:rFonts w:eastAsia="黑体"/>
          <w:color w:val="FF0000"/>
        </w:rPr>
        <w:t>8</w:t>
      </w:r>
      <w:r>
        <w:rPr>
          <w:rStyle w:val="98"/>
          <w:rFonts w:hint="eastAsia" w:eastAsia="黑体"/>
          <w:color w:val="FF0000"/>
        </w:rPr>
        <w:t>创新工程管护机制</w:t>
      </w:r>
      <w:r>
        <w:rPr>
          <w:color w:val="FF0000"/>
        </w:rPr>
        <w:tab/>
      </w:r>
      <w:r>
        <w:rPr>
          <w:color w:val="FF0000"/>
        </w:rPr>
        <w:fldChar w:fldCharType="begin"/>
      </w:r>
      <w:r>
        <w:rPr>
          <w:color w:val="FF0000"/>
        </w:rPr>
        <w:instrText xml:space="preserve"> PAGEREF _Toc36029020 \h </w:instrText>
      </w:r>
      <w:r>
        <w:rPr>
          <w:color w:val="FF0000"/>
        </w:rPr>
        <w:fldChar w:fldCharType="separate"/>
      </w:r>
      <w:r>
        <w:rPr>
          <w:color w:val="FF0000"/>
        </w:rPr>
        <w:t>46</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"_Toc36029021"</w:instrText>
      </w:r>
      <w:r>
        <w:rPr>
          <w:rStyle w:val="98"/>
          <w:color w:val="FF0000"/>
        </w:rPr>
        <w:instrText xml:space="preserve"> </w:instrText>
      </w:r>
      <w:r>
        <w:rPr>
          <w:color w:val="FF0000"/>
        </w:rPr>
        <w:fldChar w:fldCharType="separate"/>
      </w:r>
      <w:r>
        <w:rPr>
          <w:rStyle w:val="98"/>
          <w:color w:val="FF0000"/>
        </w:rPr>
        <w:t>8.1</w:t>
      </w:r>
      <w:r>
        <w:rPr>
          <w:rStyle w:val="98"/>
          <w:rFonts w:hint="eastAsia"/>
          <w:color w:val="FF0000"/>
        </w:rPr>
        <w:t>水价机制建设</w:t>
      </w:r>
      <w:r>
        <w:rPr>
          <w:color w:val="FF0000"/>
        </w:rPr>
        <w:tab/>
      </w:r>
      <w:r>
        <w:rPr>
          <w:color w:val="FF0000"/>
        </w:rPr>
        <w:fldChar w:fldCharType="begin"/>
      </w:r>
      <w:r>
        <w:rPr>
          <w:color w:val="FF0000"/>
        </w:rPr>
        <w:instrText xml:space="preserve"> PAGEREF _Toc36029021 \h </w:instrText>
      </w:r>
      <w:r>
        <w:rPr>
          <w:color w:val="FF0000"/>
        </w:rPr>
        <w:fldChar w:fldCharType="separate"/>
      </w:r>
      <w:r>
        <w:rPr>
          <w:b/>
        </w:rPr>
        <w:t>错误！未定义书签。</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"_Toc36029022"</w:instrText>
      </w:r>
      <w:r>
        <w:rPr>
          <w:rStyle w:val="98"/>
          <w:color w:val="FF0000"/>
        </w:rPr>
        <w:instrText xml:space="preserve"> </w:instrText>
      </w:r>
      <w:r>
        <w:rPr>
          <w:color w:val="FF0000"/>
        </w:rPr>
        <w:fldChar w:fldCharType="separate"/>
      </w:r>
      <w:r>
        <w:rPr>
          <w:rStyle w:val="98"/>
          <w:color w:val="FF0000"/>
        </w:rPr>
        <w:t>8.2</w:t>
      </w:r>
      <w:r>
        <w:rPr>
          <w:rStyle w:val="98"/>
          <w:rFonts w:hint="eastAsia"/>
          <w:color w:val="FF0000"/>
        </w:rPr>
        <w:t>运行管护机制</w:t>
      </w:r>
      <w:r>
        <w:rPr>
          <w:color w:val="FF0000"/>
        </w:rPr>
        <w:tab/>
      </w:r>
      <w:r>
        <w:rPr>
          <w:color w:val="FF0000"/>
        </w:rPr>
        <w:fldChar w:fldCharType="begin"/>
      </w:r>
      <w:r>
        <w:rPr>
          <w:color w:val="FF0000"/>
        </w:rPr>
        <w:instrText xml:space="preserve"> PAGEREF _Toc36029022 \h </w:instrText>
      </w:r>
      <w:r>
        <w:rPr>
          <w:color w:val="FF0000"/>
        </w:rPr>
        <w:fldChar w:fldCharType="separate"/>
      </w:r>
      <w:r>
        <w:rPr>
          <w:b/>
        </w:rPr>
        <w:t>错误！未定义书签。</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"_Toc36029023"</w:instrText>
      </w:r>
      <w:r>
        <w:rPr>
          <w:rStyle w:val="98"/>
          <w:color w:val="FF0000"/>
        </w:rPr>
        <w:instrText xml:space="preserve"> </w:instrText>
      </w:r>
      <w:r>
        <w:rPr>
          <w:color w:val="FF0000"/>
        </w:rPr>
        <w:fldChar w:fldCharType="separate"/>
      </w:r>
      <w:r>
        <w:rPr>
          <w:rStyle w:val="98"/>
          <w:color w:val="FF0000"/>
        </w:rPr>
        <w:t>8.3</w:t>
      </w:r>
      <w:r>
        <w:rPr>
          <w:rStyle w:val="98"/>
          <w:rFonts w:hint="eastAsia"/>
          <w:color w:val="FF0000"/>
        </w:rPr>
        <w:t>用水户参与</w:t>
      </w:r>
      <w:r>
        <w:rPr>
          <w:color w:val="FF0000"/>
        </w:rPr>
        <w:tab/>
      </w:r>
      <w:r>
        <w:rPr>
          <w:color w:val="FF0000"/>
        </w:rPr>
        <w:fldChar w:fldCharType="begin"/>
      </w:r>
      <w:r>
        <w:rPr>
          <w:color w:val="FF0000"/>
        </w:rPr>
        <w:instrText xml:space="preserve"> PAGEREF _Toc36029023 \h </w:instrText>
      </w:r>
      <w:r>
        <w:rPr>
          <w:color w:val="FF0000"/>
        </w:rPr>
        <w:fldChar w:fldCharType="separate"/>
      </w:r>
      <w:r>
        <w:rPr>
          <w:b/>
        </w:rPr>
        <w:t>错误！未定义书签。</w:t>
      </w:r>
      <w:r>
        <w:rPr>
          <w:color w:val="FF0000"/>
        </w:rPr>
        <w:fldChar w:fldCharType="end"/>
      </w:r>
      <w:r>
        <w:rPr>
          <w:color w:val="FF0000"/>
        </w:rPr>
        <w:fldChar w:fldCharType="end"/>
      </w:r>
    </w:p>
    <w:p>
      <w:pPr>
        <w:pStyle w:val="58"/>
        <w:tabs>
          <w:tab w:val="right" w:leader="dot" w:pos="8720"/>
        </w:tabs>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"_Toc36029024"</w:instrText>
      </w:r>
      <w:r>
        <w:rPr>
          <w:rStyle w:val="98"/>
          <w:color w:val="FF0000"/>
        </w:rPr>
        <w:instrText xml:space="preserve"> </w:instrText>
      </w:r>
      <w:r>
        <w:rPr>
          <w:color w:val="FF0000"/>
        </w:rPr>
        <w:fldChar w:fldCharType="separate"/>
      </w:r>
      <w:r>
        <w:rPr>
          <w:rStyle w:val="98"/>
          <w:rFonts w:eastAsia="黑体"/>
          <w:color w:val="FF0000"/>
        </w:rPr>
        <w:t>9</w:t>
      </w:r>
      <w:r>
        <w:rPr>
          <w:rStyle w:val="98"/>
          <w:rFonts w:hint="eastAsia" w:eastAsia="黑体"/>
          <w:color w:val="FF0000"/>
        </w:rPr>
        <w:t>投资估算与资金筹措</w:t>
      </w:r>
      <w:r>
        <w:rPr>
          <w:color w:val="FF0000"/>
        </w:rPr>
        <w:tab/>
      </w:r>
      <w:r>
        <w:rPr>
          <w:color w:val="FF0000"/>
        </w:rPr>
        <w:fldChar w:fldCharType="begin"/>
      </w:r>
      <w:r>
        <w:rPr>
          <w:color w:val="FF0000"/>
        </w:rPr>
        <w:instrText xml:space="preserve"> PAGEREF _Toc36029024 \h </w:instrText>
      </w:r>
      <w:r>
        <w:rPr>
          <w:color w:val="FF0000"/>
        </w:rPr>
        <w:fldChar w:fldCharType="separate"/>
      </w:r>
      <w:r>
        <w:rPr>
          <w:b/>
        </w:rPr>
        <w:t>错误！未定义书签。</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"_Toc36029025"</w:instrText>
      </w:r>
      <w:r>
        <w:rPr>
          <w:rStyle w:val="98"/>
          <w:color w:val="FF0000"/>
        </w:rPr>
        <w:instrText xml:space="preserve"> </w:instrText>
      </w:r>
      <w:r>
        <w:rPr>
          <w:color w:val="FF0000"/>
        </w:rPr>
        <w:fldChar w:fldCharType="separate"/>
      </w:r>
      <w:r>
        <w:rPr>
          <w:rStyle w:val="98"/>
          <w:color w:val="FF0000"/>
        </w:rPr>
        <w:t>9.1</w:t>
      </w:r>
      <w:r>
        <w:rPr>
          <w:rStyle w:val="98"/>
          <w:rFonts w:hint="eastAsia"/>
          <w:color w:val="FF0000"/>
        </w:rPr>
        <w:t>编制依据</w:t>
      </w:r>
      <w:r>
        <w:rPr>
          <w:color w:val="FF0000"/>
        </w:rPr>
        <w:tab/>
      </w:r>
      <w:r>
        <w:rPr>
          <w:color w:val="FF0000"/>
        </w:rPr>
        <w:fldChar w:fldCharType="begin"/>
      </w:r>
      <w:r>
        <w:rPr>
          <w:color w:val="FF0000"/>
        </w:rPr>
        <w:instrText xml:space="preserve"> PAGEREF _Toc36029025 \h </w:instrText>
      </w:r>
      <w:r>
        <w:rPr>
          <w:color w:val="FF0000"/>
        </w:rPr>
        <w:fldChar w:fldCharType="separate"/>
      </w:r>
      <w:r>
        <w:rPr>
          <w:b/>
        </w:rPr>
        <w:t>错误！未定义书签。</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"_Toc36029026"</w:instrText>
      </w:r>
      <w:r>
        <w:rPr>
          <w:rStyle w:val="98"/>
          <w:color w:val="FF0000"/>
        </w:rPr>
        <w:instrText xml:space="preserve"> </w:instrText>
      </w:r>
      <w:r>
        <w:rPr>
          <w:color w:val="FF0000"/>
        </w:rPr>
        <w:fldChar w:fldCharType="separate"/>
      </w:r>
      <w:r>
        <w:rPr>
          <w:rStyle w:val="98"/>
          <w:color w:val="FF0000"/>
        </w:rPr>
        <w:t>9.2</w:t>
      </w:r>
      <w:r>
        <w:rPr>
          <w:rStyle w:val="98"/>
          <w:rFonts w:hint="eastAsia"/>
          <w:color w:val="FF0000"/>
        </w:rPr>
        <w:t>投资估算</w:t>
      </w:r>
      <w:r>
        <w:rPr>
          <w:color w:val="FF0000"/>
        </w:rPr>
        <w:tab/>
      </w:r>
      <w:r>
        <w:rPr>
          <w:color w:val="FF0000"/>
        </w:rPr>
        <w:fldChar w:fldCharType="begin"/>
      </w:r>
      <w:r>
        <w:rPr>
          <w:color w:val="FF0000"/>
        </w:rPr>
        <w:instrText xml:space="preserve"> PAGEREF _Toc36029026 \h </w:instrText>
      </w:r>
      <w:r>
        <w:rPr>
          <w:color w:val="FF0000"/>
        </w:rPr>
        <w:fldChar w:fldCharType="separate"/>
      </w:r>
      <w:r>
        <w:rPr>
          <w:b/>
        </w:rPr>
        <w:t>错误！未定义书签。</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"_Toc36029027"</w:instrText>
      </w:r>
      <w:r>
        <w:rPr>
          <w:rStyle w:val="98"/>
          <w:color w:val="FF0000"/>
        </w:rPr>
        <w:instrText xml:space="preserve"> </w:instrText>
      </w:r>
      <w:r>
        <w:rPr>
          <w:color w:val="FF0000"/>
        </w:rPr>
        <w:fldChar w:fldCharType="separate"/>
      </w:r>
      <w:r>
        <w:rPr>
          <w:rStyle w:val="98"/>
          <w:color w:val="FF0000"/>
        </w:rPr>
        <w:t>9.3</w:t>
      </w:r>
      <w:r>
        <w:rPr>
          <w:rStyle w:val="98"/>
          <w:rFonts w:hint="eastAsia"/>
          <w:color w:val="FF0000"/>
        </w:rPr>
        <w:t>资金筹措</w:t>
      </w:r>
      <w:r>
        <w:rPr>
          <w:color w:val="FF0000"/>
        </w:rPr>
        <w:tab/>
      </w:r>
      <w:r>
        <w:rPr>
          <w:color w:val="FF0000"/>
        </w:rPr>
        <w:fldChar w:fldCharType="begin"/>
      </w:r>
      <w:r>
        <w:rPr>
          <w:color w:val="FF0000"/>
        </w:rPr>
        <w:instrText xml:space="preserve"> PAGEREF _Toc36029027 \h </w:instrText>
      </w:r>
      <w:r>
        <w:rPr>
          <w:color w:val="FF0000"/>
        </w:rPr>
        <w:fldChar w:fldCharType="separate"/>
      </w:r>
      <w:r>
        <w:rPr>
          <w:b/>
        </w:rPr>
        <w:t>错误！未定义书签。</w:t>
      </w:r>
      <w:r>
        <w:rPr>
          <w:color w:val="FF0000"/>
        </w:rPr>
        <w:fldChar w:fldCharType="end"/>
      </w:r>
      <w:r>
        <w:rPr>
          <w:color w:val="FF0000"/>
        </w:rPr>
        <w:fldChar w:fldCharType="end"/>
      </w:r>
    </w:p>
    <w:p>
      <w:pPr>
        <w:pStyle w:val="58"/>
        <w:tabs>
          <w:tab w:val="right" w:leader="dot" w:pos="8720"/>
        </w:tabs>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"_Toc36029028"</w:instrText>
      </w:r>
      <w:r>
        <w:rPr>
          <w:rStyle w:val="98"/>
          <w:color w:val="FF0000"/>
        </w:rPr>
        <w:instrText xml:space="preserve"> </w:instrText>
      </w:r>
      <w:r>
        <w:rPr>
          <w:color w:val="FF0000"/>
        </w:rPr>
        <w:fldChar w:fldCharType="separate"/>
      </w:r>
      <w:r>
        <w:rPr>
          <w:rStyle w:val="98"/>
          <w:rFonts w:eastAsia="黑体"/>
          <w:color w:val="FF0000"/>
        </w:rPr>
        <w:t>10</w:t>
      </w:r>
      <w:r>
        <w:rPr>
          <w:rStyle w:val="98"/>
          <w:rFonts w:hint="eastAsia" w:eastAsia="黑体"/>
          <w:color w:val="FF0000"/>
        </w:rPr>
        <w:t>财务分析</w:t>
      </w:r>
      <w:r>
        <w:rPr>
          <w:color w:val="FF0000"/>
        </w:rPr>
        <w:tab/>
      </w:r>
      <w:r>
        <w:rPr>
          <w:color w:val="FF0000"/>
        </w:rPr>
        <w:fldChar w:fldCharType="begin"/>
      </w:r>
      <w:r>
        <w:rPr>
          <w:color w:val="FF0000"/>
        </w:rPr>
        <w:instrText xml:space="preserve"> PAGEREF _Toc36029028 \h </w:instrText>
      </w:r>
      <w:r>
        <w:rPr>
          <w:color w:val="FF0000"/>
        </w:rPr>
        <w:fldChar w:fldCharType="separate"/>
      </w:r>
      <w:r>
        <w:rPr>
          <w:b/>
        </w:rPr>
        <w:t>错误！未定义书签。</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"_Toc36029029"</w:instrText>
      </w:r>
      <w:r>
        <w:rPr>
          <w:rStyle w:val="98"/>
          <w:color w:val="FF0000"/>
        </w:rPr>
        <w:instrText xml:space="preserve"> </w:instrText>
      </w:r>
      <w:r>
        <w:rPr>
          <w:color w:val="FF0000"/>
        </w:rPr>
        <w:fldChar w:fldCharType="separate"/>
      </w:r>
      <w:r>
        <w:rPr>
          <w:rStyle w:val="98"/>
          <w:color w:val="FF0000"/>
        </w:rPr>
        <w:t>10.1</w:t>
      </w:r>
      <w:r>
        <w:rPr>
          <w:rStyle w:val="98"/>
          <w:rFonts w:hint="eastAsia"/>
          <w:color w:val="FF0000"/>
        </w:rPr>
        <w:t>经济效益分析</w:t>
      </w:r>
      <w:r>
        <w:rPr>
          <w:color w:val="FF0000"/>
        </w:rPr>
        <w:tab/>
      </w:r>
      <w:r>
        <w:rPr>
          <w:color w:val="FF0000"/>
        </w:rPr>
        <w:fldChar w:fldCharType="begin"/>
      </w:r>
      <w:r>
        <w:rPr>
          <w:color w:val="FF0000"/>
        </w:rPr>
        <w:instrText xml:space="preserve"> PAGEREF _Toc36029029 \h </w:instrText>
      </w:r>
      <w:r>
        <w:rPr>
          <w:color w:val="FF0000"/>
        </w:rPr>
        <w:fldChar w:fldCharType="separate"/>
      </w:r>
      <w:r>
        <w:rPr>
          <w:color w:val="FF0000"/>
        </w:rPr>
        <w:t>46</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"_Toc36029030"</w:instrText>
      </w:r>
      <w:r>
        <w:rPr>
          <w:rStyle w:val="98"/>
          <w:color w:val="FF0000"/>
        </w:rPr>
        <w:instrText xml:space="preserve"> </w:instrText>
      </w:r>
      <w:r>
        <w:rPr>
          <w:color w:val="FF0000"/>
        </w:rPr>
        <w:fldChar w:fldCharType="separate"/>
      </w:r>
      <w:r>
        <w:rPr>
          <w:rStyle w:val="98"/>
          <w:color w:val="FF0000"/>
        </w:rPr>
        <w:t>10.2</w:t>
      </w:r>
      <w:r>
        <w:rPr>
          <w:rStyle w:val="98"/>
          <w:rFonts w:hint="eastAsia"/>
          <w:color w:val="FF0000"/>
        </w:rPr>
        <w:t>社会效益分析</w:t>
      </w:r>
      <w:r>
        <w:rPr>
          <w:color w:val="FF0000"/>
        </w:rPr>
        <w:tab/>
      </w:r>
      <w:r>
        <w:rPr>
          <w:color w:val="FF0000"/>
        </w:rPr>
        <w:fldChar w:fldCharType="begin"/>
      </w:r>
      <w:r>
        <w:rPr>
          <w:color w:val="FF0000"/>
        </w:rPr>
        <w:instrText xml:space="preserve"> PAGEREF _Toc36029030 \h </w:instrText>
      </w:r>
      <w:r>
        <w:rPr>
          <w:color w:val="FF0000"/>
        </w:rPr>
        <w:fldChar w:fldCharType="separate"/>
      </w:r>
      <w:r>
        <w:rPr>
          <w:color w:val="FF0000"/>
        </w:rPr>
        <w:t>51</w:t>
      </w:r>
      <w:r>
        <w:rPr>
          <w:color w:val="FF0000"/>
        </w:rPr>
        <w:fldChar w:fldCharType="end"/>
      </w:r>
      <w:r>
        <w:rPr>
          <w:color w:val="FF0000"/>
        </w:rPr>
        <w:fldChar w:fldCharType="end"/>
      </w:r>
    </w:p>
    <w:p>
      <w:pPr>
        <w:pStyle w:val="58"/>
        <w:tabs>
          <w:tab w:val="right" w:leader="dot" w:pos="8720"/>
        </w:tabs>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"_Toc36029031"</w:instrText>
      </w:r>
      <w:r>
        <w:rPr>
          <w:rStyle w:val="98"/>
          <w:color w:val="FF0000"/>
        </w:rPr>
        <w:instrText xml:space="preserve"> </w:instrText>
      </w:r>
      <w:r>
        <w:rPr>
          <w:color w:val="FF0000"/>
        </w:rPr>
        <w:fldChar w:fldCharType="separate"/>
      </w:r>
      <w:r>
        <w:rPr>
          <w:rStyle w:val="98"/>
          <w:rFonts w:eastAsia="黑体"/>
          <w:color w:val="FF0000"/>
        </w:rPr>
        <w:t>11</w:t>
      </w:r>
      <w:r>
        <w:rPr>
          <w:rStyle w:val="98"/>
          <w:rFonts w:hint="eastAsia" w:eastAsia="黑体"/>
          <w:color w:val="FF0000"/>
        </w:rPr>
        <w:t>环境影响评价</w:t>
      </w:r>
      <w:r>
        <w:rPr>
          <w:color w:val="FF0000"/>
        </w:rPr>
        <w:tab/>
      </w:r>
      <w:r>
        <w:rPr>
          <w:color w:val="FF0000"/>
        </w:rPr>
        <w:fldChar w:fldCharType="begin"/>
      </w:r>
      <w:r>
        <w:rPr>
          <w:color w:val="FF0000"/>
        </w:rPr>
        <w:instrText xml:space="preserve"> PAGEREF _Toc36029031 \h </w:instrText>
      </w:r>
      <w:r>
        <w:rPr>
          <w:color w:val="FF0000"/>
        </w:rPr>
        <w:fldChar w:fldCharType="separate"/>
      </w:r>
      <w:r>
        <w:rPr>
          <w:b/>
        </w:rPr>
        <w:t>错误！未定义书签。</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"_Toc36029032"</w:instrText>
      </w:r>
      <w:r>
        <w:rPr>
          <w:rStyle w:val="98"/>
          <w:color w:val="FF0000"/>
        </w:rPr>
        <w:instrText xml:space="preserve"> </w:instrText>
      </w:r>
      <w:r>
        <w:rPr>
          <w:color w:val="FF0000"/>
        </w:rPr>
        <w:fldChar w:fldCharType="separate"/>
      </w:r>
      <w:r>
        <w:rPr>
          <w:rStyle w:val="98"/>
          <w:color w:val="FF0000"/>
        </w:rPr>
        <w:t>11.1</w:t>
      </w:r>
      <w:r>
        <w:rPr>
          <w:rStyle w:val="98"/>
          <w:rFonts w:hint="eastAsia"/>
          <w:color w:val="FF0000"/>
        </w:rPr>
        <w:t>施工期环境影响分析</w:t>
      </w:r>
      <w:r>
        <w:rPr>
          <w:color w:val="FF0000"/>
        </w:rPr>
        <w:tab/>
      </w:r>
      <w:r>
        <w:rPr>
          <w:color w:val="FF0000"/>
        </w:rPr>
        <w:fldChar w:fldCharType="begin"/>
      </w:r>
      <w:r>
        <w:rPr>
          <w:color w:val="FF0000"/>
        </w:rPr>
        <w:instrText xml:space="preserve"> PAGEREF _Toc36029032 \h </w:instrText>
      </w:r>
      <w:r>
        <w:rPr>
          <w:color w:val="FF0000"/>
        </w:rPr>
        <w:fldChar w:fldCharType="separate"/>
      </w:r>
      <w:r>
        <w:rPr>
          <w:b/>
        </w:rPr>
        <w:t>错误！未定义书签。</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"_Toc36029033"</w:instrText>
      </w:r>
      <w:r>
        <w:rPr>
          <w:rStyle w:val="98"/>
          <w:color w:val="FF0000"/>
        </w:rPr>
        <w:instrText xml:space="preserve"> </w:instrText>
      </w:r>
      <w:r>
        <w:rPr>
          <w:color w:val="FF0000"/>
        </w:rPr>
        <w:fldChar w:fldCharType="separate"/>
      </w:r>
      <w:r>
        <w:rPr>
          <w:rStyle w:val="98"/>
          <w:color w:val="FF0000"/>
        </w:rPr>
        <w:t>11.2</w:t>
      </w:r>
      <w:r>
        <w:rPr>
          <w:rStyle w:val="98"/>
          <w:rFonts w:hint="eastAsia"/>
          <w:color w:val="FF0000"/>
        </w:rPr>
        <w:t>运行期环境影响分析</w:t>
      </w:r>
      <w:r>
        <w:rPr>
          <w:color w:val="FF0000"/>
        </w:rPr>
        <w:tab/>
      </w:r>
      <w:r>
        <w:rPr>
          <w:color w:val="FF0000"/>
        </w:rPr>
        <w:fldChar w:fldCharType="begin"/>
      </w:r>
      <w:r>
        <w:rPr>
          <w:color w:val="FF0000"/>
        </w:rPr>
        <w:instrText xml:space="preserve"> PAGEREF _Toc36029033 \h </w:instrText>
      </w:r>
      <w:r>
        <w:rPr>
          <w:color w:val="FF0000"/>
        </w:rPr>
        <w:fldChar w:fldCharType="separate"/>
      </w:r>
      <w:r>
        <w:rPr>
          <w:b/>
        </w:rPr>
        <w:t>错误！未定义书签。</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"_Toc36029034"</w:instrText>
      </w:r>
      <w:r>
        <w:rPr>
          <w:rStyle w:val="98"/>
          <w:color w:val="FF0000"/>
        </w:rPr>
        <w:instrText xml:space="preserve"> </w:instrText>
      </w:r>
      <w:r>
        <w:rPr>
          <w:color w:val="FF0000"/>
        </w:rPr>
        <w:fldChar w:fldCharType="separate"/>
      </w:r>
      <w:r>
        <w:rPr>
          <w:rStyle w:val="98"/>
          <w:color w:val="FF0000"/>
        </w:rPr>
        <w:t>11.3</w:t>
      </w:r>
      <w:r>
        <w:rPr>
          <w:rStyle w:val="98"/>
          <w:rFonts w:hint="eastAsia"/>
          <w:color w:val="FF0000"/>
        </w:rPr>
        <w:t>环境影响综合评价</w:t>
      </w:r>
      <w:r>
        <w:rPr>
          <w:color w:val="FF0000"/>
        </w:rPr>
        <w:tab/>
      </w:r>
      <w:r>
        <w:rPr>
          <w:color w:val="FF0000"/>
        </w:rPr>
        <w:fldChar w:fldCharType="begin"/>
      </w:r>
      <w:r>
        <w:rPr>
          <w:color w:val="FF0000"/>
        </w:rPr>
        <w:instrText xml:space="preserve"> PAGEREF _Toc36029034 \h </w:instrText>
      </w:r>
      <w:r>
        <w:rPr>
          <w:color w:val="FF0000"/>
        </w:rPr>
        <w:fldChar w:fldCharType="separate"/>
      </w:r>
      <w:r>
        <w:rPr>
          <w:b/>
        </w:rPr>
        <w:t>错误！未定义书签。</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"_Toc36029035"</w:instrText>
      </w:r>
      <w:r>
        <w:rPr>
          <w:rStyle w:val="98"/>
          <w:color w:val="FF0000"/>
        </w:rPr>
        <w:instrText xml:space="preserve"> </w:instrText>
      </w:r>
      <w:r>
        <w:rPr>
          <w:color w:val="FF0000"/>
        </w:rPr>
        <w:fldChar w:fldCharType="separate"/>
      </w:r>
      <w:r>
        <w:rPr>
          <w:rStyle w:val="98"/>
          <w:color w:val="FF0000"/>
        </w:rPr>
        <w:t>11.4</w:t>
      </w:r>
      <w:r>
        <w:rPr>
          <w:rStyle w:val="98"/>
          <w:rFonts w:hint="eastAsia"/>
          <w:color w:val="FF0000"/>
        </w:rPr>
        <w:t>对不利影响采取的措施</w:t>
      </w:r>
      <w:r>
        <w:rPr>
          <w:color w:val="FF0000"/>
        </w:rPr>
        <w:tab/>
      </w:r>
      <w:r>
        <w:rPr>
          <w:color w:val="FF0000"/>
        </w:rPr>
        <w:fldChar w:fldCharType="begin"/>
      </w:r>
      <w:r>
        <w:rPr>
          <w:color w:val="FF0000"/>
        </w:rPr>
        <w:instrText xml:space="preserve"> PAGEREF _Toc36029035 \h </w:instrText>
      </w:r>
      <w:r>
        <w:rPr>
          <w:color w:val="FF0000"/>
        </w:rPr>
        <w:fldChar w:fldCharType="separate"/>
      </w:r>
      <w:r>
        <w:rPr>
          <w:b/>
        </w:rPr>
        <w:t>错误！未定义书签。</w:t>
      </w:r>
      <w:r>
        <w:rPr>
          <w:color w:val="FF0000"/>
        </w:rPr>
        <w:fldChar w:fldCharType="end"/>
      </w:r>
      <w:r>
        <w:rPr>
          <w:color w:val="FF0000"/>
        </w:rPr>
        <w:fldChar w:fldCharType="end"/>
      </w:r>
    </w:p>
    <w:p>
      <w:pPr>
        <w:pStyle w:val="58"/>
        <w:tabs>
          <w:tab w:val="right" w:leader="dot" w:pos="8720"/>
        </w:tabs>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"_Toc36029036"</w:instrText>
      </w:r>
      <w:r>
        <w:rPr>
          <w:rStyle w:val="98"/>
          <w:color w:val="FF0000"/>
        </w:rPr>
        <w:instrText xml:space="preserve"> </w:instrText>
      </w:r>
      <w:r>
        <w:rPr>
          <w:color w:val="FF0000"/>
        </w:rPr>
        <w:fldChar w:fldCharType="separate"/>
      </w:r>
      <w:r>
        <w:rPr>
          <w:rStyle w:val="98"/>
          <w:rFonts w:eastAsia="黑体"/>
          <w:color w:val="FF0000"/>
        </w:rPr>
        <w:t>12</w:t>
      </w:r>
      <w:r>
        <w:rPr>
          <w:rStyle w:val="98"/>
          <w:rFonts w:hint="eastAsia" w:eastAsia="黑体"/>
          <w:color w:val="FF0000"/>
        </w:rPr>
        <w:t>分期实施意</w:t>
      </w:r>
      <w:bookmarkStart w:id="6" w:name="_Hlt36029635"/>
      <w:r>
        <w:rPr>
          <w:rStyle w:val="98"/>
          <w:rFonts w:hint="eastAsia" w:eastAsia="黑体"/>
          <w:color w:val="FF0000"/>
        </w:rPr>
        <w:t>见</w:t>
      </w:r>
      <w:bookmarkEnd w:id="6"/>
      <w:r>
        <w:rPr>
          <w:color w:val="FF0000"/>
        </w:rPr>
        <w:tab/>
      </w:r>
      <w:r>
        <w:rPr>
          <w:color w:val="FF0000"/>
        </w:rPr>
        <w:fldChar w:fldCharType="begin"/>
      </w:r>
      <w:r>
        <w:rPr>
          <w:color w:val="FF0000"/>
        </w:rPr>
        <w:instrText xml:space="preserve"> PAGEREF _Toc36029036 \h </w:instrText>
      </w:r>
      <w:r>
        <w:rPr>
          <w:color w:val="FF0000"/>
        </w:rPr>
        <w:fldChar w:fldCharType="separate"/>
      </w:r>
      <w:r>
        <w:rPr>
          <w:b/>
        </w:rPr>
        <w:t>错误！未定义书签。</w:t>
      </w:r>
      <w:r>
        <w:rPr>
          <w:color w:val="FF0000"/>
        </w:rPr>
        <w:fldChar w:fldCharType="end"/>
      </w:r>
      <w:r>
        <w:rPr>
          <w:color w:val="FF0000"/>
        </w:rPr>
        <w:fldChar w:fldCharType="end"/>
      </w:r>
    </w:p>
    <w:p>
      <w:pPr>
        <w:pStyle w:val="58"/>
        <w:tabs>
          <w:tab w:val="right" w:leader="dot" w:pos="8720"/>
        </w:tabs>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"_Toc36029037"</w:instrText>
      </w:r>
      <w:r>
        <w:rPr>
          <w:rStyle w:val="98"/>
          <w:color w:val="FF0000"/>
        </w:rPr>
        <w:instrText xml:space="preserve"> </w:instrText>
      </w:r>
      <w:r>
        <w:rPr>
          <w:color w:val="FF0000"/>
        </w:rPr>
        <w:fldChar w:fldCharType="separate"/>
      </w:r>
      <w:r>
        <w:rPr>
          <w:rStyle w:val="98"/>
          <w:rFonts w:eastAsia="黑体"/>
          <w:color w:val="FF0000"/>
        </w:rPr>
        <w:t>13</w:t>
      </w:r>
      <w:r>
        <w:rPr>
          <w:rStyle w:val="98"/>
          <w:rFonts w:hint="eastAsia" w:eastAsia="黑体"/>
          <w:color w:val="FF0000"/>
        </w:rPr>
        <w:t>保障措施</w:t>
      </w:r>
      <w:r>
        <w:rPr>
          <w:color w:val="FF0000"/>
        </w:rPr>
        <w:tab/>
      </w:r>
      <w:r>
        <w:rPr>
          <w:color w:val="FF0000"/>
        </w:rPr>
        <w:fldChar w:fldCharType="begin"/>
      </w:r>
      <w:r>
        <w:rPr>
          <w:color w:val="FF0000"/>
        </w:rPr>
        <w:instrText xml:space="preserve"> PAGEREF _Toc36029037 \h </w:instrText>
      </w:r>
      <w:r>
        <w:rPr>
          <w:color w:val="FF0000"/>
        </w:rPr>
        <w:fldChar w:fldCharType="separate"/>
      </w:r>
      <w:r>
        <w:rPr>
          <w:b/>
        </w:rPr>
        <w:t>错误！未定义书签。</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"_Toc36029038"</w:instrText>
      </w:r>
      <w:r>
        <w:rPr>
          <w:rStyle w:val="98"/>
          <w:color w:val="FF0000"/>
        </w:rPr>
        <w:instrText xml:space="preserve"> </w:instrText>
      </w:r>
      <w:r>
        <w:rPr>
          <w:color w:val="FF0000"/>
        </w:rPr>
        <w:fldChar w:fldCharType="separate"/>
      </w:r>
      <w:r>
        <w:rPr>
          <w:rStyle w:val="98"/>
          <w:color w:val="FF0000"/>
        </w:rPr>
        <w:t>13.1</w:t>
      </w:r>
      <w:r>
        <w:rPr>
          <w:rStyle w:val="98"/>
          <w:rFonts w:hint="eastAsia"/>
          <w:color w:val="FF0000"/>
        </w:rPr>
        <w:t>强化组织领导，健全机制体制</w:t>
      </w:r>
      <w:r>
        <w:rPr>
          <w:color w:val="FF0000"/>
        </w:rPr>
        <w:tab/>
      </w:r>
      <w:r>
        <w:rPr>
          <w:color w:val="FF0000"/>
        </w:rPr>
        <w:fldChar w:fldCharType="begin"/>
      </w:r>
      <w:r>
        <w:rPr>
          <w:color w:val="FF0000"/>
        </w:rPr>
        <w:instrText xml:space="preserve"> PAGEREF _Toc36029038 \h </w:instrText>
      </w:r>
      <w:r>
        <w:rPr>
          <w:color w:val="FF0000"/>
        </w:rPr>
        <w:fldChar w:fldCharType="separate"/>
      </w:r>
      <w:r>
        <w:rPr>
          <w:b/>
        </w:rPr>
        <w:t>错误！未定义书签。</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"_Toc36029039"</w:instrText>
      </w:r>
      <w:r>
        <w:rPr>
          <w:rStyle w:val="98"/>
          <w:color w:val="FF0000"/>
        </w:rPr>
        <w:instrText xml:space="preserve"> </w:instrText>
      </w:r>
      <w:r>
        <w:rPr>
          <w:color w:val="FF0000"/>
        </w:rPr>
        <w:fldChar w:fldCharType="separate"/>
      </w:r>
      <w:r>
        <w:rPr>
          <w:rStyle w:val="98"/>
          <w:color w:val="FF0000"/>
        </w:rPr>
        <w:t>13.2</w:t>
      </w:r>
      <w:r>
        <w:rPr>
          <w:rStyle w:val="98"/>
          <w:rFonts w:hint="eastAsia"/>
          <w:color w:val="FF0000"/>
        </w:rPr>
        <w:t>多方筹措资金，引入市场机制</w:t>
      </w:r>
      <w:r>
        <w:rPr>
          <w:color w:val="FF0000"/>
        </w:rPr>
        <w:tab/>
      </w:r>
      <w:r>
        <w:rPr>
          <w:color w:val="FF0000"/>
        </w:rPr>
        <w:fldChar w:fldCharType="begin"/>
      </w:r>
      <w:r>
        <w:rPr>
          <w:color w:val="FF0000"/>
        </w:rPr>
        <w:instrText xml:space="preserve"> PAGEREF _Toc36029039 \h </w:instrText>
      </w:r>
      <w:r>
        <w:rPr>
          <w:color w:val="FF0000"/>
        </w:rPr>
        <w:fldChar w:fldCharType="separate"/>
      </w:r>
      <w:r>
        <w:rPr>
          <w:b/>
        </w:rPr>
        <w:t>错误！未定义书签。</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"_Toc36029040"</w:instrText>
      </w:r>
      <w:r>
        <w:rPr>
          <w:rStyle w:val="98"/>
          <w:color w:val="FF0000"/>
        </w:rPr>
        <w:instrText xml:space="preserve"> </w:instrText>
      </w:r>
      <w:r>
        <w:rPr>
          <w:color w:val="FF0000"/>
        </w:rPr>
        <w:fldChar w:fldCharType="separate"/>
      </w:r>
      <w:r>
        <w:rPr>
          <w:rStyle w:val="98"/>
          <w:color w:val="FF0000"/>
        </w:rPr>
        <w:t>13.3</w:t>
      </w:r>
      <w:r>
        <w:rPr>
          <w:rStyle w:val="98"/>
          <w:rFonts w:hint="eastAsia"/>
          <w:color w:val="FF0000"/>
        </w:rPr>
        <w:t>规范工程建设，落实管护主体</w:t>
      </w:r>
      <w:r>
        <w:rPr>
          <w:color w:val="FF0000"/>
        </w:rPr>
        <w:tab/>
      </w:r>
      <w:r>
        <w:rPr>
          <w:color w:val="FF0000"/>
        </w:rPr>
        <w:fldChar w:fldCharType="begin"/>
      </w:r>
      <w:r>
        <w:rPr>
          <w:color w:val="FF0000"/>
        </w:rPr>
        <w:instrText xml:space="preserve"> PAGEREF _Toc36029040 \h </w:instrText>
      </w:r>
      <w:r>
        <w:rPr>
          <w:color w:val="FF0000"/>
        </w:rPr>
        <w:fldChar w:fldCharType="separate"/>
      </w:r>
      <w:r>
        <w:rPr>
          <w:b/>
        </w:rPr>
        <w:t>错误！未定义书签。</w:t>
      </w:r>
      <w:r>
        <w:rPr>
          <w:color w:val="FF0000"/>
        </w:rPr>
        <w:fldChar w:fldCharType="end"/>
      </w:r>
      <w:r>
        <w:rPr>
          <w:color w:val="FF0000"/>
        </w:rPr>
        <w:fldChar w:fldCharType="end"/>
      </w:r>
    </w:p>
    <w:p>
      <w:pPr>
        <w:pStyle w:val="72"/>
        <w:tabs>
          <w:tab w:val="right" w:leader="dot" w:pos="8720"/>
        </w:tabs>
        <w:ind w:left="485"/>
        <w:rPr>
          <w:rFonts w:ascii="Calibri" w:hAnsi="Calibri"/>
          <w:color w:val="FF0000"/>
          <w:sz w:val="21"/>
          <w:szCs w:val="22"/>
        </w:rPr>
      </w:pPr>
      <w:r>
        <w:rPr>
          <w:color w:val="FF0000"/>
        </w:rPr>
        <w:fldChar w:fldCharType="begin"/>
      </w:r>
      <w:r>
        <w:rPr>
          <w:rStyle w:val="98"/>
          <w:color w:val="FF0000"/>
        </w:rPr>
        <w:instrText xml:space="preserve"> </w:instrText>
      </w:r>
      <w:r>
        <w:rPr>
          <w:color w:val="FF0000"/>
        </w:rPr>
        <w:instrText xml:space="preserve">HYPERLINK \l "_Toc36029041"</w:instrText>
      </w:r>
      <w:r>
        <w:rPr>
          <w:rStyle w:val="98"/>
          <w:color w:val="FF0000"/>
        </w:rPr>
        <w:instrText xml:space="preserve"> </w:instrText>
      </w:r>
      <w:r>
        <w:rPr>
          <w:color w:val="FF0000"/>
        </w:rPr>
        <w:fldChar w:fldCharType="separate"/>
      </w:r>
      <w:r>
        <w:rPr>
          <w:rStyle w:val="98"/>
          <w:color w:val="FF0000"/>
        </w:rPr>
        <w:t>13.4</w:t>
      </w:r>
      <w:r>
        <w:rPr>
          <w:rStyle w:val="98"/>
          <w:rFonts w:hint="eastAsia"/>
          <w:color w:val="FF0000"/>
        </w:rPr>
        <w:t>加强运行管护，确保长效运行</w:t>
      </w:r>
      <w:r>
        <w:rPr>
          <w:color w:val="FF0000"/>
        </w:rPr>
        <w:tab/>
      </w:r>
      <w:r>
        <w:rPr>
          <w:color w:val="FF0000"/>
        </w:rPr>
        <w:fldChar w:fldCharType="begin"/>
      </w:r>
      <w:r>
        <w:rPr>
          <w:color w:val="FF0000"/>
        </w:rPr>
        <w:instrText xml:space="preserve"> PAGEREF _Toc36029041 \h </w:instrText>
      </w:r>
      <w:r>
        <w:rPr>
          <w:color w:val="FF0000"/>
        </w:rPr>
        <w:fldChar w:fldCharType="separate"/>
      </w:r>
      <w:r>
        <w:rPr>
          <w:b/>
        </w:rPr>
        <w:t>错误！未定义书签。</w:t>
      </w:r>
      <w:r>
        <w:rPr>
          <w:color w:val="FF0000"/>
        </w:rPr>
        <w:fldChar w:fldCharType="end"/>
      </w:r>
      <w:r>
        <w:rPr>
          <w:color w:val="FF0000"/>
        </w:rPr>
        <w:fldChar w:fldCharType="end"/>
      </w:r>
    </w:p>
    <w:p>
      <w:pPr>
        <w:rPr>
          <w:color w:val="000000"/>
        </w:rPr>
      </w:pPr>
      <w:r>
        <w:rPr>
          <w:color w:val="FF0000"/>
        </w:rPr>
        <w:fldChar w:fldCharType="end"/>
      </w:r>
    </w:p>
    <w:p>
      <w:pPr>
        <w:rPr>
          <w:b/>
          <w:bCs/>
          <w:color w:val="000000"/>
        </w:rPr>
      </w:pPr>
      <w:r>
        <w:rPr>
          <w:b/>
          <w:bCs/>
          <w:color w:val="000000"/>
        </w:rPr>
        <w:t>附表：</w:t>
      </w:r>
    </w:p>
    <w:p>
      <w:pPr>
        <w:adjustRightInd w:val="0"/>
        <w:snapToGrid w:val="0"/>
        <w:spacing w:line="579" w:lineRule="exact"/>
        <w:ind w:left="1461" w:leftChars="304" w:hanging="726" w:hangingChars="300"/>
        <w:rPr>
          <w:rFonts w:hint="eastAsia" w:ascii="宋体" w:hAnsi="宋体" w:eastAsia="宋体" w:cs="宋体"/>
          <w:sz w:val="24"/>
          <w:szCs w:val="24"/>
        </w:rPr>
      </w:pPr>
      <w:r>
        <w:rPr>
          <w:rFonts w:hint="eastAsia" w:ascii="宋体" w:hAnsi="宋体" w:eastAsia="宋体" w:cs="宋体"/>
          <w:sz w:val="24"/>
          <w:szCs w:val="24"/>
        </w:rPr>
        <w:t>附表1：</w:t>
      </w:r>
      <w:r>
        <w:rPr>
          <w:rFonts w:hint="eastAsia" w:ascii="宋体" w:hAnsi="宋体" w:cs="宋体"/>
          <w:sz w:val="24"/>
          <w:szCs w:val="24"/>
          <w:lang w:eastAsia="zh-CN"/>
        </w:rPr>
        <w:t>马边彝族自治县</w:t>
      </w:r>
      <w:r>
        <w:rPr>
          <w:rFonts w:hint="eastAsia" w:ascii="宋体" w:hAnsi="宋体" w:eastAsia="宋体" w:cs="宋体"/>
          <w:sz w:val="24"/>
          <w:szCs w:val="24"/>
        </w:rPr>
        <w:t>“十四五”农村供水工程规划建设任务表</w:t>
      </w:r>
    </w:p>
    <w:p>
      <w:pPr>
        <w:adjustRightInd w:val="0"/>
        <w:snapToGrid w:val="0"/>
        <w:spacing w:line="579" w:lineRule="exact"/>
        <w:ind w:left="1461" w:leftChars="304" w:hanging="726" w:hangingChars="300"/>
        <w:rPr>
          <w:rFonts w:hint="eastAsia" w:ascii="宋体" w:hAnsi="宋体" w:eastAsia="宋体" w:cs="宋体"/>
          <w:sz w:val="24"/>
          <w:szCs w:val="24"/>
        </w:rPr>
      </w:pPr>
      <w:r>
        <w:rPr>
          <w:rFonts w:hint="eastAsia" w:ascii="宋体" w:hAnsi="宋体" w:eastAsia="宋体" w:cs="宋体"/>
          <w:sz w:val="24"/>
          <w:szCs w:val="24"/>
        </w:rPr>
        <w:t>附表2：</w:t>
      </w:r>
      <w:r>
        <w:rPr>
          <w:rFonts w:hint="eastAsia" w:ascii="宋体" w:hAnsi="宋体" w:cs="宋体"/>
          <w:sz w:val="24"/>
          <w:szCs w:val="24"/>
          <w:lang w:eastAsia="zh-CN"/>
        </w:rPr>
        <w:t>马边彝族自治县</w:t>
      </w:r>
      <w:r>
        <w:rPr>
          <w:rFonts w:hint="eastAsia" w:ascii="宋体" w:hAnsi="宋体" w:eastAsia="宋体" w:cs="宋体"/>
          <w:sz w:val="24"/>
          <w:szCs w:val="24"/>
        </w:rPr>
        <w:t>“十四五”大中型灌区续建配套与节水改造项目规划任务表</w:t>
      </w:r>
    </w:p>
    <w:p>
      <w:pPr>
        <w:adjustRightInd w:val="0"/>
        <w:snapToGrid w:val="0"/>
        <w:spacing w:line="579" w:lineRule="exact"/>
        <w:ind w:left="1461" w:leftChars="304" w:hanging="726" w:hangingChars="300"/>
        <w:rPr>
          <w:rFonts w:hint="eastAsia" w:ascii="宋体" w:hAnsi="宋体" w:eastAsia="宋体" w:cs="宋体"/>
          <w:sz w:val="24"/>
          <w:szCs w:val="24"/>
        </w:rPr>
      </w:pPr>
      <w:r>
        <w:rPr>
          <w:rFonts w:hint="eastAsia" w:ascii="宋体" w:hAnsi="宋体" w:eastAsia="宋体" w:cs="宋体"/>
          <w:sz w:val="24"/>
          <w:szCs w:val="24"/>
        </w:rPr>
        <w:t>附表3：</w:t>
      </w:r>
      <w:r>
        <w:rPr>
          <w:rFonts w:hint="eastAsia" w:ascii="宋体" w:hAnsi="宋体" w:cs="宋体"/>
          <w:sz w:val="24"/>
          <w:szCs w:val="24"/>
          <w:lang w:eastAsia="zh-CN"/>
        </w:rPr>
        <w:t>马边彝族自治县</w:t>
      </w:r>
      <w:r>
        <w:rPr>
          <w:rFonts w:hint="eastAsia" w:ascii="宋体" w:hAnsi="宋体" w:eastAsia="宋体" w:cs="宋体"/>
          <w:sz w:val="24"/>
          <w:szCs w:val="24"/>
        </w:rPr>
        <w:t>“十四五”农业水价综合改革规划任务表</w:t>
      </w:r>
    </w:p>
    <w:p>
      <w:pPr>
        <w:adjustRightInd w:val="0"/>
        <w:snapToGrid w:val="0"/>
        <w:spacing w:line="579" w:lineRule="exact"/>
        <w:ind w:left="1461" w:leftChars="304" w:hanging="726" w:hangingChars="300"/>
        <w:rPr>
          <w:rFonts w:hint="eastAsia" w:ascii="宋体" w:hAnsi="宋体" w:eastAsia="宋体" w:cs="宋体"/>
          <w:sz w:val="24"/>
          <w:szCs w:val="24"/>
        </w:rPr>
      </w:pPr>
      <w:r>
        <w:rPr>
          <w:rFonts w:hint="eastAsia" w:ascii="宋体" w:hAnsi="宋体" w:eastAsia="宋体" w:cs="宋体"/>
          <w:sz w:val="24"/>
          <w:szCs w:val="24"/>
        </w:rPr>
        <w:t>附表4：</w:t>
      </w:r>
      <w:r>
        <w:rPr>
          <w:rFonts w:hint="eastAsia" w:ascii="宋体" w:hAnsi="宋体" w:cs="宋体"/>
          <w:sz w:val="24"/>
          <w:szCs w:val="24"/>
          <w:lang w:eastAsia="zh-CN"/>
        </w:rPr>
        <w:t>马边彝族自治县</w:t>
      </w:r>
      <w:r>
        <w:rPr>
          <w:rFonts w:hint="eastAsia" w:ascii="宋体" w:hAnsi="宋体" w:eastAsia="宋体" w:cs="宋体"/>
          <w:sz w:val="24"/>
          <w:szCs w:val="24"/>
        </w:rPr>
        <w:t>“十四五”小型水库规划任务表</w:t>
      </w:r>
    </w:p>
    <w:p>
      <w:pPr>
        <w:adjustRightInd w:val="0"/>
        <w:snapToGrid w:val="0"/>
        <w:spacing w:line="579" w:lineRule="exact"/>
        <w:ind w:left="1461" w:leftChars="304" w:hanging="726" w:hangingChars="300"/>
        <w:rPr>
          <w:rFonts w:hint="eastAsia" w:ascii="宋体" w:hAnsi="宋体" w:eastAsia="宋体" w:cs="宋体"/>
          <w:sz w:val="24"/>
          <w:szCs w:val="24"/>
        </w:rPr>
      </w:pPr>
      <w:r>
        <w:rPr>
          <w:rFonts w:hint="eastAsia" w:ascii="宋体" w:hAnsi="宋体" w:eastAsia="宋体" w:cs="宋体"/>
          <w:sz w:val="24"/>
          <w:szCs w:val="24"/>
        </w:rPr>
        <w:t>附表5：</w:t>
      </w:r>
      <w:r>
        <w:rPr>
          <w:rFonts w:hint="eastAsia" w:ascii="宋体" w:hAnsi="宋体" w:cs="宋体"/>
          <w:sz w:val="24"/>
          <w:szCs w:val="24"/>
          <w:lang w:eastAsia="zh-CN"/>
        </w:rPr>
        <w:t>马边彝族自治县</w:t>
      </w:r>
      <w:r>
        <w:rPr>
          <w:rFonts w:hint="eastAsia" w:ascii="宋体" w:hAnsi="宋体" w:eastAsia="宋体" w:cs="宋体"/>
          <w:sz w:val="24"/>
          <w:szCs w:val="24"/>
        </w:rPr>
        <w:t>“十四五”水美新村建设规划任务表</w:t>
      </w:r>
    </w:p>
    <w:p>
      <w:pPr>
        <w:adjustRightInd w:val="0"/>
        <w:snapToGrid w:val="0"/>
        <w:spacing w:line="579" w:lineRule="exact"/>
        <w:ind w:left="1461" w:leftChars="304" w:hanging="726" w:hangingChars="300"/>
        <w:rPr>
          <w:rFonts w:hint="eastAsia" w:ascii="宋体" w:hAnsi="宋体" w:eastAsia="宋体" w:cs="宋体"/>
          <w:color w:val="000000"/>
          <w:sz w:val="24"/>
          <w:szCs w:val="24"/>
        </w:rPr>
        <w:sectPr>
          <w:pgSz w:w="11906" w:h="16838"/>
          <w:pgMar w:top="1814" w:right="1588" w:bottom="1701" w:left="1588" w:header="851" w:footer="992" w:gutter="0"/>
          <w:pgNumType w:start="1"/>
          <w:cols w:space="720" w:num="1"/>
          <w:docGrid w:type="linesAndChars" w:linePitch="475" w:charSpace="512"/>
        </w:sectPr>
      </w:pPr>
      <w:r>
        <w:rPr>
          <w:rFonts w:hint="eastAsia" w:ascii="宋体" w:hAnsi="宋体" w:eastAsia="宋体" w:cs="宋体"/>
          <w:sz w:val="24"/>
          <w:szCs w:val="24"/>
        </w:rPr>
        <w:t>附表6：</w:t>
      </w:r>
      <w:r>
        <w:rPr>
          <w:rFonts w:hint="eastAsia" w:ascii="宋体" w:hAnsi="宋体" w:cs="宋体"/>
          <w:sz w:val="24"/>
          <w:szCs w:val="24"/>
          <w:lang w:eastAsia="zh-CN"/>
        </w:rPr>
        <w:t>马边彝族自治县</w:t>
      </w:r>
      <w:r>
        <w:rPr>
          <w:rFonts w:hint="eastAsia" w:ascii="宋体" w:hAnsi="宋体" w:eastAsia="宋体" w:cs="宋体"/>
          <w:sz w:val="24"/>
          <w:szCs w:val="24"/>
        </w:rPr>
        <w:t>“十四五”新农水规划指标表</w:t>
      </w:r>
    </w:p>
    <w:p>
      <w:pPr>
        <w:ind w:firstLine="540"/>
        <w:sectPr>
          <w:pgSz w:w="11906" w:h="16838"/>
          <w:pgMar w:top="1814" w:right="1588" w:bottom="1701" w:left="1588" w:header="851" w:footer="992" w:gutter="0"/>
          <w:pgNumType w:start="1"/>
          <w:cols w:space="720" w:num="1"/>
          <w:docGrid w:type="linesAndChars" w:linePitch="475" w:charSpace="512"/>
        </w:sectPr>
      </w:pPr>
    </w:p>
    <w:p>
      <w:pPr>
        <w:pStyle w:val="4"/>
        <w:spacing w:line="240" w:lineRule="auto"/>
        <w:jc w:val="center"/>
        <w:rPr>
          <w:rFonts w:hint="eastAsia" w:eastAsia="黑体"/>
          <w:b w:val="0"/>
          <w:color w:val="000000"/>
          <w:sz w:val="36"/>
          <w:szCs w:val="36"/>
          <w:lang w:eastAsia="zh-CN"/>
        </w:rPr>
      </w:pPr>
      <w:bookmarkStart w:id="7" w:name="_Toc36028994"/>
      <w:r>
        <w:rPr>
          <w:rFonts w:eastAsia="黑体"/>
          <w:b w:val="0"/>
          <w:color w:val="000000"/>
          <w:sz w:val="36"/>
          <w:szCs w:val="36"/>
        </w:rPr>
        <w:t>1</w:t>
      </w:r>
      <w:bookmarkEnd w:id="7"/>
      <w:r>
        <w:rPr>
          <w:rFonts w:hint="eastAsia" w:eastAsia="黑体"/>
          <w:b w:val="0"/>
          <w:color w:val="000000"/>
          <w:sz w:val="36"/>
          <w:szCs w:val="36"/>
          <w:lang w:eastAsia="zh-CN"/>
        </w:rPr>
        <w:t>规划区基本情况</w:t>
      </w:r>
    </w:p>
    <w:p>
      <w:pPr>
        <w:pStyle w:val="5"/>
        <w:spacing w:line="240" w:lineRule="auto"/>
        <w:rPr>
          <w:rFonts w:ascii="Times New Roman" w:hAnsi="Times New Roman"/>
          <w:b w:val="0"/>
          <w:color w:val="000000"/>
          <w:sz w:val="30"/>
          <w:szCs w:val="30"/>
        </w:rPr>
      </w:pPr>
      <w:bookmarkStart w:id="8" w:name="_Toc36028995"/>
      <w:r>
        <w:rPr>
          <w:rFonts w:ascii="Times New Roman" w:hAnsi="Times New Roman"/>
          <w:b w:val="0"/>
          <w:color w:val="000000"/>
          <w:sz w:val="30"/>
          <w:szCs w:val="30"/>
        </w:rPr>
        <w:t>1.1自然地理、社会经济和水资源概况</w:t>
      </w:r>
      <w:bookmarkEnd w:id="8"/>
    </w:p>
    <w:p>
      <w:pPr>
        <w:spacing w:line="580" w:lineRule="exact"/>
        <w:rPr>
          <w:rFonts w:eastAsia="黑体"/>
          <w:color w:val="000000"/>
          <w:sz w:val="28"/>
          <w:szCs w:val="28"/>
        </w:rPr>
      </w:pPr>
      <w:r>
        <w:rPr>
          <w:rFonts w:eastAsia="黑体"/>
          <w:color w:val="000000"/>
          <w:sz w:val="28"/>
          <w:szCs w:val="28"/>
        </w:rPr>
        <w:t>1.1.1地理位置</w:t>
      </w:r>
    </w:p>
    <w:p>
      <w:pPr>
        <w:ind w:firstLine="540"/>
        <w:rPr>
          <w:color w:val="FF0000"/>
        </w:rPr>
      </w:pPr>
      <w:r>
        <w:t>马边彝族自治县位于四川盆地西南边缘小凉山区，地处乐山市南面看，境内地理位置东经103°14′40″～103°49′40″，北纬28°25′30″～29°04′14″之间。东北邻沐川，西北交峨边彝族自治县，东部与宜宾市屏山县接壤，南部和西部分别于凉山彝族自治州的雷波县和美姑县毗连。南北长60.5km，东西宽58km，幅员面积229</w:t>
      </w:r>
      <w:r>
        <w:rPr>
          <w:rFonts w:hint="eastAsia"/>
          <w:lang w:val="en-US" w:eastAsia="zh-CN"/>
        </w:rPr>
        <w:t>2.71</w:t>
      </w:r>
      <w:r>
        <w:t>km</w:t>
      </w:r>
      <w:r>
        <w:rPr>
          <w:vertAlign w:val="superscript"/>
        </w:rPr>
        <w:t>2</w:t>
      </w:r>
      <w:r>
        <w:t>，辖</w:t>
      </w:r>
      <w:r>
        <w:rPr>
          <w:rFonts w:hint="eastAsia"/>
          <w:lang w:val="en-US" w:eastAsia="zh-CN"/>
        </w:rPr>
        <w:t>1</w:t>
      </w:r>
      <w:r>
        <w:t>5</w:t>
      </w:r>
      <w:r>
        <w:rPr>
          <w:rFonts w:hint="eastAsia"/>
          <w:lang w:eastAsia="zh-CN"/>
        </w:rPr>
        <w:t>个乡镇</w:t>
      </w:r>
      <w:r>
        <w:t>。</w:t>
      </w:r>
      <w:r>
        <w:rPr>
          <w:color w:val="FF0000"/>
        </w:rPr>
        <w:t xml:space="preserve">        </w:t>
      </w:r>
    </w:p>
    <w:p>
      <w:r>
        <w:rPr>
          <w:rFonts w:eastAsia="黑体"/>
          <w:sz w:val="28"/>
          <w:szCs w:val="28"/>
        </w:rPr>
        <w:t>1.1.2地形地貌</w:t>
      </w:r>
    </w:p>
    <w:p>
      <w:pPr>
        <w:ind w:firstLine="484" w:firstLineChars="200"/>
        <w:rPr>
          <w:color w:val="000000"/>
        </w:rPr>
      </w:pPr>
      <w:r>
        <w:rPr>
          <w:color w:val="000000"/>
        </w:rPr>
        <w:t>马边彝族自治县位于四川盆地西南边缘小凉山，区域处于青藏高原向四川盆地的过渡地带，马边地处横断山脉东部、四川盆地和云贵高原的过渡地带。区域总体地势西高东低，马边河纵贯全境，乡镇、村寨沿河座落，犹如串珠摆布，整个马边河流域是一个以山高、坡陡、谷深、切割大为特征的山区县。其中最高处的大风顶自然保护区海拔4040米，最低处海拔448米，海拔3000米以上山峰43个。马边河两岸发育较多冲沟，上游属中、高山区，河谷深切，呈典型“V”型谷，下游河谷两岸冲沟发育，发育有I、II、III级阶地，除II阶地保存完好外，其余I、III但多被破坏，零星分布，区域主要为中高山区之构造剥蚀地貌及流水切割类型的与河谷侵蚀堆积地貌类型。</w:t>
      </w:r>
    </w:p>
    <w:p>
      <w:pPr>
        <w:ind w:firstLine="540"/>
      </w:pPr>
      <w:r>
        <w:t>境内峰峦重叠邻谷相间。海拔1000m以下的低山河谷区占12.7%，海拔1000~3500m中山区占86%，海拔3500~4042m的亚高山区占1.3%。</w:t>
      </w:r>
    </w:p>
    <w:p>
      <w:pPr>
        <w:rPr>
          <w:color w:val="000000"/>
        </w:rPr>
      </w:pPr>
      <w:r>
        <w:rPr>
          <w:rFonts w:eastAsia="黑体"/>
          <w:color w:val="000000"/>
          <w:sz w:val="28"/>
          <w:szCs w:val="28"/>
        </w:rPr>
        <w:t>1.1.3水文地质</w:t>
      </w:r>
    </w:p>
    <w:p>
      <w:pPr>
        <w:ind w:firstLine="480"/>
      </w:pPr>
      <w:r>
        <w:t>马边彝族自治县位于四川盆地与川西高原的过渡区，属亚热带季风气候。气温高，湿度大。河源地区海拔高程多在2000m以上，具有高山气候特性，较为寒冷潮湿，中下游特点是冬暖夏热，湿润多雨。</w:t>
      </w:r>
    </w:p>
    <w:p>
      <w:pPr>
        <w:ind w:firstLine="480"/>
      </w:pPr>
      <w:r>
        <w:t>马边河流域.暴雨的主要天气系统有西南低涡、切变线、锋面和低槽。由于流域地处盆地边缘，地形有利于水汽输入和抬升，降雨较为丰沛。由于地形变化复杂，降雨量各地差异较大，总体上看，河谷地带较山区雨量少。流域西部和南部.海拔较高的迎风坡降雨丰沛，其中高竹营河为本流域降雨最多的地区，多年平均降雨量1700mm以上；其次是洋溪河和大竹堡河的中上游地区，多年平均降雨量在1500mm以上；流域内的河谷地带和右岸海拔较低的地区，以及上源挖黑河降雨量相对较小，多年平均降雨量约1000～1300mm。</w:t>
      </w:r>
    </w:p>
    <w:p>
      <w:pPr>
        <w:ind w:firstLine="540"/>
      </w:pPr>
      <w:r>
        <w:rPr>
          <w:rFonts w:hint="eastAsia"/>
          <w:lang w:eastAsia="zh-CN"/>
        </w:rPr>
        <w:t>规划</w:t>
      </w:r>
      <w:r>
        <w:t>区基本覆盖整个马边彝族自治县，据马边气象站资料统计，多年平均气温16.9℃，极端最高气温37.5℃，极端最低气温-4.0℃，多年平均年降水量1039.6mm，最大一日降水量118.0 mm，多年平均风速1.4m/s，最大风速13.0m/s，多年平均相对湿度80％。</w:t>
      </w:r>
    </w:p>
    <w:p>
      <w:pPr>
        <w:rPr>
          <w:color w:val="000000"/>
        </w:rPr>
      </w:pPr>
      <w:r>
        <w:rPr>
          <w:rFonts w:eastAsia="黑体"/>
          <w:color w:val="000000"/>
          <w:sz w:val="28"/>
          <w:szCs w:val="28"/>
        </w:rPr>
        <w:t>1.1.4社会经济</w:t>
      </w:r>
    </w:p>
    <w:p>
      <w:pPr>
        <w:ind w:firstLine="540"/>
      </w:pPr>
      <w:r>
        <w:t>据《乐山</w:t>
      </w:r>
      <w:r>
        <w:rPr>
          <w:rFonts w:hint="eastAsia"/>
          <w:lang w:eastAsia="zh-CN"/>
        </w:rPr>
        <w:t>马边彝族自治县</w:t>
      </w:r>
      <w:r>
        <w:t>统计年鉴20</w:t>
      </w:r>
      <w:r>
        <w:rPr>
          <w:rFonts w:hint="eastAsia"/>
        </w:rPr>
        <w:t>20</w:t>
      </w:r>
      <w:r>
        <w:t>年》，</w:t>
      </w:r>
      <w:r>
        <w:rPr>
          <w:rFonts w:hint="eastAsia"/>
          <w:lang w:eastAsia="zh-CN"/>
        </w:rPr>
        <w:t>马边彝族自治县</w:t>
      </w:r>
      <w:r>
        <w:t>总人口22.12万人，其中彝族10.85万人，占总人口的49.05%；城镇人口4.97万人，占总人口的</w:t>
      </w:r>
      <w:r>
        <w:rPr>
          <w:color w:val="000000"/>
        </w:rPr>
        <w:t>22.47%。</w:t>
      </w:r>
      <w:r>
        <w:rPr>
          <w:rFonts w:hint="eastAsia"/>
          <w:color w:val="000000"/>
          <w:lang w:eastAsia="zh-CN"/>
        </w:rPr>
        <w:t>由于</w:t>
      </w:r>
      <w:r>
        <w:rPr>
          <w:rFonts w:hint="eastAsia"/>
          <w:color w:val="000000"/>
          <w:lang w:val="en-US" w:eastAsia="zh-CN"/>
        </w:rPr>
        <w:t>2020年调整了</w:t>
      </w:r>
      <w:r>
        <w:rPr>
          <w:rFonts w:hint="eastAsia"/>
          <w:lang w:eastAsia="zh-CN"/>
        </w:rPr>
        <w:t>马边彝族自治县乡镇行政区划，马边彝族自治县原</w:t>
      </w:r>
      <w:r>
        <w:t>辖5个镇、15个乡，</w:t>
      </w:r>
      <w:r>
        <w:rPr>
          <w:rFonts w:hint="eastAsia"/>
          <w:lang w:eastAsia="zh-CN"/>
        </w:rPr>
        <w:t>调整后为</w:t>
      </w:r>
      <w:r>
        <w:rPr>
          <w:rFonts w:hint="eastAsia"/>
          <w:lang w:val="en-US" w:eastAsia="zh-CN"/>
        </w:rPr>
        <w:t>15个乡镇</w:t>
      </w:r>
      <w:r>
        <w:t>。</w:t>
      </w:r>
      <w:r>
        <w:rPr>
          <w:color w:val="000000"/>
        </w:rPr>
        <w:t>全县实现地区生产总值401788万元，同比增长7.0%。其中，第一产业生产总值88432万元，增长3.8%；第二产业148049万元，增长8.2%；第三产业165307万元，增长7.7%。</w:t>
      </w:r>
    </w:p>
    <w:p>
      <w:pPr>
        <w:ind w:firstLine="540"/>
        <w:rPr>
          <w:color w:val="000000"/>
        </w:rPr>
      </w:pPr>
      <w:r>
        <w:rPr>
          <w:color w:val="000000"/>
        </w:rPr>
        <w:t>全县粮食总产达93077吨，农林牧渔业总产值170009万元。2019年，全县固定资产投资完成509014万元，比上年增长17.6%，投资总量再创历史新高。农民收入也趋于多元化，依靠农业生产、畜牧业养殖、其他产业的发展以及外出务工等。农村居民人均可支配收入11379元，比上年增长10%。</w:t>
      </w:r>
    </w:p>
    <w:p>
      <w:pPr>
        <w:ind w:firstLine="484" w:firstLineChars="200"/>
        <w:rPr>
          <w:bCs/>
          <w:lang w:val="en-GB"/>
        </w:rPr>
      </w:pPr>
      <w:r>
        <w:rPr>
          <w:rFonts w:hint="eastAsia"/>
          <w:lang w:eastAsia="zh-CN"/>
        </w:rPr>
        <w:t>马边彝族自治县</w:t>
      </w:r>
      <w:r>
        <w:t>植被属亚热带常绿阔叶林区，森林植被种类丰富。全县有乔木树种40个科、109种。受气候影响，呈明显的垂直分布带谱，海拔由低到高为：常绿阔叶林带——针阔混交林带——阴暗针叶林带——高山灌丛草甸带。县内主要乔木有：丝粟、桦木、山毛榉、杉木、柳杉、润楠、香樟、冷杉等。主要灌木有：山茶、杜鹃、柃木、箭竹等。主要草本种类有：蕨、莎草、禾草等</w:t>
      </w:r>
      <w:r>
        <w:rPr>
          <w:bCs/>
        </w:rPr>
        <w:t>。</w:t>
      </w:r>
    </w:p>
    <w:p>
      <w:pPr>
        <w:ind w:firstLine="539"/>
      </w:pPr>
      <w:r>
        <w:t>根据</w:t>
      </w:r>
      <w:r>
        <w:rPr>
          <w:rFonts w:hint="eastAsia"/>
          <w:lang w:eastAsia="zh-CN"/>
        </w:rPr>
        <w:t>马边彝族自治县</w:t>
      </w:r>
      <w:r>
        <w:t>土壤普查，全县有10个土类、16个亚类、30个土属、56个土种。由于地理位置和复杂的地形地貌以及气候垂直变化的影响，各类土壤也具有明显的区域性分布规律。低山河谷区分布有水稻土、冲积土、紫色土和黄壤土等，有机质积累较多，为主要耕作土类。海拔1600～2450m地带分布黄棕壤土，土层深厚，自然肥力较高，宜于林木生长。海拔2300～2800m地带分布有暗棕壤土，土壤呈酸性，有机质丰富，土层深厚，宜发展针阔叶混交林。海拔2790～3500m地带分布有漂灰土，宜发展云杉、冷杉。海拔3400m以上地带分布有亚高山草甸土。</w:t>
      </w:r>
    </w:p>
    <w:p>
      <w:pPr>
        <w:rPr>
          <w:rFonts w:eastAsia="黑体"/>
        </w:rPr>
      </w:pPr>
      <w:r>
        <w:rPr>
          <w:rFonts w:eastAsia="黑体"/>
          <w:color w:val="000000"/>
          <w:sz w:val="28"/>
          <w:szCs w:val="28"/>
        </w:rPr>
        <w:t>1.1.5水资源概况</w:t>
      </w:r>
    </w:p>
    <w:p>
      <w:pPr>
        <w:ind w:firstLine="540"/>
        <w:rPr>
          <w:kern w:val="0"/>
          <w:szCs w:val="28"/>
          <w:lang w:bidi="ar"/>
        </w:rPr>
      </w:pPr>
      <w:r>
        <w:rPr>
          <w:kern w:val="0"/>
          <w:szCs w:val="28"/>
          <w:lang w:bidi="ar"/>
        </w:rPr>
        <w:t>县境内水利资源丰富。由大小溪流226条，全长200多公里的马边河横贯全境，集雨面积1998km</w:t>
      </w:r>
      <w:r>
        <w:rPr>
          <w:kern w:val="0"/>
          <w:szCs w:val="28"/>
          <w:vertAlign w:val="superscript"/>
          <w:lang w:bidi="ar"/>
        </w:rPr>
        <w:t>2</w:t>
      </w:r>
      <w:r>
        <w:rPr>
          <w:kern w:val="0"/>
          <w:szCs w:val="28"/>
          <w:lang w:bidi="ar"/>
        </w:rPr>
        <w:t>，平均地表径流总量30亿m</w:t>
      </w:r>
      <w:r>
        <w:rPr>
          <w:kern w:val="0"/>
          <w:szCs w:val="28"/>
          <w:vertAlign w:val="superscript"/>
          <w:lang w:bidi="ar"/>
        </w:rPr>
        <w:t>3</w:t>
      </w:r>
      <w:r>
        <w:rPr>
          <w:kern w:val="0"/>
          <w:szCs w:val="28"/>
          <w:lang w:bidi="ar"/>
        </w:rPr>
        <w:t>，耕地亩平均有水6204 m</w:t>
      </w:r>
      <w:r>
        <w:rPr>
          <w:kern w:val="0"/>
          <w:szCs w:val="28"/>
          <w:vertAlign w:val="superscript"/>
          <w:lang w:bidi="ar"/>
        </w:rPr>
        <w:t>3</w:t>
      </w:r>
      <w:r>
        <w:rPr>
          <w:kern w:val="0"/>
          <w:szCs w:val="28"/>
          <w:lang w:bidi="ar"/>
        </w:rPr>
        <w:t>。水能资源主要集中在高卓营河、挖黑河、先家普河、大竹堡河及马边河干流，理论蕴藏量为56万kw，可开发电站51座，装机容量为54.712万kw。</w:t>
      </w:r>
    </w:p>
    <w:p>
      <w:pPr>
        <w:ind w:firstLine="540"/>
        <w:rPr>
          <w:lang w:eastAsia="zh-CN"/>
        </w:rPr>
      </w:pPr>
      <w:r>
        <w:rPr>
          <w:rFonts w:hint="eastAsia"/>
          <w:lang w:eastAsia="zh-CN"/>
        </w:rPr>
        <w:t>马边彝族自治县</w:t>
      </w:r>
      <w:r>
        <w:rPr>
          <w:lang w:eastAsia="zh-CN"/>
        </w:rPr>
        <w:t>境内溪沟河流众多，境内高山峡谷遍布，全县多年平均降雨量1044.3mm，</w:t>
      </w:r>
      <w:r>
        <w:rPr>
          <w:rFonts w:hint="eastAsia"/>
          <w:lang w:eastAsia="zh-CN"/>
        </w:rPr>
        <w:t>但</w:t>
      </w:r>
      <w:r>
        <w:rPr>
          <w:lang w:eastAsia="zh-CN"/>
        </w:rPr>
        <w:t>年内分配不均，主要集中在6～9月，且境内无大中型骨干水利工程，干旱长期制约着县域经济的发展，干旱以冬旱为主，少量年份有伏旱。据《马边彝族自治县县志》河调查记载，自建国至今，全县几乎每年均有旱灾发生，其中尤以2002年旱灾损失最大：2002年1-2月，马边彝族自治县发生冬旱，受灾面积3千公顷，绝收面积1千公顷，因旱造成1.5万人、1.2万头牲畜饮水困难，粮食减产450万kg，经济损失150万元。</w:t>
      </w:r>
    </w:p>
    <w:p>
      <w:pPr>
        <w:ind w:firstLine="600"/>
        <w:rPr>
          <w:lang w:eastAsia="zh-CN"/>
        </w:rPr>
      </w:pPr>
      <w:bookmarkStart w:id="9" w:name="_Toc248819824"/>
      <w:bookmarkStart w:id="10" w:name="_Toc248819517"/>
      <w:r>
        <w:rPr>
          <w:rFonts w:hint="eastAsia"/>
          <w:lang w:eastAsia="zh-CN"/>
        </w:rPr>
        <w:t>降雨量集中的</w:t>
      </w:r>
      <w:r>
        <w:rPr>
          <w:rFonts w:hint="eastAsia"/>
          <w:lang w:val="en-US" w:eastAsia="zh-CN"/>
        </w:rPr>
        <w:t>6-9月易出现暴雨等</w:t>
      </w:r>
      <w:r>
        <w:rPr>
          <w:rFonts w:hint="eastAsia"/>
          <w:lang w:eastAsia="zh-CN"/>
        </w:rPr>
        <w:t>洪涝灾害天气，对当地农业生产及经济社会的影响也较大。</w:t>
      </w:r>
      <w:r>
        <w:rPr>
          <w:lang w:eastAsia="zh-CN"/>
        </w:rPr>
        <w:t>暴雨造成山洪暴发，河水暴涨。据《马边彝族自治县县志》记载及调查，从建国年至今，马边彝族自治县年年基本都要遭受洪水的危害，其中尤以1986年洪水危害最大：1986年7月9日晚至10日晨，大院子区和三河口区降雨量分别为165mm和130mm，流量2000 m</w:t>
      </w:r>
      <w:r>
        <w:rPr>
          <w:vertAlign w:val="superscript"/>
          <w:lang w:eastAsia="zh-CN"/>
        </w:rPr>
        <w:t>3</w:t>
      </w:r>
      <w:r>
        <w:rPr>
          <w:lang w:eastAsia="zh-CN"/>
        </w:rPr>
        <w:t>/s，县城水深0.4m，水稻受灾1355.4亩，玉米17087亩，粮食减产75万kg，倒房67户200间，冲走6户17间，经济损失32.47万元，死5人，工业、交通受损严重。</w:t>
      </w:r>
      <w:bookmarkEnd w:id="9"/>
      <w:bookmarkEnd w:id="10"/>
    </w:p>
    <w:p>
      <w:pPr>
        <w:pStyle w:val="5"/>
        <w:rPr>
          <w:rFonts w:ascii="Times New Roman" w:hAnsi="Times New Roman"/>
          <w:b w:val="0"/>
          <w:sz w:val="30"/>
          <w:szCs w:val="30"/>
        </w:rPr>
      </w:pPr>
      <w:bookmarkStart w:id="11" w:name="_Toc36028996"/>
      <w:r>
        <w:rPr>
          <w:rFonts w:ascii="Times New Roman" w:hAnsi="Times New Roman"/>
          <w:b w:val="0"/>
          <w:sz w:val="30"/>
          <w:szCs w:val="30"/>
        </w:rPr>
        <w:t>1.2</w:t>
      </w:r>
      <w:r>
        <w:rPr>
          <w:rFonts w:hint="eastAsia" w:ascii="Times New Roman" w:hAnsi="Times New Roman"/>
          <w:b w:val="0"/>
          <w:sz w:val="30"/>
          <w:szCs w:val="30"/>
          <w:lang w:eastAsia="zh-CN"/>
        </w:rPr>
        <w:t>已</w:t>
      </w:r>
      <w:r>
        <w:rPr>
          <w:rFonts w:ascii="Times New Roman" w:hAnsi="Times New Roman"/>
          <w:b w:val="0"/>
          <w:sz w:val="30"/>
          <w:szCs w:val="30"/>
        </w:rPr>
        <w:t>实施情况及成效</w:t>
      </w:r>
      <w:bookmarkEnd w:id="11"/>
    </w:p>
    <w:p>
      <w:pPr>
        <w:ind w:firstLine="540"/>
        <w:rPr>
          <w:rFonts w:ascii="Times New Roman" w:hAnsi="Times New Roman" w:eastAsia="宋体" w:cs="Times New Roman"/>
          <w:kern w:val="0"/>
        </w:rPr>
      </w:pPr>
      <w:r>
        <w:rPr>
          <w:rFonts w:ascii="Times New Roman" w:hAnsi="Times New Roman" w:eastAsia="宋体" w:cs="Times New Roman"/>
          <w:kern w:val="0"/>
        </w:rPr>
        <w:t>“十三五”以来，全</w:t>
      </w:r>
      <w:r>
        <w:rPr>
          <w:rFonts w:hint="eastAsia" w:ascii="Times New Roman" w:hAnsi="Times New Roman" w:eastAsia="宋体" w:cs="Times New Roman"/>
          <w:kern w:val="0"/>
        </w:rPr>
        <w:t>县</w:t>
      </w:r>
      <w:r>
        <w:rPr>
          <w:rFonts w:ascii="Times New Roman" w:hAnsi="Times New Roman" w:eastAsia="宋体" w:cs="Times New Roman"/>
          <w:kern w:val="0"/>
        </w:rPr>
        <w:t>坚定以习近平新时代中国特色社会主义思想为指导，深入贯彻习近平总书记关于保障国家水安全的重要讲话和治水工作的重要指示批示精神，认真落实党中央国务院</w:t>
      </w:r>
      <w:r>
        <w:rPr>
          <w:rFonts w:hint="eastAsia" w:ascii="Times New Roman" w:hAnsi="Times New Roman" w:eastAsia="宋体" w:cs="Times New Roman"/>
          <w:kern w:val="0"/>
        </w:rPr>
        <w:t>、</w:t>
      </w:r>
      <w:r>
        <w:rPr>
          <w:rFonts w:ascii="Times New Roman" w:hAnsi="Times New Roman" w:eastAsia="宋体" w:cs="Times New Roman"/>
          <w:kern w:val="0"/>
        </w:rPr>
        <w:t>省委省政府</w:t>
      </w:r>
      <w:r>
        <w:rPr>
          <w:rFonts w:hint="eastAsia" w:ascii="Times New Roman" w:hAnsi="Times New Roman" w:eastAsia="宋体" w:cs="Times New Roman"/>
          <w:kern w:val="0"/>
        </w:rPr>
        <w:t>和市委市政府</w:t>
      </w:r>
      <w:r>
        <w:rPr>
          <w:rFonts w:ascii="Times New Roman" w:hAnsi="Times New Roman" w:eastAsia="宋体" w:cs="Times New Roman"/>
          <w:kern w:val="0"/>
        </w:rPr>
        <w:t>的决策部署，按照新发展理念和高质量发展要求，积极践行中央新时代治水思路，坚持水资源、水生态、水环境、水灾害统筹治理，以“水利工程补短板夯弱项、水利行业强监管优服务”为工作主线，全力推进水利建设、管理和改革工作，水安全保障水平持续提升，为经济社会发展和生态建设做出了积极贡献。</w:t>
      </w:r>
    </w:p>
    <w:p>
      <w:pPr>
        <w:ind w:firstLine="540"/>
        <w:rPr>
          <w:rFonts w:eastAsia="Times New Roman"/>
        </w:rPr>
      </w:pPr>
      <w:r>
        <w:rPr>
          <w:color w:val="000000"/>
        </w:rPr>
        <w:t>截止</w:t>
      </w:r>
      <w:r>
        <w:rPr>
          <w:rFonts w:hint="eastAsia"/>
          <w:color w:val="000000"/>
          <w:lang w:val="en-US" w:eastAsia="zh-CN"/>
        </w:rPr>
        <w:t>2020</w:t>
      </w:r>
      <w:r>
        <w:rPr>
          <w:color w:val="000000"/>
        </w:rPr>
        <w:t>年底，通过饮水安全工程及巩固提升工程，全县共计新建供水工程600</w:t>
      </w:r>
      <w:r>
        <w:t>处，其中集中供水工程341处，解决饮水困难人口14.5775万人；分散供水工程259处，解决农村饮水困难人口2.5692万人。集中供水工程中千人以上工程23处，解决5.3969万人。</w:t>
      </w:r>
    </w:p>
    <w:p>
      <w:pPr>
        <w:ind w:firstLine="484" w:firstLineChars="200"/>
        <w:rPr>
          <w:rFonts w:cs="Times New Roman"/>
          <w:color w:val="auto"/>
        </w:rPr>
      </w:pPr>
      <w:r>
        <w:rPr>
          <w:rFonts w:hint="eastAsia" w:cs="Times New Roman"/>
          <w:color w:val="auto"/>
        </w:rPr>
        <w:t>“十三五”期间全县落实水利投资4.77</w:t>
      </w:r>
      <w:r>
        <w:rPr>
          <w:rFonts w:cs="Times New Roman"/>
          <w:color w:val="auto"/>
        </w:rPr>
        <w:t>亿元，新增有效灌溉面积</w:t>
      </w:r>
      <w:r>
        <w:rPr>
          <w:rFonts w:hint="eastAsia" w:cs="Times New Roman"/>
          <w:color w:val="auto"/>
        </w:rPr>
        <w:t>1.5</w:t>
      </w:r>
      <w:r>
        <w:rPr>
          <w:rFonts w:cs="Times New Roman"/>
          <w:color w:val="auto"/>
        </w:rPr>
        <w:t>万亩，新增高效节水灌溉面积</w:t>
      </w:r>
      <w:r>
        <w:rPr>
          <w:rFonts w:hint="eastAsia" w:cs="Times New Roman"/>
          <w:color w:val="auto"/>
        </w:rPr>
        <w:t>1.08</w:t>
      </w:r>
      <w:r>
        <w:rPr>
          <w:rFonts w:cs="Times New Roman"/>
          <w:color w:val="auto"/>
        </w:rPr>
        <w:t>亩，农村供水工程的集中供水率达到</w:t>
      </w:r>
      <w:r>
        <w:rPr>
          <w:rFonts w:hint="eastAsia" w:cs="Times New Roman"/>
          <w:color w:val="auto"/>
        </w:rPr>
        <w:t>85</w:t>
      </w:r>
      <w:r>
        <w:rPr>
          <w:rFonts w:cs="Times New Roman"/>
          <w:color w:val="auto"/>
        </w:rPr>
        <w:t>%，</w:t>
      </w:r>
      <w:r>
        <w:rPr>
          <w:rFonts w:hint="eastAsia" w:cs="Times New Roman"/>
          <w:color w:val="auto"/>
        </w:rPr>
        <w:t>农村饮水安全普及率96%，</w:t>
      </w:r>
      <w:r>
        <w:rPr>
          <w:rFonts w:cs="Times New Roman"/>
          <w:color w:val="auto"/>
        </w:rPr>
        <w:t>农村自来水普及率达到</w:t>
      </w:r>
      <w:r>
        <w:rPr>
          <w:rFonts w:hint="eastAsia" w:cs="Times New Roman"/>
          <w:color w:val="auto"/>
        </w:rPr>
        <w:t>74</w:t>
      </w:r>
      <w:r>
        <w:rPr>
          <w:rFonts w:cs="Times New Roman"/>
          <w:color w:val="auto"/>
        </w:rPr>
        <w:t>%，全面解决建档立卡贫困人口的饮水问题；</w:t>
      </w:r>
      <w:r>
        <w:rPr>
          <w:rFonts w:hint="eastAsia" w:cs="Times New Roman"/>
          <w:color w:val="auto"/>
        </w:rPr>
        <w:t>现状</w:t>
      </w:r>
      <w:r>
        <w:rPr>
          <w:rFonts w:cs="Times New Roman"/>
          <w:color w:val="auto"/>
        </w:rPr>
        <w:t>全</w:t>
      </w:r>
      <w:r>
        <w:rPr>
          <w:rFonts w:hint="eastAsia" w:cs="Times New Roman"/>
          <w:color w:val="auto"/>
        </w:rPr>
        <w:t>县</w:t>
      </w:r>
      <w:r>
        <w:rPr>
          <w:rFonts w:cs="Times New Roman"/>
          <w:color w:val="auto"/>
        </w:rPr>
        <w:t>用水总量</w:t>
      </w:r>
      <w:r>
        <w:rPr>
          <w:rFonts w:hint="eastAsia" w:cs="Times New Roman"/>
          <w:color w:val="auto"/>
        </w:rPr>
        <w:t>3858万</w:t>
      </w:r>
      <w:r>
        <w:rPr>
          <w:rFonts w:cs="Times New Roman"/>
          <w:color w:val="auto"/>
        </w:rPr>
        <w:t>立方米，万元国内生产总值用水量</w:t>
      </w:r>
      <w:r>
        <w:rPr>
          <w:rFonts w:hint="eastAsia" w:cs="Times New Roman"/>
          <w:color w:val="auto"/>
        </w:rPr>
        <w:t>、</w:t>
      </w:r>
      <w:r>
        <w:rPr>
          <w:rFonts w:cs="Times New Roman"/>
          <w:color w:val="auto"/>
        </w:rPr>
        <w:t>万元工业增加值用水量分别较2015年降低</w:t>
      </w:r>
      <w:r>
        <w:rPr>
          <w:rFonts w:hint="eastAsia" w:cs="Times New Roman"/>
          <w:color w:val="auto"/>
        </w:rPr>
        <w:t>20.6</w:t>
      </w:r>
      <w:r>
        <w:rPr>
          <w:rFonts w:cs="Times New Roman"/>
          <w:color w:val="auto"/>
        </w:rPr>
        <w:t>%、</w:t>
      </w:r>
      <w:r>
        <w:rPr>
          <w:rFonts w:hint="eastAsia" w:cs="Times New Roman"/>
          <w:color w:val="auto"/>
        </w:rPr>
        <w:t>19.5</w:t>
      </w:r>
      <w:r>
        <w:rPr>
          <w:rFonts w:cs="Times New Roman"/>
          <w:color w:val="auto"/>
        </w:rPr>
        <w:t>%，灌溉水有效利用系数提高到</w:t>
      </w:r>
      <w:r>
        <w:rPr>
          <w:rFonts w:hint="eastAsia" w:cs="Times New Roman"/>
          <w:color w:val="auto"/>
        </w:rPr>
        <w:t>0.492</w:t>
      </w:r>
      <w:r>
        <w:rPr>
          <w:rFonts w:cs="Times New Roman"/>
          <w:color w:val="auto"/>
        </w:rPr>
        <w:t>；重要江河湖泊水功能区主要水质指</w:t>
      </w:r>
      <w:r>
        <w:rPr>
          <w:rFonts w:hint="eastAsia" w:cs="Times New Roman"/>
          <w:color w:val="auto"/>
        </w:rPr>
        <w:t>标达标率达到100</w:t>
      </w:r>
      <w:r>
        <w:rPr>
          <w:rFonts w:cs="Times New Roman"/>
          <w:color w:val="auto"/>
        </w:rPr>
        <w:t>%，累计新增水土流失综合治理面积</w:t>
      </w:r>
      <w:r>
        <w:rPr>
          <w:rFonts w:hint="eastAsia" w:cs="Times New Roman"/>
          <w:color w:val="auto"/>
        </w:rPr>
        <w:t>94.5</w:t>
      </w:r>
      <w:r>
        <w:rPr>
          <w:rFonts w:cs="Times New Roman"/>
          <w:color w:val="auto"/>
        </w:rPr>
        <w:t>平方</w:t>
      </w:r>
      <w:r>
        <w:rPr>
          <w:rFonts w:hint="eastAsia" w:cs="Times New Roman"/>
          <w:color w:val="auto"/>
        </w:rPr>
        <w:t>公里</w:t>
      </w:r>
      <w:r>
        <w:rPr>
          <w:rFonts w:cs="Times New Roman"/>
          <w:color w:val="auto"/>
        </w:rPr>
        <w:t>。</w:t>
      </w:r>
    </w:p>
    <w:p>
      <w:pPr>
        <w:ind w:firstLine="484" w:firstLineChars="200"/>
        <w:rPr>
          <w:rFonts w:cs="Times New Roman"/>
          <w:color w:val="4F81BD"/>
        </w:rPr>
      </w:pPr>
      <w:r>
        <w:rPr>
          <w:rFonts w:cs="Times New Roman"/>
        </w:rPr>
        <w:t>“十三五”时期，</w:t>
      </w:r>
      <w:r>
        <w:rPr>
          <w:rFonts w:hint="eastAsia" w:cs="Times New Roman"/>
          <w:lang w:eastAsia="zh-CN"/>
        </w:rPr>
        <w:t>马边彝族自治县</w:t>
      </w:r>
      <w:r>
        <w:rPr>
          <w:rFonts w:cs="Times New Roman"/>
        </w:rPr>
        <w:t>水利行业主要呈现以下特点：</w:t>
      </w:r>
    </w:p>
    <w:p>
      <w:pPr>
        <w:ind w:firstLine="484" w:firstLineChars="200"/>
        <w:rPr>
          <w:rFonts w:ascii="Times New Roman" w:hAnsi="Times New Roman" w:eastAsia="宋体" w:cs="Times New Roman"/>
          <w:b w:val="0"/>
          <w:bCs w:val="0"/>
          <w:kern w:val="2"/>
          <w:sz w:val="24"/>
          <w:szCs w:val="24"/>
          <w:lang w:val="en-US" w:eastAsia="zh-CN" w:bidi="ar-SA"/>
        </w:rPr>
      </w:pPr>
      <w:bookmarkStart w:id="12" w:name="_Toc3158"/>
      <w:r>
        <w:rPr>
          <w:rFonts w:hint="eastAsia" w:ascii="Times New Roman" w:hAnsi="Times New Roman" w:eastAsia="宋体" w:cs="Times New Roman"/>
          <w:b w:val="0"/>
          <w:bCs w:val="0"/>
          <w:kern w:val="2"/>
          <w:sz w:val="24"/>
          <w:szCs w:val="24"/>
          <w:lang w:val="en-US" w:eastAsia="zh-CN" w:bidi="ar-SA"/>
        </w:rPr>
        <w:t>1、节水型社会建设全面推进</w:t>
      </w:r>
      <w:bookmarkEnd w:id="12"/>
    </w:p>
    <w:p>
      <w:pPr>
        <w:ind w:firstLine="484" w:firstLineChars="200"/>
        <w:rPr>
          <w:rFonts w:cs="Times New Roman"/>
        </w:rPr>
      </w:pPr>
      <w:r>
        <w:rPr>
          <w:rFonts w:hint="eastAsia" w:cs="Times New Roman"/>
        </w:rPr>
        <w:t>落实最严格的水资源管理制度，严格执行《四川省“十三五”水资源消耗总量和强度双控行动实施方案</w:t>
      </w:r>
      <w:r>
        <w:rPr>
          <w:rFonts w:hint="eastAsia" w:ascii="Times New Roman" w:hAnsi="Times New Roman" w:eastAsia="宋体" w:cs="Times New Roman"/>
          <w:color w:val="000000"/>
        </w:rPr>
        <w:t>》、《</w:t>
      </w:r>
      <w:r>
        <w:rPr>
          <w:rFonts w:hint="eastAsia" w:cs="Times New Roman"/>
        </w:rPr>
        <w:t>四川省节水行动实施方案》、《四川省用水定额》（川府函〔2021〕8号）、</w:t>
      </w:r>
      <w:r>
        <w:rPr>
          <w:rFonts w:hint="eastAsia" w:cs="Times New Roman"/>
          <w:color w:val="000000"/>
        </w:rPr>
        <w:t>《乐山市推进农业水价综合改革实施方案》</w:t>
      </w:r>
      <w:r>
        <w:rPr>
          <w:rFonts w:hint="eastAsia" w:cs="Times New Roman"/>
        </w:rPr>
        <w:t>，厉行节约用水，总量控制与定额管理取得实效。</w:t>
      </w:r>
      <w:r>
        <w:rPr>
          <w:rFonts w:hint="eastAsia" w:cs="Times New Roman"/>
          <w:lang w:eastAsia="zh-CN"/>
        </w:rPr>
        <w:t>马边彝族自治县</w:t>
      </w:r>
      <w:r>
        <w:rPr>
          <w:rFonts w:hint="eastAsia" w:cs="Times New Roman"/>
        </w:rPr>
        <w:t>被按照节水型社会重点县要求，积极推进县域节水型社会达标建设，全面开展规划和建设项目节水评价，节水机关建设稳步推进。</w:t>
      </w:r>
    </w:p>
    <w:p>
      <w:pPr>
        <w:ind w:firstLine="540"/>
        <w:rPr>
          <w:rFonts w:cs="Times New Roman"/>
          <w:highlight w:val="yellow"/>
        </w:rPr>
      </w:pPr>
      <w:r>
        <w:rPr>
          <w:rFonts w:hint="eastAsia" w:cs="Times New Roman"/>
          <w:lang w:eastAsia="zh-CN"/>
        </w:rPr>
        <w:t>马边彝族自治县</w:t>
      </w:r>
      <w:r>
        <w:rPr>
          <w:rFonts w:hint="eastAsia" w:cs="Times New Roman"/>
        </w:rPr>
        <w:t>在建设节水型社会中，以提高水资源</w:t>
      </w:r>
      <w:r>
        <w:rPr>
          <w:rFonts w:hint="eastAsia" w:ascii="Times New Roman" w:hAnsi="Times New Roman" w:eastAsia="宋体" w:cs="Times New Roman"/>
          <w:color w:val="000000"/>
        </w:rPr>
        <w:t>利用</w:t>
      </w:r>
      <w:r>
        <w:rPr>
          <w:rFonts w:hint="eastAsia" w:cs="Times New Roman"/>
        </w:rPr>
        <w:t>效率和效益为核心，以建立政府调控、市场引导、公众参与的节水机制为重点，</w:t>
      </w:r>
      <w:r>
        <w:rPr>
          <w:rFonts w:hint="eastAsia" w:cs="Times New Roman"/>
          <w:color w:val="000000"/>
        </w:rPr>
        <w:t>节水型社会建设推进顺利。</w:t>
      </w:r>
      <w:r>
        <w:rPr>
          <w:rFonts w:hint="eastAsia" w:cs="Times New Roman"/>
        </w:rPr>
        <w:t>在乐山市2019年度实行最严格水资源管理制度县（市、区）考核结果的公告中,</w:t>
      </w:r>
      <w:r>
        <w:rPr>
          <w:rFonts w:hint="eastAsia" w:cs="Times New Roman"/>
          <w:lang w:eastAsia="zh-CN"/>
        </w:rPr>
        <w:t>马边彝族自治县</w:t>
      </w:r>
      <w:r>
        <w:rPr>
          <w:rFonts w:hint="eastAsia" w:cs="Times New Roman"/>
        </w:rPr>
        <w:t>考核等级为优秀。</w:t>
      </w:r>
    </w:p>
    <w:p>
      <w:pPr>
        <w:ind w:firstLine="540"/>
        <w:rPr>
          <w:rFonts w:cs="Times New Roman"/>
        </w:rPr>
      </w:pPr>
      <w:r>
        <w:rPr>
          <w:rFonts w:hint="eastAsia" w:cs="Times New Roman"/>
        </w:rPr>
        <w:t>农业节水方面，</w:t>
      </w:r>
      <w:r>
        <w:rPr>
          <w:rFonts w:hint="eastAsia" w:cs="Times New Roman"/>
          <w:lang w:eastAsia="zh-CN"/>
        </w:rPr>
        <w:t>马边彝族自治县</w:t>
      </w:r>
      <w:r>
        <w:rPr>
          <w:rFonts w:hint="eastAsia" w:cs="Times New Roman"/>
        </w:rPr>
        <w:t>通过2016~2019年高效节水</w:t>
      </w:r>
      <w:r>
        <w:rPr>
          <w:rFonts w:cs="Times New Roman"/>
        </w:rPr>
        <w:t>项目建设，</w:t>
      </w:r>
      <w:r>
        <w:rPr>
          <w:rFonts w:hint="eastAsia" w:cs="Times New Roman"/>
        </w:rPr>
        <w:t>累计投资2919.06</w:t>
      </w:r>
      <w:r>
        <w:rPr>
          <w:rFonts w:cs="Times New Roman"/>
        </w:rPr>
        <w:t>万元，建设高效节水面积</w:t>
      </w:r>
      <w:r>
        <w:rPr>
          <w:rFonts w:hint="eastAsia" w:cs="Times New Roman"/>
        </w:rPr>
        <w:t>1.08</w:t>
      </w:r>
      <w:r>
        <w:rPr>
          <w:rFonts w:cs="Times New Roman"/>
        </w:rPr>
        <w:t>万亩。全</w:t>
      </w:r>
      <w:r>
        <w:rPr>
          <w:rFonts w:hint="eastAsia" w:cs="Times New Roman"/>
        </w:rPr>
        <w:t>县</w:t>
      </w:r>
      <w:r>
        <w:rPr>
          <w:rFonts w:cs="Times New Roman"/>
        </w:rPr>
        <w:t>农田灌溉水有效利用系数从0.45提高到</w:t>
      </w:r>
      <w:r>
        <w:rPr>
          <w:rFonts w:hint="eastAsia" w:cs="Times New Roman"/>
        </w:rPr>
        <w:t>0.492</w:t>
      </w:r>
      <w:r>
        <w:rPr>
          <w:rFonts w:cs="Times New Roman"/>
        </w:rPr>
        <w:t>，</w:t>
      </w:r>
      <w:r>
        <w:rPr>
          <w:rFonts w:hint="eastAsia" w:cs="Times New Roman"/>
        </w:rPr>
        <w:t>较</w:t>
      </w:r>
      <w:r>
        <w:rPr>
          <w:rFonts w:cs="Times New Roman"/>
        </w:rPr>
        <w:t>大地提高了农业用水效率。</w:t>
      </w:r>
    </w:p>
    <w:p>
      <w:pPr>
        <w:ind w:firstLine="540"/>
        <w:rPr>
          <w:rFonts w:cs="Times New Roman"/>
          <w:highlight w:val="yellow"/>
        </w:rPr>
      </w:pPr>
      <w:r>
        <w:rPr>
          <w:rFonts w:hint="eastAsia" w:cs="Times New Roman"/>
        </w:rPr>
        <w:t>生活节水方面，通过“世界水日”、“中国水周”等节水宣传和平时网络、广播、电视传媒等多渠道的广泛宣传大力倡导节水优先的爱水意识，营造全县节水氛围。</w:t>
      </w:r>
    </w:p>
    <w:p>
      <w:pPr>
        <w:ind w:firstLine="484" w:firstLineChars="200"/>
        <w:rPr>
          <w:rFonts w:hint="eastAsia" w:ascii="Times New Roman" w:hAnsi="Times New Roman" w:eastAsia="宋体" w:cs="Times New Roman"/>
          <w:b w:val="0"/>
          <w:bCs w:val="0"/>
          <w:kern w:val="2"/>
          <w:sz w:val="24"/>
          <w:szCs w:val="24"/>
          <w:lang w:val="en-US" w:eastAsia="zh-CN" w:bidi="ar-SA"/>
        </w:rPr>
      </w:pPr>
      <w:bookmarkStart w:id="13" w:name="_Toc15094"/>
      <w:r>
        <w:rPr>
          <w:rFonts w:hint="eastAsia" w:ascii="Times New Roman" w:hAnsi="Times New Roman" w:eastAsia="宋体" w:cs="Times New Roman"/>
          <w:b w:val="0"/>
          <w:bCs w:val="0"/>
          <w:kern w:val="2"/>
          <w:sz w:val="24"/>
          <w:szCs w:val="24"/>
          <w:lang w:val="en-US" w:eastAsia="zh-CN" w:bidi="ar-SA"/>
        </w:rPr>
        <w:t>2、水利</w:t>
      </w:r>
      <w:r>
        <w:rPr>
          <w:rFonts w:hint="eastAsia" w:ascii="Times New Roman" w:hAnsi="Times New Roman" w:eastAsia="宋体" w:cs="Times New Roman"/>
          <w:color w:val="auto"/>
          <w:lang w:val="en-US" w:eastAsia="zh-CN"/>
        </w:rPr>
        <w:t>基础</w:t>
      </w:r>
      <w:r>
        <w:rPr>
          <w:rFonts w:hint="eastAsia" w:ascii="Times New Roman" w:hAnsi="Times New Roman" w:eastAsia="宋体" w:cs="Times New Roman"/>
          <w:b w:val="0"/>
          <w:bCs w:val="0"/>
          <w:kern w:val="2"/>
          <w:sz w:val="24"/>
          <w:szCs w:val="24"/>
          <w:lang w:val="en-US" w:eastAsia="zh-CN" w:bidi="ar-SA"/>
        </w:rPr>
        <w:t>设施短板稳步补齐</w:t>
      </w:r>
      <w:bookmarkEnd w:id="13"/>
    </w:p>
    <w:p>
      <w:pPr>
        <w:ind w:firstLine="540"/>
        <w:rPr>
          <w:rFonts w:cs="Times New Roman"/>
        </w:rPr>
      </w:pPr>
      <w:r>
        <w:rPr>
          <w:rFonts w:hint="eastAsia" w:cs="Times New Roman"/>
        </w:rPr>
        <w:t>水利行业投入稳定增长。“十三五”期间，</w:t>
      </w:r>
      <w:r>
        <w:rPr>
          <w:rFonts w:hint="eastAsia" w:cs="Times New Roman"/>
          <w:lang w:eastAsia="zh-CN"/>
        </w:rPr>
        <w:t>马边彝族自治县</w:t>
      </w:r>
      <w:r>
        <w:rPr>
          <w:rFonts w:hint="eastAsia" w:cs="Times New Roman"/>
        </w:rPr>
        <w:t>水利建设完成投资4.77亿元，相较于“十二五”增加16.1%，其中：供水保障能力建设工程2.16亿元，防洪提升工程1.5亿元，水利信息化及其他0.8亿元，主要河湖及区域生态环境治理保护修复工程0.31亿元，较好的完成了各方面的任务，为</w:t>
      </w:r>
      <w:r>
        <w:rPr>
          <w:rFonts w:hint="eastAsia" w:cs="Times New Roman"/>
          <w:lang w:eastAsia="zh-CN"/>
        </w:rPr>
        <w:t>马边彝族自治县</w:t>
      </w:r>
      <w:r>
        <w:rPr>
          <w:rFonts w:hint="eastAsia" w:cs="Times New Roman"/>
        </w:rPr>
        <w:t>的经济社会高质量发展提供了强有力的水利支撑。</w:t>
      </w:r>
    </w:p>
    <w:p>
      <w:pPr>
        <w:ind w:firstLine="540"/>
        <w:rPr>
          <w:rFonts w:cs="Times New Roman"/>
        </w:rPr>
      </w:pPr>
      <w:r>
        <w:rPr>
          <w:rFonts w:hint="eastAsia" w:cs="Times New Roman"/>
        </w:rPr>
        <w:t>重点</w:t>
      </w:r>
      <w:r>
        <w:rPr>
          <w:rFonts w:hint="eastAsia" w:ascii="Times New Roman" w:hAnsi="Times New Roman" w:eastAsia="宋体" w:cs="Times New Roman"/>
          <w:color w:val="000000"/>
        </w:rPr>
        <w:t>水利工程</w:t>
      </w:r>
      <w:r>
        <w:rPr>
          <w:rFonts w:hint="eastAsia" w:cs="Times New Roman"/>
        </w:rPr>
        <w:t>建设取得突破。“十三五”实施的重点水利项目完成情况较好。青龙水库建设一如既往地稳步实施，芦稿溪水库前期工作持续推进。</w:t>
      </w:r>
    </w:p>
    <w:p>
      <w:pPr>
        <w:ind w:firstLine="540"/>
        <w:rPr>
          <w:rFonts w:cs="Times New Roman"/>
        </w:rPr>
      </w:pPr>
      <w:r>
        <w:rPr>
          <w:rFonts w:hint="eastAsia" w:cs="Times New Roman"/>
        </w:rPr>
        <w:t>民生</w:t>
      </w:r>
      <w:r>
        <w:rPr>
          <w:rFonts w:hint="eastAsia" w:ascii="Times New Roman" w:hAnsi="Times New Roman" w:eastAsia="宋体" w:cs="Times New Roman"/>
          <w:color w:val="000000"/>
        </w:rPr>
        <w:t>水利工程</w:t>
      </w:r>
      <w:r>
        <w:rPr>
          <w:rFonts w:hint="eastAsia" w:cs="Times New Roman"/>
        </w:rPr>
        <w:t>蓬勃发展。实施2016~2020安全饮水项目，巩固提升保障农村安全饮水人口14万人，同时依托乐山市环保局和购买第三方服务加强了</w:t>
      </w:r>
      <w:r>
        <w:rPr>
          <w:rFonts w:hint="eastAsia" w:cs="Times New Roman"/>
          <w:lang w:eastAsia="zh-CN"/>
        </w:rPr>
        <w:t>马边彝族自治县</w:t>
      </w:r>
      <w:r>
        <w:rPr>
          <w:rFonts w:hint="eastAsia" w:cs="Times New Roman"/>
        </w:rPr>
        <w:t>农村水质检测能力。完成了2016~2018年水利工程维修养护项目；开展了2016~2017小型农田水利工程建设，通过多渠道融资实施现代化灌区试点建设，为农村粮食稳产增产以及现代化农业发展奠定了坚实的基础。</w:t>
      </w:r>
    </w:p>
    <w:p>
      <w:pPr>
        <w:numPr>
          <w:ilvl w:val="0"/>
          <w:numId w:val="0"/>
        </w:numPr>
        <w:ind w:firstLine="484" w:firstLineChars="200"/>
        <w:rPr>
          <w:rFonts w:hint="eastAsia" w:ascii="Times New Roman" w:hAnsi="Times New Roman" w:eastAsia="宋体" w:cs="Times New Roman"/>
          <w:b w:val="0"/>
          <w:bCs w:val="0"/>
          <w:kern w:val="2"/>
          <w:sz w:val="24"/>
          <w:szCs w:val="24"/>
          <w:lang w:val="en-US" w:eastAsia="zh-CN" w:bidi="ar-SA"/>
        </w:rPr>
      </w:pPr>
      <w:bookmarkStart w:id="14" w:name="_Toc1682"/>
      <w:r>
        <w:rPr>
          <w:rFonts w:hint="eastAsia" w:ascii="Times New Roman" w:hAnsi="Times New Roman" w:eastAsia="宋体" w:cs="Times New Roman"/>
          <w:b w:val="0"/>
          <w:bCs w:val="0"/>
          <w:kern w:val="2"/>
          <w:sz w:val="24"/>
          <w:szCs w:val="24"/>
          <w:lang w:val="en-US" w:eastAsia="zh-CN" w:bidi="ar-SA"/>
        </w:rPr>
        <w:t>3、水生态文明建设加快推进</w:t>
      </w:r>
      <w:bookmarkEnd w:id="14"/>
    </w:p>
    <w:p>
      <w:pPr>
        <w:ind w:firstLine="540"/>
        <w:rPr>
          <w:rFonts w:cs="Times New Roman"/>
          <w:bCs/>
          <w:highlight w:val="yellow"/>
        </w:rPr>
      </w:pPr>
      <w:r>
        <w:rPr>
          <w:rFonts w:hint="eastAsia" w:cs="Times New Roman"/>
          <w:bCs/>
        </w:rPr>
        <w:t>积极推进国家农业综合开发水土保持项目，多方筹措资金，利用生态流量下泄监测、水保天体一体化监测等水利信息化手段，结合其他行业重点项目建设实施水保项目建设，新增治理水土流失面积94.5平方公里。</w:t>
      </w:r>
      <w:r>
        <w:rPr>
          <w:rFonts w:hint="eastAsia" w:cs="Times New Roman"/>
          <w:bCs/>
          <w:lang w:eastAsia="zh-CN"/>
        </w:rPr>
        <w:t>马边彝族自治县</w:t>
      </w:r>
      <w:r>
        <w:rPr>
          <w:rFonts w:hint="eastAsia" w:cs="Times New Roman"/>
          <w:bCs/>
        </w:rPr>
        <w:t>域内主要河流均配备保洁员，实现河流常态化清河，确保河流每条每段清洁不留盲点和死角。以地方政府投入为主，多渠道融资，完成了小流域水土流失</w:t>
      </w:r>
      <w:r>
        <w:rPr>
          <w:rFonts w:hint="eastAsia" w:ascii="Times New Roman" w:hAnsi="Times New Roman" w:eastAsia="宋体" w:cs="Times New Roman"/>
          <w:color w:val="000000"/>
        </w:rPr>
        <w:t>重点</w:t>
      </w:r>
      <w:r>
        <w:rPr>
          <w:rFonts w:hint="eastAsia" w:cs="Times New Roman"/>
          <w:bCs/>
        </w:rPr>
        <w:t>治理工程，改善了城乡水生态环境，提升了城市形象及生活品味，提高了人民群众幸福感，加快推进了水生态文明建设。</w:t>
      </w:r>
    </w:p>
    <w:p>
      <w:pPr>
        <w:ind w:firstLine="484" w:firstLineChars="200"/>
        <w:rPr>
          <w:rFonts w:hint="eastAsia" w:ascii="Times New Roman" w:hAnsi="Times New Roman" w:eastAsia="宋体" w:cs="Times New Roman"/>
          <w:b w:val="0"/>
          <w:bCs w:val="0"/>
          <w:kern w:val="2"/>
          <w:sz w:val="24"/>
          <w:szCs w:val="24"/>
          <w:lang w:val="en-US" w:eastAsia="zh-CN" w:bidi="ar-SA"/>
        </w:rPr>
      </w:pPr>
      <w:bookmarkStart w:id="15" w:name="_Toc46326941"/>
      <w:bookmarkStart w:id="16" w:name="_Toc26165"/>
      <w:bookmarkStart w:id="17" w:name="_Toc46326938"/>
      <w:r>
        <w:rPr>
          <w:rFonts w:hint="eastAsia" w:ascii="Times New Roman" w:hAnsi="Times New Roman" w:eastAsia="宋体" w:cs="Times New Roman"/>
          <w:b w:val="0"/>
          <w:bCs w:val="0"/>
          <w:kern w:val="2"/>
          <w:sz w:val="24"/>
          <w:szCs w:val="24"/>
          <w:lang w:val="en-US" w:eastAsia="zh-CN" w:bidi="ar-SA"/>
        </w:rPr>
        <w:t>4、水利改革不断深化</w:t>
      </w:r>
      <w:bookmarkEnd w:id="15"/>
      <w:bookmarkEnd w:id="16"/>
    </w:p>
    <w:p>
      <w:pPr>
        <w:ind w:firstLine="484" w:firstLineChars="200"/>
        <w:rPr>
          <w:rFonts w:cs="Times New Roman"/>
        </w:rPr>
      </w:pPr>
      <w:r>
        <w:rPr>
          <w:rFonts w:hint="eastAsia" w:cs="Times New Roman"/>
        </w:rPr>
        <w:t>不断深化农村水利改革，一是配套完善水利建设各项扶持政策，继续执行农村供水用电按居民生活用电价格收费政策；二是贯彻落实《</w:t>
      </w:r>
      <w:r>
        <w:rPr>
          <w:rFonts w:hint="eastAsia" w:cs="Times New Roman"/>
          <w:color w:val="000000"/>
        </w:rPr>
        <w:t>乐山市推进农业水价综合改革实施方案</w:t>
      </w:r>
      <w:r>
        <w:rPr>
          <w:rFonts w:hint="eastAsia" w:cs="Times New Roman"/>
        </w:rPr>
        <w:t>》相关要求，鼓励民间资本参与水利工程建设，完善水利工程供水价格机制，吸引社会各界、企业投资水利建设；三是建立健全财政对水利投入稳定增长的长效机制；四是巩固完善水务投资建设平台和基层服务体系建设，通过创新农村水利发展机制，加强对农民用水户协会的指导，不断强化队伍保障和科技支撑作用；五是</w:t>
      </w:r>
      <w:r>
        <w:rPr>
          <w:rFonts w:hint="eastAsia" w:ascii="Times New Roman" w:hAnsi="Times New Roman" w:eastAsia="宋体" w:cs="Times New Roman"/>
          <w:color w:val="auto"/>
        </w:rPr>
        <w:t>深化</w:t>
      </w:r>
      <w:r>
        <w:rPr>
          <w:rFonts w:hint="eastAsia" w:cs="Times New Roman"/>
        </w:rPr>
        <w:t>水利工程建设和管理体制改革，探索代建制等新型建设管理模式，建立健全水利工程运行管护机制。</w:t>
      </w:r>
    </w:p>
    <w:bookmarkEnd w:id="17"/>
    <w:p>
      <w:pPr>
        <w:ind w:firstLine="484" w:firstLineChars="200"/>
        <w:rPr>
          <w:rFonts w:hint="eastAsia" w:ascii="Times New Roman" w:hAnsi="Times New Roman" w:eastAsia="宋体" w:cs="Times New Roman"/>
          <w:b w:val="0"/>
          <w:bCs w:val="0"/>
          <w:kern w:val="2"/>
          <w:sz w:val="24"/>
          <w:szCs w:val="24"/>
          <w:lang w:val="en-US" w:eastAsia="zh-CN" w:bidi="ar-SA"/>
        </w:rPr>
      </w:pPr>
      <w:bookmarkStart w:id="18" w:name="_Toc8071"/>
      <w:r>
        <w:rPr>
          <w:rFonts w:hint="eastAsia" w:ascii="Times New Roman" w:hAnsi="Times New Roman" w:eastAsia="宋体" w:cs="Times New Roman"/>
          <w:b w:val="0"/>
          <w:bCs w:val="0"/>
          <w:kern w:val="2"/>
          <w:sz w:val="24"/>
          <w:szCs w:val="24"/>
          <w:lang w:val="en-US" w:eastAsia="zh-CN" w:bidi="ar-SA"/>
        </w:rPr>
        <w:t>5、治水管水能力持续提升</w:t>
      </w:r>
      <w:bookmarkEnd w:id="18"/>
    </w:p>
    <w:p>
      <w:pPr>
        <w:ind w:firstLine="540"/>
        <w:rPr>
          <w:rFonts w:cs="Times New Roman"/>
        </w:rPr>
      </w:pPr>
      <w:r>
        <w:rPr>
          <w:rFonts w:cs="Times New Roman"/>
        </w:rPr>
        <w:t>落实最严格的水资源管理制度，根据《四川省人民政府关于实行最严格水资源管理制度的实施意见》（川府函〔2014〕31号），</w:t>
      </w:r>
      <w:r>
        <w:rPr>
          <w:rFonts w:hint="eastAsia" w:cs="Times New Roman"/>
        </w:rPr>
        <w:t>乐山</w:t>
      </w:r>
      <w:r>
        <w:rPr>
          <w:rFonts w:cs="Times New Roman"/>
        </w:rPr>
        <w:t>市人民政府办公室印发《</w:t>
      </w:r>
      <w:r>
        <w:rPr>
          <w:rFonts w:hint="eastAsia" w:cs="Times New Roman"/>
        </w:rPr>
        <w:t>乐山</w:t>
      </w:r>
      <w:r>
        <w:rPr>
          <w:rFonts w:cs="Times New Roman"/>
        </w:rPr>
        <w:t>市实行最严格水资源管理制度考核办法》的通知，</w:t>
      </w:r>
      <w:r>
        <w:rPr>
          <w:rFonts w:hint="eastAsia" w:cs="Times New Roman"/>
          <w:lang w:eastAsia="zh-CN"/>
        </w:rPr>
        <w:t>马边彝族自治县</w:t>
      </w:r>
      <w:r>
        <w:rPr>
          <w:rFonts w:cs="Times New Roman"/>
        </w:rPr>
        <w:t>政府积极响应最严格的水资源管理</w:t>
      </w:r>
      <w:r>
        <w:rPr>
          <w:rFonts w:ascii="Times New Roman" w:hAnsi="Times New Roman" w:eastAsia="宋体" w:cs="Times New Roman"/>
          <w:color w:val="000000"/>
        </w:rPr>
        <w:t>制度</w:t>
      </w:r>
      <w:r>
        <w:rPr>
          <w:rFonts w:cs="Times New Roman"/>
        </w:rPr>
        <w:t>。</w:t>
      </w:r>
    </w:p>
    <w:p>
      <w:pPr>
        <w:ind w:firstLine="540"/>
        <w:rPr>
          <w:rFonts w:cs="Times New Roman"/>
        </w:rPr>
      </w:pPr>
      <w:r>
        <w:rPr>
          <w:rFonts w:hint="eastAsia" w:cs="Times New Roman"/>
        </w:rPr>
        <w:t>全面落实河长制湖长制，在全县设立县、镇、村三级河（湖）长，构建完善的组织体系，加快推进河湖管理范围划定工作，深入实施河湖“清四乱”专项行动和“清河护岸净水保水”行动。</w:t>
      </w:r>
    </w:p>
    <w:p>
      <w:pPr>
        <w:ind w:firstLine="540"/>
        <w:rPr>
          <w:rFonts w:cs="Times New Roman"/>
        </w:rPr>
      </w:pPr>
      <w:r>
        <w:rPr>
          <w:rFonts w:hint="eastAsia" w:cs="Times New Roman"/>
        </w:rPr>
        <w:t>水利</w:t>
      </w:r>
      <w:r>
        <w:rPr>
          <w:rFonts w:hint="eastAsia" w:ascii="Times New Roman" w:hAnsi="Times New Roman" w:eastAsia="宋体" w:cs="Times New Roman"/>
          <w:color w:val="000000"/>
        </w:rPr>
        <w:t>规划</w:t>
      </w:r>
      <w:r>
        <w:rPr>
          <w:rFonts w:hint="eastAsia" w:cs="Times New Roman"/>
        </w:rPr>
        <w:t>体系不断完善，以政府投入为主，编制完成了《乐山市</w:t>
      </w:r>
      <w:r>
        <w:rPr>
          <w:rFonts w:hint="eastAsia" w:cs="Times New Roman"/>
          <w:lang w:eastAsia="zh-CN"/>
        </w:rPr>
        <w:t>马边彝族自治县</w:t>
      </w:r>
      <w:r>
        <w:rPr>
          <w:rFonts w:hint="eastAsia" w:cs="Times New Roman"/>
        </w:rPr>
        <w:t>水资源综合规划报告》和各县级河流的一河（湖）一策管理保护方案等。</w:t>
      </w:r>
    </w:p>
    <w:p>
      <w:pPr>
        <w:ind w:firstLine="540"/>
        <w:rPr>
          <w:rFonts w:cs="Times New Roman"/>
        </w:rPr>
      </w:pPr>
      <w:r>
        <w:rPr>
          <w:rFonts w:cs="Times New Roman"/>
        </w:rPr>
        <w:t>强化水利工程建设管理，全面落实水利建设“三项制度”，通过多种方式提高建设项目管理能力和</w:t>
      </w:r>
      <w:r>
        <w:rPr>
          <w:rFonts w:ascii="Times New Roman" w:hAnsi="Times New Roman" w:eastAsia="宋体" w:cs="Times New Roman"/>
          <w:color w:val="000000"/>
        </w:rPr>
        <w:t>水平</w:t>
      </w:r>
      <w:r>
        <w:rPr>
          <w:rFonts w:cs="Times New Roman"/>
        </w:rPr>
        <w:t>。强化水利行业安全监督管理，完善安全生产管理和责任体系，建立安全生产隐患排查治理分级管理和重大隐患挂牌督办制度，组织开展安全生产知识培训，严格落实岗前安全培训制度，全面提高安全监督管理水平。不断提高水行政执法能力，深化水利行政审批制度改革，增强依法治水能力。制定</w:t>
      </w:r>
      <w:r>
        <w:rPr>
          <w:rFonts w:hint="eastAsia" w:cs="Times New Roman"/>
        </w:rPr>
        <w:t>出台了《马边彝族自治县环境突出问题专项整治工作方案》，有效指导了水环境质量等问题整治工作的实施。</w:t>
      </w:r>
    </w:p>
    <w:p>
      <w:pPr>
        <w:pStyle w:val="5"/>
        <w:rPr>
          <w:rFonts w:ascii="Times New Roman" w:hAnsi="Times New Roman"/>
          <w:b w:val="0"/>
          <w:sz w:val="30"/>
          <w:szCs w:val="30"/>
        </w:rPr>
      </w:pPr>
      <w:bookmarkStart w:id="19" w:name="_Toc36028997"/>
      <w:r>
        <w:rPr>
          <w:rFonts w:ascii="Times New Roman" w:hAnsi="Times New Roman"/>
          <w:b w:val="0"/>
          <w:sz w:val="30"/>
          <w:szCs w:val="30"/>
        </w:rPr>
        <w:t>1.3</w:t>
      </w:r>
      <w:bookmarkEnd w:id="19"/>
      <w:r>
        <w:rPr>
          <w:rFonts w:hint="eastAsia" w:ascii="黑体" w:hAnsi="黑体" w:eastAsia="黑体" w:cs="黑体"/>
          <w:b w:val="0"/>
          <w:bCs w:val="0"/>
          <w:sz w:val="30"/>
          <w:szCs w:val="30"/>
        </w:rPr>
        <w:t>新农水四大板块工程建设和管理存在的主要问题</w:t>
      </w:r>
    </w:p>
    <w:p>
      <w:pPr>
        <w:ind w:firstLine="484" w:firstLineChars="200"/>
        <w:rPr>
          <w:rFonts w:hint="default" w:ascii="Times New Roman" w:hAnsi="Times New Roman" w:eastAsia="宋体" w:cs="Times New Roman"/>
          <w:b w:val="0"/>
          <w:bCs w:val="0"/>
          <w:kern w:val="2"/>
          <w:sz w:val="24"/>
          <w:szCs w:val="24"/>
          <w:lang w:val="en-US" w:eastAsia="zh-CN" w:bidi="ar-SA"/>
        </w:rPr>
      </w:pPr>
      <w:bookmarkStart w:id="20" w:name="_Toc457385242"/>
      <w:bookmarkStart w:id="21" w:name="_Toc424487772"/>
      <w:bookmarkStart w:id="22" w:name="_Toc424488107"/>
      <w:r>
        <w:rPr>
          <w:rFonts w:hint="eastAsia" w:ascii="Times New Roman" w:hAnsi="Times New Roman" w:eastAsia="宋体" w:cs="Times New Roman"/>
          <w:b w:val="0"/>
          <w:bCs w:val="0"/>
          <w:kern w:val="2"/>
          <w:sz w:val="24"/>
          <w:szCs w:val="24"/>
          <w:lang w:val="en-US" w:eastAsia="zh-CN" w:bidi="ar-SA"/>
        </w:rPr>
        <w:t>1、</w:t>
      </w:r>
      <w:r>
        <w:rPr>
          <w:rFonts w:hint="eastAsia" w:ascii="Times New Roman" w:hAnsi="Times New Roman" w:eastAsia="宋体" w:cs="Times New Roman"/>
          <w:color w:val="auto"/>
          <w:lang w:val="en-US" w:eastAsia="zh-CN"/>
        </w:rPr>
        <w:t>农村</w:t>
      </w:r>
      <w:r>
        <w:rPr>
          <w:rFonts w:hint="eastAsia" w:ascii="Times New Roman" w:hAnsi="Times New Roman" w:eastAsia="宋体" w:cs="Times New Roman"/>
          <w:b w:val="0"/>
          <w:bCs w:val="0"/>
          <w:kern w:val="2"/>
          <w:sz w:val="24"/>
          <w:szCs w:val="24"/>
          <w:lang w:val="en-US" w:eastAsia="zh-CN" w:bidi="ar-SA"/>
        </w:rPr>
        <w:t>供水板块</w:t>
      </w:r>
    </w:p>
    <w:p>
      <w:pPr>
        <w:ind w:firstLine="540"/>
        <w:rPr>
          <w:snapToGrid w:val="0"/>
        </w:rPr>
      </w:pPr>
      <w:r>
        <w:rPr>
          <w:rFonts w:hint="eastAsia"/>
          <w:kern w:val="0"/>
          <w:lang w:eastAsia="zh-CN"/>
        </w:rPr>
        <w:t>马边彝族自治县</w:t>
      </w:r>
      <w:r>
        <w:rPr>
          <w:kern w:val="0"/>
        </w:rPr>
        <w:t>是</w:t>
      </w:r>
      <w:r>
        <w:t>一个</w:t>
      </w:r>
      <w:r>
        <w:rPr>
          <w:kern w:val="0"/>
        </w:rPr>
        <w:t>工程性、区域性、季节性水资源相对紧缺的地区，长期以来农村吃水难的问题十分突出。本次项目区内饮水不安全因素主要为饮用水水源保证率较低相对，存在季节性缺水问题以及汛期水质超标问题。</w:t>
      </w:r>
    </w:p>
    <w:p>
      <w:pPr>
        <w:ind w:firstLine="540"/>
        <w:rPr>
          <w:kern w:val="0"/>
        </w:rPr>
      </w:pPr>
      <w:r>
        <w:rPr>
          <w:rFonts w:ascii="Times New Roman" w:hAnsi="Times New Roman" w:eastAsia="宋体" w:cs="Times New Roman"/>
          <w:kern w:val="0"/>
        </w:rPr>
        <w:t>工程设施方面</w:t>
      </w:r>
      <w:bookmarkEnd w:id="20"/>
      <w:bookmarkEnd w:id="21"/>
      <w:bookmarkEnd w:id="22"/>
      <w:r>
        <w:rPr>
          <w:rFonts w:hint="eastAsia" w:ascii="Times New Roman" w:hAnsi="Times New Roman" w:eastAsia="宋体" w:cs="Times New Roman"/>
          <w:kern w:val="0"/>
          <w:lang w:eastAsia="zh-CN"/>
        </w:rPr>
        <w:t>。</w:t>
      </w:r>
      <w:r>
        <w:rPr>
          <w:kern w:val="0"/>
        </w:rPr>
        <w:t>多年来，</w:t>
      </w:r>
      <w:r>
        <w:rPr>
          <w:rFonts w:hint="eastAsia"/>
          <w:kern w:val="0"/>
          <w:lang w:eastAsia="zh-CN"/>
        </w:rPr>
        <w:t>马边彝族自治县</w:t>
      </w:r>
      <w:r>
        <w:rPr>
          <w:kern w:val="0"/>
        </w:rPr>
        <w:t>在解决农村饮水困难问题上成绩是可喜的，尤其是随着国家饮水安全项目的实施，工程建设步伐进一步加快。但农村</w:t>
      </w:r>
      <w:r>
        <w:rPr>
          <w:rFonts w:ascii="Times New Roman" w:hAnsi="Times New Roman" w:eastAsia="宋体" w:cs="Times New Roman"/>
          <w:color w:val="000000"/>
        </w:rPr>
        <w:t>自然</w:t>
      </w:r>
      <w:r>
        <w:rPr>
          <w:kern w:val="0"/>
        </w:rPr>
        <w:t>地理条件复杂、人口居住分散，经济社会发展水平不高，供水工程投资需求大，工程建设标准低，一些不具备条件的地区只能采取分散或单村供水工程等措施解决饮水问题。“十二五”期间，尽管工程投资标准有所提高，但在一些偏远地区，工程建设条件差，施工难度大，加之近年来建筑材料价格和人工费持续上涨，投入缺口较大。农村饮用水安全保障工作任务依然繁重。且在“十一五”期间建设的工程，由于部分地区水源变化、早期建设工程老化报废等原因，又新增了部分饮水不安全人口。</w:t>
      </w:r>
      <w:bookmarkStart w:id="23" w:name="_Toc424488108"/>
      <w:bookmarkStart w:id="24" w:name="_Toc424487773"/>
      <w:r>
        <w:rPr>
          <w:kern w:val="0"/>
        </w:rPr>
        <w:t>部分地区输配水管网年久失修，超负荷运行严重，不仅浪费水资源，而且造成泄漏损失，供水成本也加大。近年来，随着城市建设改造力度加大，城区外延，原有管网的输配水能力无法满足城市用水的发展趋势，主要存在管网密度不够，新建开发区管网不完善，管径过小等问题。</w:t>
      </w:r>
    </w:p>
    <w:p>
      <w:pPr>
        <w:ind w:firstLine="540"/>
        <w:rPr>
          <w:lang w:bidi="ar"/>
        </w:rPr>
      </w:pPr>
      <w:bookmarkStart w:id="25" w:name="_Toc457385243"/>
      <w:r>
        <w:rPr>
          <w:rFonts w:hint="eastAsia" w:ascii="Times New Roman" w:hAnsi="Times New Roman" w:eastAsia="宋体" w:cs="Times New Roman"/>
          <w:kern w:val="0"/>
          <w:lang w:val="en-US" w:eastAsia="zh-CN"/>
        </w:rPr>
        <w:t>水质保障方面</w:t>
      </w:r>
      <w:bookmarkEnd w:id="25"/>
      <w:r>
        <w:rPr>
          <w:rFonts w:hint="eastAsia" w:ascii="Times New Roman" w:hAnsi="Times New Roman" w:eastAsia="宋体" w:cs="Times New Roman"/>
          <w:kern w:val="0"/>
          <w:lang w:val="en-US" w:eastAsia="zh-CN"/>
        </w:rPr>
        <w:t>。</w:t>
      </w:r>
      <w:r>
        <w:t>因资金问题，</w:t>
      </w:r>
      <w:r>
        <w:rPr>
          <w:lang w:bidi="ar"/>
        </w:rPr>
        <w:t>部分农村供水工程，特别是早期建设的一些单村供水工程及分散工程存在着设计时未考虑水质处理和消毒设施，或虽有设计但未按要求配备、配备了但未正常使用等现象，</w:t>
      </w:r>
      <w:r>
        <w:t>受汛期暴雨影响，山溪水浊度增加，无净化处理的供水工程无法降低浊度，导致水质不达标</w:t>
      </w:r>
      <w:r>
        <w:rPr>
          <w:lang w:bidi="ar"/>
        </w:rPr>
        <w:t>。</w:t>
      </w:r>
    </w:p>
    <w:bookmarkEnd w:id="23"/>
    <w:bookmarkEnd w:id="24"/>
    <w:p>
      <w:pPr>
        <w:ind w:firstLine="540"/>
        <w:rPr>
          <w:kern w:val="0"/>
        </w:rPr>
      </w:pPr>
      <w:bookmarkStart w:id="26" w:name="_Toc424487774"/>
      <w:bookmarkStart w:id="27" w:name="_Toc424488109"/>
      <w:bookmarkStart w:id="28" w:name="_Toc457385244"/>
      <w:r>
        <w:rPr>
          <w:rFonts w:hint="eastAsia" w:ascii="Times New Roman" w:hAnsi="Times New Roman" w:eastAsia="宋体" w:cs="Times New Roman"/>
          <w:kern w:val="0"/>
          <w:lang w:val="en-US" w:eastAsia="zh-CN"/>
        </w:rPr>
        <w:t>工程运行维护</w:t>
      </w:r>
      <w:bookmarkEnd w:id="26"/>
      <w:bookmarkEnd w:id="27"/>
      <w:bookmarkEnd w:id="28"/>
      <w:r>
        <w:rPr>
          <w:rFonts w:hint="eastAsia" w:ascii="Times New Roman" w:hAnsi="Times New Roman" w:eastAsia="宋体" w:cs="Times New Roman"/>
          <w:kern w:val="0"/>
          <w:lang w:val="en-US" w:eastAsia="zh-CN"/>
        </w:rPr>
        <w:t>方面。</w:t>
      </w:r>
      <w:r>
        <w:rPr>
          <w:rFonts w:hint="eastAsia"/>
          <w:kern w:val="0"/>
          <w:lang w:eastAsia="zh-CN"/>
        </w:rPr>
        <w:t>马边彝族自治县</w:t>
      </w:r>
      <w:r>
        <w:t>农村</w:t>
      </w:r>
      <w:r>
        <w:rPr>
          <w:kern w:val="0"/>
        </w:rPr>
        <w:t>饮水安全工程“重建轻管”的现象仍然存在，除规模较大的县城自来水厂管理较为完善外，其余部分农村供水工程在运行管理方面还有体制不顺、机制不活等弊端，并且工程权属不明，责权不明确，加之有些工程的管理人员</w:t>
      </w:r>
      <w:r>
        <w:t>业务</w:t>
      </w:r>
      <w:r>
        <w:rPr>
          <w:kern w:val="0"/>
        </w:rPr>
        <w:t>能力差，工程难以充分发挥效益。二是现有的农村供水工程多未收取水费，或收取水费执行力度不足，未按核定的水价及实际的水量进行收取，收费回收率低，致使用水粗放，浪费严重。国家养水，福利供水的不良局面仍需进一步转变。</w:t>
      </w:r>
      <w:r>
        <w:t>农村</w:t>
      </w:r>
      <w:r>
        <w:rPr>
          <w:lang w:bidi="ar"/>
        </w:rPr>
        <w:t>供水工程由于规模小，经营分散，运行管理费用低，管理上难度大，问题较多。多年来，全县农村人饮水工程的管理出现政出多门，各自为阵的现象，很难实现水资源的统一管理，政府水行政主管部门统一管理水资源的权威性尚未全面树立，没有形成完善的资产管理体系、投融资体系、水价体系和水行政服务体系。部分农村供水工程由于管理人员文化水平较低，业务不精，管理水平低，服务制度不健全，服务意识差，服务工作不到位，用水户节水意识不强，工程运行不够理想，经济效益低。</w:t>
      </w:r>
    </w:p>
    <w:p>
      <w:pPr>
        <w:ind w:firstLine="540"/>
        <w:rPr>
          <w:kern w:val="0"/>
        </w:rPr>
      </w:pPr>
      <w:r>
        <w:rPr>
          <w:rFonts w:hint="eastAsia" w:ascii="Times New Roman" w:hAnsi="Times New Roman" w:eastAsia="宋体" w:cs="Times New Roman"/>
          <w:kern w:val="0"/>
          <w:lang w:val="en-US" w:eastAsia="zh-CN"/>
        </w:rPr>
        <w:t>水源保证率，生活用水量及用水方便程度方面的问题。</w:t>
      </w:r>
      <w:r>
        <w:rPr>
          <w:kern w:val="0"/>
        </w:rPr>
        <w:t>全县农村</w:t>
      </w:r>
      <w:r>
        <w:t>饮水</w:t>
      </w:r>
      <w:r>
        <w:rPr>
          <w:kern w:val="0"/>
        </w:rPr>
        <w:t>存在着水源保证率低、遇有天旱就出现缺水和用水量不足、用水不方便、取水距离远的问题。</w:t>
      </w:r>
      <w:r>
        <w:rPr>
          <w:rFonts w:hint="eastAsia"/>
          <w:kern w:val="0"/>
          <w:lang w:eastAsia="zh-CN"/>
        </w:rPr>
        <w:t>一是</w:t>
      </w:r>
      <w:r>
        <w:rPr>
          <w:kern w:val="0"/>
        </w:rPr>
        <w:t>水源保证率低</w:t>
      </w:r>
      <w:r>
        <w:rPr>
          <w:rFonts w:hint="eastAsia"/>
          <w:kern w:val="0"/>
          <w:lang w:eastAsia="zh-CN"/>
        </w:rPr>
        <w:t>，</w:t>
      </w:r>
      <w:r>
        <w:rPr>
          <w:kern w:val="0"/>
        </w:rPr>
        <w:t>因全县降雨时段不均，多集中在5-10月，冬季水源保证率低</w:t>
      </w:r>
      <w:r>
        <w:rPr>
          <w:rFonts w:hint="eastAsia"/>
          <w:kern w:val="0"/>
          <w:lang w:eastAsia="zh-CN"/>
        </w:rPr>
        <w:t>；二是</w:t>
      </w:r>
      <w:r>
        <w:rPr>
          <w:kern w:val="0"/>
        </w:rPr>
        <w:t>全县存在生活用水量不足</w:t>
      </w:r>
      <w:r>
        <w:rPr>
          <w:rFonts w:hint="eastAsia"/>
          <w:kern w:val="0"/>
          <w:lang w:eastAsia="zh-CN"/>
        </w:rPr>
        <w:t>，</w:t>
      </w:r>
      <w:r>
        <w:rPr>
          <w:kern w:val="0"/>
        </w:rPr>
        <w:t>该类问题的主要原因是现有供水工程规模较小，不能</w:t>
      </w:r>
      <w:r>
        <w:t>满足</w:t>
      </w:r>
      <w:r>
        <w:rPr>
          <w:kern w:val="0"/>
        </w:rPr>
        <w:t>实际需要</w:t>
      </w:r>
      <w:r>
        <w:rPr>
          <w:rFonts w:hint="eastAsia"/>
          <w:kern w:val="0"/>
          <w:lang w:eastAsia="zh-CN"/>
        </w:rPr>
        <w:t>；三是</w:t>
      </w:r>
      <w:r>
        <w:rPr>
          <w:kern w:val="0"/>
        </w:rPr>
        <w:t>部分高山地区用水方便程度低，常年靠背水吃，生活用水需要花费大量劳力和时间</w:t>
      </w:r>
      <w:r>
        <w:rPr>
          <w:rFonts w:hint="eastAsia"/>
          <w:kern w:val="0"/>
          <w:lang w:eastAsia="zh-CN"/>
        </w:rPr>
        <w:t>，</w:t>
      </w:r>
      <w:r>
        <w:rPr>
          <w:kern w:val="0"/>
        </w:rPr>
        <w:t>这些人口分布较广，居住分散，多是单家独户，无供水设施，饮水靠传统背水，经济落后，建集中供水工程难度较大。</w:t>
      </w:r>
    </w:p>
    <w:p>
      <w:pPr>
        <w:ind w:firstLine="484" w:firstLineChars="200"/>
        <w:rPr>
          <w:rFonts w:hint="default" w:eastAsia="宋体"/>
          <w:kern w:val="0"/>
          <w:lang w:val="en-US" w:eastAsia="zh-CN"/>
        </w:rPr>
      </w:pPr>
      <w:r>
        <w:rPr>
          <w:rFonts w:hint="eastAsia"/>
          <w:kern w:val="0"/>
          <w:lang w:val="en-US" w:eastAsia="zh-CN"/>
        </w:rPr>
        <w:t>2、农业灌溉板块</w:t>
      </w:r>
    </w:p>
    <w:p>
      <w:pPr>
        <w:ind w:firstLine="484" w:firstLineChars="200"/>
        <w:rPr>
          <w:rFonts w:hint="default" w:ascii="华文仿宋" w:hAnsi="华文仿宋" w:eastAsia="宋体" w:cs="Times New Roman"/>
          <w:lang w:val="en-US" w:eastAsia="zh-CN"/>
        </w:rPr>
      </w:pPr>
      <w:r>
        <w:rPr>
          <w:rFonts w:hint="eastAsia" w:cs="Times New Roman"/>
          <w:lang w:eastAsia="zh-CN"/>
        </w:rPr>
        <w:t>马边彝族自治县</w:t>
      </w:r>
      <w:r>
        <w:rPr>
          <w:rFonts w:hint="eastAsia" w:cs="Times New Roman"/>
        </w:rPr>
        <w:t>现状有效灌溉面积8.94</w:t>
      </w:r>
      <w:r>
        <w:rPr>
          <w:rFonts w:cs="Times New Roman"/>
        </w:rPr>
        <w:t>万亩，</w:t>
      </w:r>
      <w:r>
        <w:rPr>
          <w:rFonts w:hint="eastAsia" w:cs="Times New Roman"/>
        </w:rPr>
        <w:t>现有渠道长</w:t>
      </w:r>
      <w:r>
        <w:rPr>
          <w:rFonts w:cs="Times New Roman"/>
        </w:rPr>
        <w:t>1095.26</w:t>
      </w:r>
      <w:r>
        <w:rPr>
          <w:rFonts w:hint="eastAsia" w:cs="Times New Roman"/>
        </w:rPr>
        <w:t>公里，其中已衬砌渠道长度为</w:t>
      </w:r>
      <w:r>
        <w:rPr>
          <w:rFonts w:cs="Times New Roman"/>
        </w:rPr>
        <w:t>751.28</w:t>
      </w:r>
      <w:r>
        <w:rPr>
          <w:rFonts w:hint="eastAsia" w:cs="Times New Roman"/>
        </w:rPr>
        <w:t>公里，已衬砌渠道中老损情况较为严重</w:t>
      </w:r>
      <w:r>
        <w:rPr>
          <w:rFonts w:ascii="华文仿宋" w:hAnsi="华文仿宋" w:cs="Times New Roman"/>
        </w:rPr>
        <w:t>。受资金限制</w:t>
      </w:r>
      <w:r>
        <w:rPr>
          <w:rFonts w:hint="eastAsia" w:ascii="华文仿宋" w:hAnsi="华文仿宋" w:cs="Times New Roman"/>
        </w:rPr>
        <w:t>，</w:t>
      </w:r>
      <w:r>
        <w:rPr>
          <w:rFonts w:ascii="华文仿宋" w:hAnsi="华文仿宋" w:cs="Times New Roman"/>
        </w:rPr>
        <w:t>灌区</w:t>
      </w:r>
      <w:r>
        <w:rPr>
          <w:rFonts w:hint="eastAsia" w:ascii="华文仿宋" w:hAnsi="华文仿宋" w:cs="Times New Roman"/>
        </w:rPr>
        <w:t>渠系</w:t>
      </w:r>
      <w:r>
        <w:rPr>
          <w:rFonts w:ascii="华文仿宋" w:hAnsi="华文仿宋" w:cs="Times New Roman"/>
        </w:rPr>
        <w:t>配套与现代化改造欠账较大</w:t>
      </w:r>
      <w:r>
        <w:rPr>
          <w:rFonts w:hint="eastAsia" w:ascii="华文仿宋" w:hAnsi="华文仿宋" w:cs="Times New Roman"/>
        </w:rPr>
        <w:t>，</w:t>
      </w:r>
      <w:r>
        <w:rPr>
          <w:rFonts w:ascii="华文仿宋" w:hAnsi="华文仿宋" w:cs="Times New Roman"/>
        </w:rPr>
        <w:t>全</w:t>
      </w:r>
      <w:r>
        <w:rPr>
          <w:rFonts w:hint="eastAsia" w:ascii="华文仿宋" w:hAnsi="华文仿宋" w:cs="Times New Roman"/>
        </w:rPr>
        <w:t>县</w:t>
      </w:r>
      <w:r>
        <w:rPr>
          <w:rFonts w:ascii="华文仿宋" w:hAnsi="华文仿宋" w:cs="Times New Roman"/>
        </w:rPr>
        <w:t>灌溉用水有效利用系数仅为</w:t>
      </w:r>
      <w:r>
        <w:rPr>
          <w:rFonts w:cs="Times New Roman"/>
        </w:rPr>
        <w:t>0.492</w:t>
      </w:r>
      <w:r>
        <w:rPr>
          <w:rFonts w:ascii="华文仿宋" w:hAnsi="华文仿宋" w:cs="Times New Roman"/>
        </w:rPr>
        <w:t>，低于全国平均水平</w:t>
      </w:r>
      <w:r>
        <w:rPr>
          <w:rFonts w:cs="Times New Roman"/>
        </w:rPr>
        <w:t>0.53</w:t>
      </w:r>
      <w:r>
        <w:rPr>
          <w:rFonts w:ascii="华文仿宋" w:hAnsi="华文仿宋" w:cs="Times New Roman"/>
        </w:rPr>
        <w:t>，与节水灌溉技术规范及节水改造长远规划相差较远。</w:t>
      </w:r>
      <w:r>
        <w:rPr>
          <w:rFonts w:hint="eastAsia" w:ascii="华文仿宋" w:hAnsi="华文仿宋" w:cs="Times New Roman"/>
        </w:rPr>
        <w:t>现状全县已成灌区大多修建于上世纪八、九十年代，建设标准低，灌区建筑物年久失修，老化破损的情况非常突出，严重影响建筑物的正常运行。灌区渠道特别是末级渠道大部分还是土渠，渗漏大、淤积严重</w:t>
      </w:r>
      <w:r>
        <w:rPr>
          <w:rFonts w:ascii="华文仿宋" w:hAnsi="华文仿宋" w:cs="Times New Roman"/>
        </w:rPr>
        <w:t>。另外灌区缺乏专门的量水设施和自动控制设施，给用水的高效管理带来极大的难度，不利于灌区管理体制及水费改革的实施。因此农田水利基础设施建设的滞后，已成为制约现代农业发展的明显短板，急待配套完善。</w:t>
      </w:r>
    </w:p>
    <w:p>
      <w:pPr>
        <w:ind w:firstLine="484" w:firstLineChars="200"/>
        <w:rPr>
          <w:rFonts w:hint="eastAsia" w:ascii="华文仿宋" w:hAnsi="华文仿宋" w:eastAsia="宋体" w:cs="Times New Roman"/>
          <w:lang w:val="en-US" w:eastAsia="zh-CN"/>
        </w:rPr>
      </w:pPr>
      <w:r>
        <w:rPr>
          <w:rFonts w:hint="eastAsia" w:ascii="华文仿宋" w:hAnsi="华文仿宋" w:eastAsia="宋体" w:cs="Times New Roman"/>
          <w:lang w:val="en-US" w:eastAsia="zh-CN"/>
        </w:rPr>
        <w:t>3、</w:t>
      </w:r>
      <w:r>
        <w:rPr>
          <w:rFonts w:hint="eastAsia" w:ascii="华文仿宋" w:hAnsi="华文仿宋" w:eastAsia="宋体" w:cs="Times New Roman"/>
        </w:rPr>
        <w:t>水库及其渠道</w:t>
      </w:r>
      <w:r>
        <w:rPr>
          <w:rFonts w:hint="eastAsia" w:ascii="华文仿宋" w:hAnsi="华文仿宋" w:eastAsia="宋体" w:cs="Times New Roman"/>
          <w:lang w:val="en-US" w:eastAsia="zh-CN"/>
        </w:rPr>
        <w:t>板块</w:t>
      </w:r>
    </w:p>
    <w:p>
      <w:pPr>
        <w:ind w:firstLine="540"/>
        <w:rPr>
          <w:rFonts w:hint="eastAsia" w:cs="Times New Roman"/>
          <w:lang w:val="en-US" w:eastAsia="zh-CN"/>
        </w:rPr>
      </w:pPr>
      <w:r>
        <w:rPr>
          <w:rFonts w:hint="eastAsia" w:cs="Times New Roman"/>
          <w:lang w:val="en-US" w:eastAsia="zh-CN"/>
        </w:rPr>
        <w:t>马边彝族自治县由于历史及地形原因，目前尚未有建成蓄水的水库。为保障全县供水能力，加强水源工程建设，“十三五”期间马边彝族自治县把</w:t>
      </w:r>
      <w:r>
        <w:rPr>
          <w:rFonts w:hint="eastAsia" w:ascii="华文仿宋" w:hAnsi="华文仿宋" w:cs="Times New Roman"/>
          <w:lang w:val="en-US" w:eastAsia="zh-CN"/>
        </w:rPr>
        <w:t>青龙水库和</w:t>
      </w:r>
      <w:r>
        <w:rPr>
          <w:rFonts w:hint="eastAsia" w:cs="Times New Roman"/>
        </w:rPr>
        <w:t>芦稿溪水库</w:t>
      </w:r>
      <w:r>
        <w:rPr>
          <w:rFonts w:hint="eastAsia" w:cs="Times New Roman"/>
          <w:lang w:val="en-US" w:eastAsia="zh-CN"/>
        </w:rPr>
        <w:t>作为</w:t>
      </w:r>
      <w:r>
        <w:rPr>
          <w:rFonts w:hint="eastAsia" w:cs="Times New Roman"/>
        </w:rPr>
        <w:t>重点水利项目</w:t>
      </w:r>
      <w:r>
        <w:rPr>
          <w:rFonts w:hint="eastAsia" w:cs="Times New Roman"/>
          <w:lang w:val="en-US" w:eastAsia="zh-CN"/>
        </w:rPr>
        <w:t>推进，目前，青龙水库已基本建成，待进行蓄水安全鉴定后即可蓄水运行，</w:t>
      </w:r>
      <w:r>
        <w:rPr>
          <w:rFonts w:hint="eastAsia" w:cs="Times New Roman"/>
        </w:rPr>
        <w:t>芦稿溪水库前期工作</w:t>
      </w:r>
      <w:r>
        <w:rPr>
          <w:rFonts w:hint="eastAsia" w:cs="Times New Roman"/>
          <w:lang w:val="en-US" w:eastAsia="zh-CN"/>
        </w:rPr>
        <w:t>也在</w:t>
      </w:r>
      <w:r>
        <w:rPr>
          <w:rFonts w:hint="eastAsia" w:cs="Times New Roman"/>
        </w:rPr>
        <w:t>持续推进</w:t>
      </w:r>
      <w:r>
        <w:rPr>
          <w:rFonts w:hint="eastAsia" w:cs="Times New Roman"/>
          <w:lang w:val="en-US" w:eastAsia="zh-CN"/>
        </w:rPr>
        <w:t>中。但由于青龙水库为新建水库，其配套渠系仍在建设中，目前尚不能满足灌溉用水需求。</w:t>
      </w:r>
    </w:p>
    <w:p>
      <w:pPr>
        <w:ind w:firstLine="484" w:firstLineChars="200"/>
        <w:rPr>
          <w:rFonts w:hint="default" w:cs="Times New Roman"/>
          <w:color w:val="auto"/>
          <w:lang w:val="en-US" w:eastAsia="zh-CN"/>
        </w:rPr>
      </w:pPr>
      <w:r>
        <w:rPr>
          <w:rFonts w:hint="eastAsia" w:ascii="华文仿宋" w:hAnsi="华文仿宋" w:eastAsia="宋体" w:cs="Times New Roman"/>
          <w:lang w:val="en-US" w:eastAsia="zh-CN"/>
        </w:rPr>
        <w:t>4、</w:t>
      </w:r>
      <w:r>
        <w:rPr>
          <w:rFonts w:hint="eastAsia" w:cs="Times New Roman"/>
          <w:color w:val="auto"/>
          <w:lang w:val="en-US" w:eastAsia="zh-CN"/>
        </w:rPr>
        <w:t>水美新村板块</w:t>
      </w:r>
    </w:p>
    <w:p>
      <w:pPr>
        <w:ind w:firstLine="484" w:firstLineChars="200"/>
        <w:rPr>
          <w:rFonts w:hint="eastAsia" w:ascii="华文仿宋" w:hAnsi="华文仿宋" w:eastAsia="宋体" w:cs="Times New Roman"/>
          <w:lang w:eastAsia="zh-CN"/>
        </w:rPr>
      </w:pPr>
      <w:r>
        <w:rPr>
          <w:rFonts w:hint="eastAsia" w:ascii="华文仿宋" w:hAnsi="华文仿宋" w:eastAsia="宋体" w:cs="Times New Roman"/>
        </w:rPr>
        <w:t>党的十八大以来，习近平总书记多次强调</w:t>
      </w:r>
      <w:r>
        <w:rPr>
          <w:rFonts w:hint="eastAsia" w:ascii="华文仿宋" w:hAnsi="华文仿宋" w:eastAsia="宋体" w:cs="Times New Roman"/>
          <w:lang w:eastAsia="zh-CN"/>
        </w:rPr>
        <w:t>“</w:t>
      </w:r>
      <w:r>
        <w:rPr>
          <w:rFonts w:hint="eastAsia" w:ascii="华文仿宋" w:hAnsi="华文仿宋" w:eastAsia="宋体" w:cs="Times New Roman"/>
        </w:rPr>
        <w:t>绿水青山就是金山银山</w:t>
      </w:r>
      <w:r>
        <w:rPr>
          <w:rFonts w:hint="eastAsia" w:ascii="华文仿宋" w:hAnsi="华文仿宋" w:eastAsia="宋体" w:cs="Times New Roman"/>
          <w:lang w:eastAsia="zh-CN"/>
        </w:rPr>
        <w:t>”</w:t>
      </w:r>
      <w:r>
        <w:rPr>
          <w:rFonts w:hint="eastAsia" w:ascii="华文仿宋" w:hAnsi="华文仿宋" w:eastAsia="宋体" w:cs="Times New Roman"/>
        </w:rPr>
        <w:t>，党的十九大报告也明确提出</w:t>
      </w:r>
      <w:r>
        <w:rPr>
          <w:rFonts w:hint="eastAsia" w:ascii="华文仿宋" w:hAnsi="华文仿宋" w:eastAsia="宋体" w:cs="Times New Roman"/>
          <w:lang w:eastAsia="zh-CN"/>
        </w:rPr>
        <w:t>“</w:t>
      </w:r>
      <w:r>
        <w:rPr>
          <w:rFonts w:hint="eastAsia" w:ascii="华文仿宋" w:hAnsi="华文仿宋" w:eastAsia="宋体" w:cs="Times New Roman"/>
        </w:rPr>
        <w:t>必须树立和践行绿水青山就是金山银山的理念</w:t>
      </w:r>
      <w:r>
        <w:rPr>
          <w:rFonts w:hint="eastAsia" w:ascii="华文仿宋" w:hAnsi="华文仿宋" w:eastAsia="宋体" w:cs="Times New Roman"/>
          <w:lang w:eastAsia="zh-CN"/>
        </w:rPr>
        <w:t>”</w:t>
      </w:r>
      <w:r>
        <w:rPr>
          <w:rFonts w:hint="eastAsia" w:ascii="华文仿宋" w:hAnsi="华文仿宋" w:eastAsia="宋体" w:cs="Times New Roman"/>
        </w:rPr>
        <w:t>。目前，生态建设已提高到相当高度，水系绿化、水源涵养林建设在生态建设中的作用是不可忽视的，要让广大群众就近感受到水利带来的生活便利，享受优美水环境，提升群众幸福指数，建设好水美新村，助力乡村振兴。</w:t>
      </w:r>
      <w:r>
        <w:rPr>
          <w:rFonts w:hint="eastAsia" w:ascii="华文仿宋" w:hAnsi="华文仿宋" w:cs="Times New Roman"/>
          <w:lang w:eastAsia="zh-CN"/>
        </w:rPr>
        <w:t>马边彝族自治县</w:t>
      </w:r>
      <w:r>
        <w:rPr>
          <w:rFonts w:hint="eastAsia" w:ascii="华文仿宋" w:hAnsi="华文仿宋" w:eastAsia="宋体" w:cs="Times New Roman"/>
          <w:lang w:eastAsia="zh-CN"/>
        </w:rPr>
        <w:t>现有</w:t>
      </w:r>
      <w:r>
        <w:rPr>
          <w:rFonts w:hint="eastAsia" w:ascii="华文仿宋" w:hAnsi="华文仿宋" w:eastAsia="宋体" w:cs="Times New Roman"/>
        </w:rPr>
        <w:t>123个行政村</w:t>
      </w:r>
      <w:r>
        <w:rPr>
          <w:rFonts w:hint="eastAsia" w:ascii="华文仿宋" w:hAnsi="华文仿宋" w:eastAsia="宋体" w:cs="Times New Roman"/>
          <w:lang w:eastAsia="zh-CN"/>
        </w:rPr>
        <w:t>，但目前仅有</w:t>
      </w:r>
      <w:r>
        <w:rPr>
          <w:rFonts w:hint="eastAsia" w:ascii="华文仿宋" w:hAnsi="华文仿宋" w:eastAsia="宋体" w:cs="Times New Roman"/>
        </w:rPr>
        <w:t>13个村完成了的水美新村的建设</w:t>
      </w:r>
      <w:r>
        <w:rPr>
          <w:rFonts w:hint="eastAsia" w:ascii="华文仿宋" w:hAnsi="华文仿宋" w:eastAsia="宋体" w:cs="Times New Roman"/>
          <w:lang w:eastAsia="zh-CN"/>
        </w:rPr>
        <w:t>。</w:t>
      </w:r>
    </w:p>
    <w:p>
      <w:pPr>
        <w:ind w:firstLine="484" w:firstLineChars="200"/>
        <w:rPr>
          <w:rFonts w:hint="default" w:cs="Times New Roman"/>
          <w:lang w:val="en-US" w:eastAsia="zh-CN"/>
        </w:rPr>
      </w:pPr>
      <w:r>
        <w:rPr>
          <w:rFonts w:hint="eastAsia" w:ascii="华文仿宋" w:hAnsi="华文仿宋" w:eastAsia="宋体" w:cs="Times New Roman"/>
          <w:lang w:val="en-US" w:eastAsia="zh-CN"/>
        </w:rPr>
        <w:t>5、</w:t>
      </w:r>
      <w:r>
        <w:rPr>
          <w:rFonts w:hint="eastAsia" w:ascii="Times New Roman" w:hAnsi="Times New Roman" w:eastAsia="宋体" w:cs="Times New Roman"/>
          <w:lang w:val="en-US" w:eastAsia="zh-CN"/>
        </w:rPr>
        <w:t>工程</w:t>
      </w:r>
      <w:r>
        <w:rPr>
          <w:rFonts w:hint="eastAsia" w:cs="Times New Roman"/>
          <w:lang w:val="en-US" w:eastAsia="zh-CN"/>
        </w:rPr>
        <w:t>管理</w:t>
      </w:r>
    </w:p>
    <w:p>
      <w:pPr>
        <w:ind w:firstLine="484" w:firstLineChars="200"/>
        <w:rPr>
          <w:rFonts w:cs="Times New Roman"/>
        </w:rPr>
      </w:pPr>
      <w:r>
        <w:rPr>
          <w:rFonts w:hint="eastAsia" w:ascii="华文仿宋" w:hAnsi="华文仿宋" w:cs="Times New Roman"/>
          <w:lang w:eastAsia="zh-CN"/>
        </w:rPr>
        <w:t>马边彝族自治县</w:t>
      </w:r>
      <w:r>
        <w:rPr>
          <w:rFonts w:hint="eastAsia" w:ascii="华文仿宋" w:hAnsi="华文仿宋" w:cs="Times New Roman"/>
        </w:rPr>
        <w:t>面临经济发展方式转变、产业结构优化升级、优化空间布局等以转型促发展推进跨越式发展的新阶段，经济社会发展面临着更为严峻的资源环境约束，对全县水资源管理提出了新的更高要求。而落实最严格的水资源管理制度，是应对区域严峻的水资源形势、解决复杂水资源问题的根本要求。它不仅仅是对用水方的严格管理，同时给加强水资源管理带来前所未有的机遇，更是对水资源管理者的严格要求，使得现行水资源管理体制、机制、理念、制度、手段和能力等面临严峻挑战。</w:t>
      </w:r>
      <w:r>
        <w:rPr>
          <w:rFonts w:hint="eastAsia" w:cs="Times New Roman"/>
        </w:rPr>
        <w:t>“十三五”期间，</w:t>
      </w:r>
      <w:r>
        <w:rPr>
          <w:rFonts w:hint="eastAsia" w:cs="Times New Roman"/>
          <w:lang w:eastAsia="zh-CN"/>
        </w:rPr>
        <w:t>马边彝族自治县</w:t>
      </w:r>
      <w:r>
        <w:rPr>
          <w:rFonts w:hint="eastAsia" w:cs="Times New Roman"/>
        </w:rPr>
        <w:t>由于缺乏科学、合理的水资源管理机制和水价机制，群众节水意识比较淡漠，仍然存在用水浪费的现象。</w:t>
      </w:r>
      <w:r>
        <w:rPr>
          <w:rFonts w:hint="eastAsia" w:cs="Times New Roman"/>
          <w:lang w:eastAsia="zh-CN"/>
        </w:rPr>
        <w:t>马边彝族自治县</w:t>
      </w:r>
      <w:r>
        <w:rPr>
          <w:rFonts w:hint="eastAsia" w:cs="Times New Roman"/>
        </w:rPr>
        <w:t>现状农田灌溉水有效利用系数仅</w:t>
      </w:r>
      <w:r>
        <w:rPr>
          <w:rFonts w:cs="Times New Roman"/>
        </w:rPr>
        <w:t>0.492</w:t>
      </w:r>
      <w:r>
        <w:rPr>
          <w:rFonts w:hint="eastAsia" w:ascii="华文仿宋" w:hAnsi="华文仿宋" w:cs="Times New Roman"/>
        </w:rPr>
        <w:t>，低于全国</w:t>
      </w:r>
      <w:r>
        <w:rPr>
          <w:rFonts w:hint="eastAsia" w:cs="Times New Roman"/>
        </w:rPr>
        <w:t>0.53</w:t>
      </w:r>
      <w:r>
        <w:rPr>
          <w:rFonts w:hint="eastAsia" w:ascii="华文仿宋" w:hAnsi="华文仿宋" w:cs="Times New Roman"/>
        </w:rPr>
        <w:t>的平均水平，需进一步加强农业节水改造，提高农业用水效率。</w:t>
      </w:r>
    </w:p>
    <w:p>
      <w:pPr>
        <w:numPr>
          <w:ilvl w:val="0"/>
          <w:numId w:val="8"/>
        </w:numPr>
        <w:ind w:firstLine="540"/>
        <w:rPr>
          <w:rFonts w:hint="default" w:cs="Times New Roman"/>
          <w:lang w:val="en-US" w:eastAsia="zh-CN"/>
        </w:rPr>
        <w:sectPr>
          <w:footerReference r:id="rId13" w:type="default"/>
          <w:pgSz w:w="11906" w:h="16838"/>
          <w:pgMar w:top="1814" w:right="1588" w:bottom="1701" w:left="1588" w:header="851" w:footer="992" w:gutter="0"/>
          <w:cols w:space="720" w:num="1"/>
          <w:docGrid w:type="linesAndChars" w:linePitch="475" w:charSpace="512"/>
        </w:sectPr>
      </w:pPr>
    </w:p>
    <w:p>
      <w:pPr>
        <w:pStyle w:val="4"/>
        <w:spacing w:line="240" w:lineRule="auto"/>
        <w:jc w:val="center"/>
        <w:rPr>
          <w:rFonts w:eastAsia="黑体"/>
          <w:b w:val="0"/>
          <w:color w:val="000000"/>
          <w:sz w:val="36"/>
          <w:szCs w:val="36"/>
        </w:rPr>
      </w:pPr>
      <w:bookmarkStart w:id="29" w:name="_Toc36028999"/>
      <w:r>
        <w:rPr>
          <w:rFonts w:hint="eastAsia" w:eastAsia="黑体"/>
          <w:b w:val="0"/>
          <w:color w:val="000000"/>
          <w:sz w:val="36"/>
          <w:szCs w:val="36"/>
          <w:lang w:val="en-US" w:eastAsia="zh-CN"/>
        </w:rPr>
        <w:t>2</w:t>
      </w:r>
      <w:r>
        <w:rPr>
          <w:rFonts w:eastAsia="黑体"/>
          <w:b w:val="0"/>
          <w:color w:val="000000"/>
          <w:sz w:val="36"/>
          <w:szCs w:val="36"/>
        </w:rPr>
        <w:t>规划指导思想与目标任务</w:t>
      </w:r>
      <w:bookmarkEnd w:id="29"/>
    </w:p>
    <w:p>
      <w:pPr>
        <w:pStyle w:val="5"/>
        <w:spacing w:line="240" w:lineRule="auto"/>
        <w:rPr>
          <w:rFonts w:ascii="Times New Roman" w:hAnsi="Times New Roman"/>
          <w:b w:val="0"/>
          <w:color w:val="000000"/>
          <w:sz w:val="30"/>
          <w:szCs w:val="30"/>
        </w:rPr>
      </w:pPr>
      <w:bookmarkStart w:id="30" w:name="_Toc36029000"/>
      <w:r>
        <w:rPr>
          <w:rFonts w:hint="eastAsia" w:ascii="Times New Roman" w:hAnsi="Times New Roman"/>
          <w:b w:val="0"/>
          <w:color w:val="000000"/>
          <w:sz w:val="30"/>
          <w:szCs w:val="30"/>
          <w:lang w:val="en-US" w:eastAsia="zh-CN"/>
        </w:rPr>
        <w:t>2</w:t>
      </w:r>
      <w:r>
        <w:rPr>
          <w:rFonts w:ascii="Times New Roman" w:hAnsi="Times New Roman"/>
          <w:b w:val="0"/>
          <w:color w:val="000000"/>
          <w:sz w:val="30"/>
          <w:szCs w:val="30"/>
        </w:rPr>
        <w:t>.1规划编制依据</w:t>
      </w:r>
      <w:bookmarkEnd w:id="30"/>
    </w:p>
    <w:p>
      <w:pPr>
        <w:ind w:firstLine="540"/>
      </w:pPr>
      <w:r>
        <w:t>本规划编制主要依据以下政策性文件及相关标准、技术规范、规程：</w:t>
      </w:r>
    </w:p>
    <w:p>
      <w:pPr>
        <w:numPr>
          <w:ilvl w:val="0"/>
          <w:numId w:val="9"/>
        </w:numPr>
        <w:spacing w:line="540" w:lineRule="exact"/>
        <w:ind w:left="242" w:leftChars="0" w:firstLineChars="0"/>
        <w:rPr>
          <w:rFonts w:hint="eastAsia"/>
          <w:lang w:eastAsia="zh-CN"/>
        </w:rPr>
      </w:pPr>
      <w:r>
        <w:rPr>
          <w:rFonts w:hint="eastAsia"/>
          <w:lang w:eastAsia="zh-CN"/>
        </w:rPr>
        <w:t>《关于加强新时期农村水利工作助力乡村振兴发展的知道意见》（川农领办</w:t>
      </w:r>
      <w:r>
        <w:rPr>
          <w:rFonts w:hint="eastAsia"/>
          <w:lang w:val="en-US" w:eastAsia="zh-CN"/>
        </w:rPr>
        <w:t>[2021]48号</w:t>
      </w:r>
      <w:r>
        <w:rPr>
          <w:rFonts w:hint="eastAsia"/>
          <w:lang w:eastAsia="zh-CN"/>
        </w:rPr>
        <w:t>）；</w:t>
      </w:r>
    </w:p>
    <w:p>
      <w:pPr>
        <w:numPr>
          <w:ilvl w:val="0"/>
          <w:numId w:val="9"/>
        </w:numPr>
        <w:spacing w:line="540" w:lineRule="exact"/>
        <w:ind w:left="242" w:leftChars="0" w:firstLineChars="0"/>
        <w:rPr>
          <w:rFonts w:hint="eastAsia"/>
          <w:lang w:eastAsia="zh-CN"/>
        </w:rPr>
      </w:pPr>
      <w:r>
        <w:t>《</w:t>
      </w:r>
      <w:r>
        <w:rPr>
          <w:rFonts w:hint="eastAsia"/>
          <w:lang w:eastAsia="zh-CN"/>
        </w:rPr>
        <w:t>关于开展县级“十四五”新时期农村水利规划编制工作的通知</w:t>
      </w:r>
      <w:r>
        <w:t>》（</w:t>
      </w:r>
      <w:r>
        <w:rPr>
          <w:rFonts w:hint="eastAsia"/>
          <w:lang w:eastAsia="zh-CN"/>
        </w:rPr>
        <w:t>川水</w:t>
      </w:r>
      <w:r>
        <w:t>函[20</w:t>
      </w:r>
      <w:r>
        <w:rPr>
          <w:rFonts w:hint="eastAsia"/>
          <w:lang w:val="en-US" w:eastAsia="zh-CN"/>
        </w:rPr>
        <w:t>21</w:t>
      </w:r>
      <w:r>
        <w:t>]</w:t>
      </w:r>
      <w:r>
        <w:rPr>
          <w:rFonts w:hint="eastAsia"/>
          <w:lang w:val="en-US" w:eastAsia="zh-CN"/>
        </w:rPr>
        <w:t>1089</w:t>
      </w:r>
      <w:r>
        <w:t>号）</w:t>
      </w:r>
      <w:r>
        <w:rPr>
          <w:rFonts w:hint="eastAsia"/>
          <w:lang w:eastAsia="zh-CN"/>
        </w:rPr>
        <w:t>；</w:t>
      </w:r>
    </w:p>
    <w:p>
      <w:pPr>
        <w:spacing w:line="540" w:lineRule="exact"/>
        <w:rPr>
          <w:color w:val="000000"/>
        </w:rPr>
      </w:pPr>
      <w:r>
        <w:rPr>
          <w:rFonts w:hint="eastAsia"/>
          <w:color w:val="000000"/>
          <w:lang w:eastAsia="zh-CN"/>
        </w:rPr>
        <w:t>（</w:t>
      </w:r>
      <w:r>
        <w:rPr>
          <w:rFonts w:hint="eastAsia"/>
          <w:color w:val="000000"/>
          <w:lang w:val="en-US" w:eastAsia="zh-CN"/>
        </w:rPr>
        <w:t>3</w:t>
      </w:r>
      <w:r>
        <w:rPr>
          <w:rFonts w:hint="eastAsia"/>
          <w:color w:val="000000"/>
          <w:lang w:eastAsia="zh-CN"/>
        </w:rPr>
        <w:t>）</w:t>
      </w:r>
      <w:r>
        <w:rPr>
          <w:color w:val="000000"/>
        </w:rPr>
        <w:t>《乡村振兴战略规划（2018-2022年）》中共中央、国务院，2018年；</w:t>
      </w:r>
    </w:p>
    <w:p>
      <w:pPr>
        <w:spacing w:line="540" w:lineRule="exact"/>
        <w:rPr>
          <w:color w:val="000000"/>
        </w:rPr>
      </w:pPr>
      <w:r>
        <w:rPr>
          <w:color w:val="000000"/>
        </w:rPr>
        <w:t>（</w:t>
      </w:r>
      <w:r>
        <w:rPr>
          <w:rFonts w:hint="eastAsia"/>
          <w:color w:val="000000"/>
          <w:lang w:val="en-US" w:eastAsia="zh-CN"/>
        </w:rPr>
        <w:t>4</w:t>
      </w:r>
      <w:r>
        <w:rPr>
          <w:color w:val="000000"/>
        </w:rPr>
        <w:t>）《中共中央国务院关于实施乡村振兴战略的意见》（中发[2018]1号）；</w:t>
      </w:r>
    </w:p>
    <w:p>
      <w:pPr>
        <w:spacing w:line="540" w:lineRule="exact"/>
        <w:rPr>
          <w:color w:val="000000"/>
        </w:rPr>
      </w:pPr>
      <w:r>
        <w:rPr>
          <w:color w:val="000000"/>
        </w:rPr>
        <w:t>（</w:t>
      </w:r>
      <w:r>
        <w:rPr>
          <w:rFonts w:hint="eastAsia"/>
          <w:color w:val="000000"/>
          <w:lang w:val="en-US" w:eastAsia="zh-CN"/>
        </w:rPr>
        <w:t>5</w:t>
      </w:r>
      <w:r>
        <w:rPr>
          <w:color w:val="000000"/>
        </w:rPr>
        <w:t>）《国务院办公厅关于创新农村基础设施投融资体制机制的指导意见》（国办发[2017]17号）；</w:t>
      </w:r>
    </w:p>
    <w:p>
      <w:pPr>
        <w:spacing w:line="540" w:lineRule="exact"/>
        <w:rPr>
          <w:rFonts w:hint="eastAsia" w:ascii="Times New Roman" w:hAnsi="Times New Roman" w:eastAsia="宋体" w:cs="Times New Roman"/>
          <w:color w:val="000000"/>
          <w:lang w:eastAsia="zh-CN"/>
        </w:rPr>
      </w:pPr>
      <w:r>
        <w:rPr>
          <w:rFonts w:hint="eastAsia" w:ascii="Times New Roman" w:hAnsi="Times New Roman" w:eastAsia="宋体" w:cs="Times New Roman"/>
          <w:color w:val="000000"/>
          <w:lang w:eastAsia="zh-CN"/>
        </w:rPr>
        <w:t>（</w:t>
      </w:r>
      <w:r>
        <w:rPr>
          <w:rFonts w:hint="eastAsia" w:ascii="Times New Roman" w:hAnsi="Times New Roman" w:eastAsia="宋体" w:cs="Times New Roman"/>
          <w:color w:val="000000"/>
          <w:lang w:val="en-US" w:eastAsia="zh-CN"/>
        </w:rPr>
        <w:t>6</w:t>
      </w:r>
      <w:r>
        <w:rPr>
          <w:rFonts w:hint="eastAsia" w:ascii="Times New Roman" w:hAnsi="Times New Roman" w:eastAsia="宋体" w:cs="Times New Roman"/>
          <w:color w:val="000000"/>
          <w:lang w:eastAsia="zh-CN"/>
        </w:rPr>
        <w:t>）《</w:t>
      </w:r>
      <w:r>
        <w:rPr>
          <w:rFonts w:ascii="Times New Roman" w:hAnsi="Times New Roman" w:eastAsia="宋体" w:cs="Times New Roman"/>
          <w:color w:val="000000"/>
        </w:rPr>
        <w:t>边县“十四五”农村供水保障规划报告</w:t>
      </w:r>
      <w:r>
        <w:rPr>
          <w:rFonts w:hint="eastAsia" w:ascii="Times New Roman" w:hAnsi="Times New Roman" w:eastAsia="宋体" w:cs="Times New Roman"/>
          <w:color w:val="000000"/>
          <w:lang w:eastAsia="zh-CN"/>
        </w:rPr>
        <w:t>》（</w:t>
      </w:r>
      <w:r>
        <w:rPr>
          <w:rFonts w:hint="eastAsia" w:ascii="Times New Roman" w:hAnsi="Times New Roman" w:eastAsia="宋体" w:cs="Times New Roman"/>
          <w:color w:val="000000"/>
          <w:lang w:val="en-US" w:eastAsia="zh-CN"/>
        </w:rPr>
        <w:t>2020.03</w:t>
      </w:r>
      <w:r>
        <w:rPr>
          <w:rFonts w:hint="eastAsia" w:ascii="Times New Roman" w:hAnsi="Times New Roman" w:eastAsia="宋体" w:cs="Times New Roman"/>
          <w:color w:val="000000"/>
          <w:lang w:eastAsia="zh-CN"/>
        </w:rPr>
        <w:t>）</w:t>
      </w:r>
    </w:p>
    <w:p>
      <w:pPr>
        <w:spacing w:line="540" w:lineRule="exact"/>
        <w:rPr>
          <w:rFonts w:hint="eastAsia" w:ascii="Times New Roman" w:hAnsi="Times New Roman" w:eastAsia="宋体" w:cs="Times New Roman"/>
          <w:color w:val="000000"/>
          <w:lang w:eastAsia="zh-CN"/>
        </w:rPr>
      </w:pPr>
      <w:r>
        <w:rPr>
          <w:rFonts w:hint="eastAsia" w:ascii="Times New Roman" w:hAnsi="Times New Roman" w:eastAsia="宋体" w:cs="Times New Roman"/>
          <w:color w:val="000000"/>
          <w:lang w:eastAsia="zh-CN"/>
        </w:rPr>
        <w:t>（</w:t>
      </w:r>
      <w:r>
        <w:rPr>
          <w:rFonts w:hint="eastAsia" w:ascii="Times New Roman" w:hAnsi="Times New Roman" w:eastAsia="宋体" w:cs="Times New Roman"/>
          <w:color w:val="000000"/>
          <w:lang w:val="en-US" w:eastAsia="zh-CN"/>
        </w:rPr>
        <w:t>7</w:t>
      </w:r>
      <w:r>
        <w:rPr>
          <w:rFonts w:hint="eastAsia" w:ascii="Times New Roman" w:hAnsi="Times New Roman" w:eastAsia="宋体" w:cs="Times New Roman"/>
          <w:color w:val="000000"/>
          <w:lang w:eastAsia="zh-CN"/>
        </w:rPr>
        <w:t>）</w:t>
      </w:r>
      <w:bookmarkStart w:id="31" w:name="_Toc5914"/>
      <w:bookmarkStart w:id="32" w:name="_Toc60928028"/>
      <w:bookmarkStart w:id="33" w:name="_Toc13767"/>
      <w:bookmarkStart w:id="34" w:name="_Toc30027"/>
      <w:bookmarkStart w:id="35" w:name="_Toc6210"/>
      <w:bookmarkStart w:id="36" w:name="_Toc437619544"/>
      <w:bookmarkStart w:id="37" w:name="_Toc453053685"/>
      <w:bookmarkStart w:id="38" w:name="_Toc427067704"/>
      <w:bookmarkStart w:id="39" w:name="_Toc453054166"/>
      <w:r>
        <w:rPr>
          <w:rFonts w:hint="eastAsia" w:ascii="Times New Roman" w:hAnsi="Times New Roman" w:eastAsia="宋体" w:cs="Times New Roman"/>
          <w:color w:val="000000"/>
          <w:lang w:eastAsia="zh-CN"/>
        </w:rPr>
        <w:t>《</w:t>
      </w:r>
      <w:r>
        <w:rPr>
          <w:rFonts w:hint="eastAsia" w:ascii="Times New Roman" w:hAnsi="Times New Roman" w:eastAsia="宋体" w:cs="Times New Roman"/>
          <w:color w:val="000000"/>
        </w:rPr>
        <w:t>马边彝族自治县</w:t>
      </w:r>
      <w:bookmarkEnd w:id="31"/>
      <w:bookmarkEnd w:id="32"/>
      <w:bookmarkEnd w:id="33"/>
      <w:bookmarkEnd w:id="34"/>
      <w:bookmarkEnd w:id="35"/>
      <w:r>
        <w:rPr>
          <w:rFonts w:ascii="Times New Roman" w:hAnsi="Times New Roman" w:eastAsia="宋体" w:cs="Times New Roman"/>
          <w:color w:val="000000"/>
        </w:rPr>
        <w:t xml:space="preserve"> </w:t>
      </w:r>
      <w:bookmarkStart w:id="40" w:name="_Toc15778"/>
      <w:bookmarkStart w:id="41" w:name="_Toc24437"/>
      <w:bookmarkStart w:id="42" w:name="_Toc19902"/>
      <w:bookmarkStart w:id="43" w:name="_Toc983"/>
      <w:bookmarkStart w:id="44" w:name="_Toc60928029"/>
      <w:r>
        <w:rPr>
          <w:rFonts w:ascii="Times New Roman" w:hAnsi="Times New Roman" w:eastAsia="宋体" w:cs="Times New Roman"/>
          <w:color w:val="000000"/>
        </w:rPr>
        <w:t>“十四五”</w:t>
      </w:r>
      <w:r>
        <w:rPr>
          <w:rFonts w:hint="eastAsia" w:ascii="Times New Roman" w:hAnsi="Times New Roman" w:eastAsia="宋体" w:cs="Times New Roman"/>
          <w:color w:val="000000"/>
        </w:rPr>
        <w:t>水</w:t>
      </w:r>
      <w:r>
        <w:rPr>
          <w:rFonts w:ascii="Times New Roman" w:hAnsi="Times New Roman" w:eastAsia="宋体" w:cs="Times New Roman"/>
          <w:color w:val="000000"/>
        </w:rPr>
        <w:t>安全保障规划</w:t>
      </w:r>
      <w:bookmarkEnd w:id="36"/>
      <w:bookmarkEnd w:id="37"/>
      <w:bookmarkEnd w:id="38"/>
      <w:bookmarkEnd w:id="39"/>
      <w:bookmarkEnd w:id="40"/>
      <w:bookmarkEnd w:id="41"/>
      <w:bookmarkEnd w:id="42"/>
      <w:bookmarkEnd w:id="43"/>
      <w:bookmarkEnd w:id="44"/>
      <w:r>
        <w:rPr>
          <w:rFonts w:hint="eastAsia" w:ascii="Times New Roman" w:hAnsi="Times New Roman" w:eastAsia="宋体" w:cs="Times New Roman"/>
          <w:color w:val="000000"/>
          <w:lang w:eastAsia="zh-CN"/>
        </w:rPr>
        <w:t>》（</w:t>
      </w:r>
      <w:r>
        <w:rPr>
          <w:rFonts w:hint="eastAsia" w:ascii="Times New Roman" w:hAnsi="Times New Roman" w:eastAsia="宋体" w:cs="Times New Roman"/>
          <w:color w:val="000000"/>
          <w:lang w:val="en-US" w:eastAsia="zh-CN"/>
        </w:rPr>
        <w:t>2021.05</w:t>
      </w:r>
      <w:r>
        <w:rPr>
          <w:rFonts w:hint="eastAsia" w:ascii="Times New Roman" w:hAnsi="Times New Roman" w:eastAsia="宋体" w:cs="Times New Roman"/>
          <w:color w:val="000000"/>
          <w:lang w:eastAsia="zh-CN"/>
        </w:rPr>
        <w:t>）</w:t>
      </w:r>
    </w:p>
    <w:p>
      <w:pPr>
        <w:spacing w:line="540" w:lineRule="exact"/>
        <w:rPr>
          <w:color w:val="000000"/>
        </w:rPr>
      </w:pPr>
      <w:r>
        <w:rPr>
          <w:color w:val="000000"/>
        </w:rPr>
        <w:t>（</w:t>
      </w:r>
      <w:r>
        <w:rPr>
          <w:rFonts w:hint="eastAsia"/>
          <w:color w:val="000000"/>
          <w:lang w:val="en-US" w:eastAsia="zh-CN"/>
        </w:rPr>
        <w:t>8</w:t>
      </w:r>
      <w:r>
        <w:rPr>
          <w:color w:val="000000"/>
        </w:rPr>
        <w:t>）其他相关文件、规划及技术标准。</w:t>
      </w:r>
    </w:p>
    <w:p>
      <w:pPr>
        <w:pStyle w:val="5"/>
        <w:spacing w:line="240" w:lineRule="auto"/>
        <w:rPr>
          <w:rFonts w:hint="eastAsia" w:ascii="Times New Roman" w:hAnsi="Times New Roman" w:eastAsia="黑体"/>
          <w:b w:val="0"/>
          <w:color w:val="000000"/>
          <w:sz w:val="30"/>
          <w:szCs w:val="30"/>
          <w:lang w:eastAsia="zh-CN"/>
        </w:rPr>
      </w:pPr>
      <w:bookmarkStart w:id="45" w:name="_Toc36029001"/>
      <w:r>
        <w:rPr>
          <w:rFonts w:hint="eastAsia" w:ascii="Times New Roman" w:hAnsi="Times New Roman"/>
          <w:b w:val="0"/>
          <w:color w:val="000000"/>
          <w:sz w:val="30"/>
          <w:szCs w:val="30"/>
          <w:lang w:val="en-US" w:eastAsia="zh-CN"/>
        </w:rPr>
        <w:t>2</w:t>
      </w:r>
      <w:r>
        <w:rPr>
          <w:rFonts w:ascii="Times New Roman" w:hAnsi="Times New Roman"/>
          <w:b w:val="0"/>
          <w:color w:val="000000"/>
          <w:sz w:val="30"/>
          <w:szCs w:val="30"/>
        </w:rPr>
        <w:t>.2规划</w:t>
      </w:r>
      <w:bookmarkEnd w:id="45"/>
      <w:r>
        <w:rPr>
          <w:rFonts w:hint="eastAsia" w:ascii="Times New Roman" w:hAnsi="Times New Roman"/>
          <w:b w:val="0"/>
          <w:color w:val="000000"/>
          <w:sz w:val="30"/>
          <w:szCs w:val="30"/>
          <w:lang w:eastAsia="zh-CN"/>
        </w:rPr>
        <w:t>指导思想</w:t>
      </w:r>
    </w:p>
    <w:p>
      <w:pPr>
        <w:ind w:firstLine="540"/>
        <w:rPr>
          <w:rFonts w:eastAsia="仿宋_GB2312"/>
          <w:sz w:val="24"/>
          <w:szCs w:val="24"/>
        </w:rPr>
      </w:pPr>
      <w:r>
        <w:rPr>
          <w:sz w:val="24"/>
          <w:szCs w:val="24"/>
        </w:rPr>
        <w:t>本次</w:t>
      </w:r>
      <w:r>
        <w:rPr>
          <w:rFonts w:hint="eastAsia"/>
          <w:sz w:val="24"/>
          <w:szCs w:val="24"/>
          <w:lang w:eastAsia="zh-CN"/>
        </w:rPr>
        <w:t>马边彝族自治县</w:t>
      </w:r>
      <w:r>
        <w:rPr>
          <w:sz w:val="24"/>
          <w:szCs w:val="24"/>
        </w:rPr>
        <w:t>“十四五”</w:t>
      </w:r>
      <w:r>
        <w:rPr>
          <w:rFonts w:hint="eastAsia"/>
          <w:sz w:val="24"/>
          <w:szCs w:val="24"/>
          <w:lang w:eastAsia="zh-CN"/>
        </w:rPr>
        <w:t>新时期农</w:t>
      </w:r>
      <w:r>
        <w:rPr>
          <w:rFonts w:hint="eastAsia" w:ascii="Times New Roman" w:hAnsi="Times New Roman" w:eastAsia="宋体" w:cs="Times New Roman"/>
          <w:sz w:val="24"/>
          <w:szCs w:val="24"/>
          <w:lang w:eastAsia="zh-CN"/>
        </w:rPr>
        <w:t>村水利</w:t>
      </w:r>
      <w:r>
        <w:rPr>
          <w:rFonts w:ascii="Times New Roman" w:hAnsi="Times New Roman" w:eastAsia="宋体" w:cs="Times New Roman"/>
          <w:sz w:val="24"/>
          <w:szCs w:val="24"/>
        </w:rPr>
        <w:t>规划</w:t>
      </w:r>
      <w:r>
        <w:rPr>
          <w:rFonts w:hint="eastAsia" w:ascii="Times New Roman" w:hAnsi="Times New Roman" w:eastAsia="宋体" w:cs="Times New Roman"/>
          <w:sz w:val="24"/>
          <w:szCs w:val="24"/>
          <w:lang w:eastAsia="zh-CN"/>
        </w:rPr>
        <w:t>以习近平新时代中国特色社会主义思想为指导思想，</w:t>
      </w:r>
      <w:r>
        <w:rPr>
          <w:sz w:val="24"/>
          <w:szCs w:val="24"/>
        </w:rPr>
        <w:t>紧紧围绕实施乡村振兴战略的总体要求，全面落实水利部“水利工程部短板、水利行业强监管”的新时期水利工作总基调，</w:t>
      </w:r>
      <w:r>
        <w:rPr>
          <w:rFonts w:hint="eastAsia" w:ascii="Times New Roman" w:hAnsi="Times New Roman" w:eastAsia="宋体" w:cs="Times New Roman"/>
          <w:sz w:val="24"/>
          <w:szCs w:val="24"/>
          <w:lang w:eastAsia="zh-CN"/>
        </w:rPr>
        <w:t>深刻把握“三新一高”和农业农村优先发展</w:t>
      </w:r>
      <w:r>
        <w:rPr>
          <w:rFonts w:hint="eastAsia" w:ascii="Times New Roman" w:hAnsi="Times New Roman" w:eastAsia="宋体" w:cs="Times New Roman"/>
          <w:lang w:eastAsia="zh-CN"/>
        </w:rPr>
        <w:t>要求</w:t>
      </w:r>
      <w:r>
        <w:rPr>
          <w:rFonts w:hint="eastAsia" w:ascii="Times New Roman" w:hAnsi="Times New Roman" w:eastAsia="宋体" w:cs="Times New Roman"/>
          <w:sz w:val="24"/>
          <w:szCs w:val="24"/>
          <w:lang w:eastAsia="zh-CN"/>
        </w:rPr>
        <w:t>，围绕四川水利高质量发展“</w:t>
      </w:r>
      <w:r>
        <w:rPr>
          <w:rFonts w:hint="eastAsia" w:ascii="Times New Roman" w:hAnsi="Times New Roman" w:eastAsia="宋体" w:cs="Times New Roman"/>
          <w:sz w:val="24"/>
          <w:szCs w:val="24"/>
          <w:lang w:val="en-US" w:eastAsia="zh-CN"/>
        </w:rPr>
        <w:t>3226</w:t>
      </w:r>
      <w:r>
        <w:rPr>
          <w:rFonts w:hint="eastAsia" w:ascii="Times New Roman" w:hAnsi="Times New Roman" w:eastAsia="宋体" w:cs="Times New Roman"/>
          <w:sz w:val="24"/>
          <w:szCs w:val="24"/>
          <w:lang w:eastAsia="zh-CN"/>
        </w:rPr>
        <w:t>”总体工作思路（即，聚焦“保证农业和乡村振兴用水、保障城镇和产业用水、保护生态和人居环境用水”三大供水目标；构建完备的水网体系和现代化水管理体系；坚守水生态安全红线和水旱灾防御底线；扎实做好水文、水资源、水生态和水安全等六项工作），把</w:t>
      </w:r>
      <w:r>
        <w:rPr>
          <w:rFonts w:hint="eastAsia" w:cs="Times New Roman"/>
          <w:sz w:val="24"/>
          <w:szCs w:val="24"/>
          <w:lang w:eastAsia="zh-CN"/>
        </w:rPr>
        <w:t>马边彝族自治县</w:t>
      </w:r>
      <w:r>
        <w:rPr>
          <w:rFonts w:hint="eastAsia" w:ascii="Times New Roman" w:hAnsi="Times New Roman" w:eastAsia="宋体" w:cs="Times New Roman"/>
          <w:sz w:val="24"/>
          <w:szCs w:val="24"/>
          <w:lang w:eastAsia="zh-CN"/>
        </w:rPr>
        <w:t>域内乡村水务、农业灌溉、水库及其渠道、水美新村等四大板块作为重点工作，为保障粮食安全、发展现代</w:t>
      </w:r>
      <w:r>
        <w:rPr>
          <w:rFonts w:hint="eastAsia" w:ascii="Times New Roman" w:hAnsi="Times New Roman" w:eastAsia="宋体" w:cs="Times New Roman"/>
          <w:lang w:eastAsia="zh-CN"/>
        </w:rPr>
        <w:t>农业</w:t>
      </w:r>
      <w:r>
        <w:rPr>
          <w:rFonts w:hint="eastAsia" w:ascii="Times New Roman" w:hAnsi="Times New Roman" w:eastAsia="宋体" w:cs="Times New Roman"/>
          <w:sz w:val="24"/>
          <w:szCs w:val="24"/>
          <w:lang w:eastAsia="zh-CN"/>
        </w:rPr>
        <w:t>和建设“美丽四川·宜居乡村”提供坚强水利支撑。</w:t>
      </w:r>
    </w:p>
    <w:p>
      <w:pPr>
        <w:pStyle w:val="5"/>
        <w:spacing w:line="240" w:lineRule="auto"/>
        <w:rPr>
          <w:rFonts w:ascii="Times New Roman" w:hAnsi="Times New Roman"/>
          <w:b w:val="0"/>
          <w:color w:val="000000"/>
          <w:sz w:val="30"/>
          <w:szCs w:val="30"/>
        </w:rPr>
      </w:pPr>
      <w:bookmarkStart w:id="46" w:name="_Toc36029002"/>
      <w:r>
        <w:rPr>
          <w:rFonts w:hint="eastAsia" w:ascii="Times New Roman" w:hAnsi="Times New Roman"/>
          <w:b w:val="0"/>
          <w:color w:val="000000"/>
          <w:sz w:val="30"/>
          <w:szCs w:val="30"/>
          <w:lang w:val="en-US" w:eastAsia="zh-CN"/>
        </w:rPr>
        <w:t>2</w:t>
      </w:r>
      <w:r>
        <w:rPr>
          <w:rFonts w:ascii="Times New Roman" w:hAnsi="Times New Roman"/>
          <w:b w:val="0"/>
          <w:color w:val="000000"/>
          <w:sz w:val="30"/>
          <w:szCs w:val="30"/>
        </w:rPr>
        <w:t>.3规划原则</w:t>
      </w:r>
      <w:bookmarkEnd w:id="46"/>
    </w:p>
    <w:p>
      <w:pPr>
        <w:ind w:firstLine="540"/>
        <w:rPr>
          <w:rFonts w:hint="eastAsia" w:ascii="Times New Roman" w:hAnsi="Times New Roman" w:eastAsia="宋体" w:cs="Times New Roman"/>
          <w:kern w:val="2"/>
          <w:sz w:val="24"/>
          <w:szCs w:val="24"/>
          <w:u w:val="none"/>
          <w:shd w:val="clear" w:color="auto" w:fill="auto"/>
          <w:lang w:val="en-US" w:eastAsia="zh-CN" w:bidi="ar-SA"/>
        </w:rPr>
      </w:pPr>
      <w:r>
        <w:rPr>
          <w:rFonts w:ascii="Times New Roman" w:hAnsi="Times New Roman" w:cs="Times New Roman"/>
          <w:color w:val="000000"/>
          <w:sz w:val="24"/>
          <w:szCs w:val="24"/>
          <w:lang w:val="en-US" w:eastAsia="zh-CN"/>
        </w:rPr>
        <w:t>1、统筹兼</w:t>
      </w:r>
      <w:r>
        <w:rPr>
          <w:rFonts w:hint="eastAsia" w:ascii="Times New Roman" w:hAnsi="Times New Roman" w:eastAsia="宋体" w:cs="Times New Roman"/>
          <w:kern w:val="2"/>
          <w:sz w:val="24"/>
          <w:szCs w:val="24"/>
          <w:u w:val="none"/>
          <w:shd w:val="clear" w:color="auto" w:fill="auto"/>
          <w:lang w:val="en-US" w:eastAsia="zh-CN" w:bidi="ar-SA"/>
        </w:rPr>
        <w:t>顾、突出重点。</w:t>
      </w:r>
      <w:r>
        <w:rPr>
          <w:rFonts w:ascii="Times New Roman" w:hAnsi="Times New Roman" w:cs="Times New Roman"/>
          <w:color w:val="000000"/>
          <w:sz w:val="24"/>
          <w:szCs w:val="24"/>
        </w:rPr>
        <w:t>按照城乡融合发展和乡村振兴梯次推进步骤，依据</w:t>
      </w:r>
      <w:r>
        <w:rPr>
          <w:rFonts w:hint="eastAsia" w:ascii="Times New Roman" w:hAnsi="Times New Roman" w:cs="Times New Roman"/>
          <w:color w:val="000000"/>
          <w:sz w:val="24"/>
          <w:szCs w:val="24"/>
          <w:lang w:eastAsia="zh-CN"/>
        </w:rPr>
        <w:t>村镇</w:t>
      </w:r>
      <w:r>
        <w:rPr>
          <w:rFonts w:ascii="Times New Roman" w:hAnsi="Times New Roman" w:cs="Times New Roman"/>
          <w:color w:val="000000"/>
          <w:sz w:val="24"/>
          <w:szCs w:val="24"/>
        </w:rPr>
        <w:t>发展规划，统筹考虑城乡基础设施和农村人口变化等因素，对水源条件、</w:t>
      </w:r>
      <w:r>
        <w:rPr>
          <w:rFonts w:hint="eastAsia" w:ascii="Times New Roman" w:hAnsi="Times New Roman" w:cs="Times New Roman"/>
          <w:color w:val="000000"/>
          <w:sz w:val="24"/>
          <w:szCs w:val="24"/>
          <w:lang w:eastAsia="zh-CN"/>
        </w:rPr>
        <w:t>工程</w:t>
      </w:r>
      <w:r>
        <w:rPr>
          <w:rFonts w:ascii="Times New Roman" w:hAnsi="Times New Roman" w:cs="Times New Roman"/>
          <w:color w:val="000000"/>
          <w:sz w:val="24"/>
          <w:szCs w:val="24"/>
        </w:rPr>
        <w:t>规模等进行充分论证，进行统一规划，落实到具体工程项目，突出重点，分步实施。</w:t>
      </w:r>
    </w:p>
    <w:p>
      <w:pPr>
        <w:ind w:firstLine="540"/>
        <w:rPr>
          <w:rFonts w:hint="eastAsia" w:ascii="Times New Roman" w:hAnsi="Times New Roman" w:eastAsia="宋体" w:cs="Times New Roman"/>
          <w:kern w:val="2"/>
          <w:sz w:val="24"/>
          <w:szCs w:val="24"/>
          <w:u w:val="none"/>
          <w:shd w:val="clear" w:color="auto" w:fill="auto"/>
          <w:lang w:val="en-US" w:eastAsia="zh-CN" w:bidi="ar-SA"/>
        </w:rPr>
      </w:pPr>
      <w:r>
        <w:rPr>
          <w:rFonts w:hint="eastAsia" w:ascii="Times New Roman" w:hAnsi="Times New Roman" w:cs="Times New Roman"/>
          <w:color w:val="000000"/>
          <w:sz w:val="24"/>
          <w:szCs w:val="24"/>
          <w:lang w:val="en-US" w:eastAsia="zh-CN"/>
        </w:rPr>
        <w:t>2、</w:t>
      </w:r>
      <w:r>
        <w:rPr>
          <w:rFonts w:hint="eastAsia" w:ascii="Times New Roman" w:hAnsi="Times New Roman" w:eastAsia="宋体" w:cs="Times New Roman"/>
          <w:kern w:val="2"/>
          <w:sz w:val="24"/>
          <w:szCs w:val="24"/>
          <w:u w:val="none"/>
          <w:shd w:val="clear" w:color="auto" w:fill="auto"/>
          <w:lang w:val="en-US" w:eastAsia="zh-CN" w:bidi="ar-SA"/>
        </w:rPr>
        <w:t>尊重</w:t>
      </w:r>
      <w:r>
        <w:rPr>
          <w:rFonts w:hint="eastAsia" w:ascii="Times New Roman" w:hAnsi="Times New Roman" w:eastAsia="宋体" w:cs="Times New Roman"/>
          <w:lang w:val="en-US" w:eastAsia="zh-CN"/>
        </w:rPr>
        <w:t>民意</w:t>
      </w:r>
      <w:r>
        <w:rPr>
          <w:rFonts w:hint="eastAsia" w:ascii="Times New Roman" w:hAnsi="Times New Roman" w:eastAsia="宋体" w:cs="Times New Roman"/>
          <w:kern w:val="2"/>
          <w:sz w:val="24"/>
          <w:szCs w:val="24"/>
          <w:u w:val="none"/>
          <w:shd w:val="clear" w:color="auto" w:fill="auto"/>
          <w:lang w:val="en-US" w:eastAsia="zh-CN" w:bidi="ar-SA"/>
        </w:rPr>
        <w:t>、因地制宜。</w:t>
      </w:r>
      <w:r>
        <w:rPr>
          <w:rFonts w:ascii="Times New Roman" w:hAnsi="Times New Roman" w:cs="Times New Roman"/>
          <w:color w:val="000000"/>
          <w:sz w:val="24"/>
          <w:szCs w:val="24"/>
        </w:rPr>
        <w:t>在工程规划、建设和管理的全过程中，充分尊重</w:t>
      </w:r>
      <w:r>
        <w:rPr>
          <w:rFonts w:hint="eastAsia" w:ascii="Times New Roman" w:hAnsi="Times New Roman" w:cs="Times New Roman"/>
          <w:color w:val="000000"/>
          <w:sz w:val="24"/>
          <w:szCs w:val="24"/>
          <w:lang w:eastAsia="zh-CN"/>
        </w:rPr>
        <w:t>农民</w:t>
      </w:r>
      <w:r>
        <w:rPr>
          <w:rFonts w:ascii="Times New Roman" w:hAnsi="Times New Roman" w:cs="Times New Roman"/>
          <w:color w:val="000000"/>
          <w:sz w:val="24"/>
          <w:szCs w:val="24"/>
        </w:rPr>
        <w:t>意愿，真正做到问需于民，问计于民</w:t>
      </w:r>
      <w:r>
        <w:rPr>
          <w:rFonts w:hint="eastAsia" w:ascii="Times New Roman" w:hAnsi="Times New Roman" w:cs="Times New Roman"/>
          <w:color w:val="000000"/>
          <w:sz w:val="24"/>
          <w:szCs w:val="24"/>
          <w:lang w:eastAsia="zh-CN"/>
        </w:rPr>
        <w:t>，</w:t>
      </w:r>
      <w:r>
        <w:rPr>
          <w:rFonts w:hint="eastAsia" w:ascii="Times New Roman" w:hAnsi="Times New Roman" w:cs="Times New Roman"/>
          <w:kern w:val="2"/>
          <w:sz w:val="24"/>
          <w:szCs w:val="24"/>
          <w:u w:val="none"/>
          <w:shd w:val="clear" w:color="auto" w:fill="auto"/>
          <w:lang w:val="en-US" w:eastAsia="zh-CN" w:bidi="ar-SA"/>
        </w:rPr>
        <w:t>因地制宜布局适合当地发展的水利工程。</w:t>
      </w:r>
    </w:p>
    <w:p>
      <w:pPr>
        <w:ind w:firstLine="540"/>
        <w:rPr>
          <w:rFonts w:ascii="Times New Roman" w:hAnsi="Times New Roman" w:cs="Times New Roman"/>
          <w:sz w:val="24"/>
          <w:szCs w:val="24"/>
        </w:rPr>
      </w:pPr>
      <w:r>
        <w:rPr>
          <w:rFonts w:hint="eastAsia" w:ascii="Times New Roman" w:hAnsi="Times New Roman" w:cs="Times New Roman"/>
          <w:kern w:val="2"/>
          <w:sz w:val="24"/>
          <w:szCs w:val="24"/>
          <w:u w:val="none"/>
          <w:shd w:val="clear" w:color="auto" w:fill="auto"/>
          <w:lang w:val="en-US" w:eastAsia="zh-CN" w:bidi="ar-SA"/>
        </w:rPr>
        <w:t>3、</w:t>
      </w:r>
      <w:r>
        <w:rPr>
          <w:rFonts w:hint="eastAsia" w:ascii="Times New Roman" w:hAnsi="Times New Roman" w:eastAsia="宋体" w:cs="Times New Roman"/>
          <w:kern w:val="2"/>
          <w:sz w:val="24"/>
          <w:szCs w:val="24"/>
          <w:u w:val="none"/>
          <w:shd w:val="clear" w:color="auto" w:fill="auto"/>
          <w:lang w:val="en-US" w:eastAsia="zh-CN" w:bidi="ar-SA"/>
        </w:rPr>
        <w:t>量力而行、建设改革同步</w:t>
      </w:r>
      <w:r>
        <w:rPr>
          <w:rFonts w:hint="eastAsia" w:ascii="Times New Roman" w:hAnsi="Times New Roman" w:cs="Times New Roman"/>
          <w:kern w:val="2"/>
          <w:sz w:val="24"/>
          <w:szCs w:val="24"/>
          <w:u w:val="none"/>
          <w:shd w:val="clear" w:color="auto" w:fill="auto"/>
          <w:lang w:val="en-US" w:eastAsia="zh-CN" w:bidi="ar-SA"/>
        </w:rPr>
        <w:t>。</w:t>
      </w:r>
      <w:r>
        <w:rPr>
          <w:rFonts w:hint="eastAsia" w:ascii="Times New Roman" w:hAnsi="Times New Roman" w:eastAsia="宋体" w:cs="Times New Roman"/>
          <w:kern w:val="2"/>
          <w:sz w:val="24"/>
          <w:szCs w:val="24"/>
          <w:u w:val="none"/>
          <w:shd w:val="clear" w:color="auto" w:fill="auto"/>
          <w:lang w:val="en-US" w:eastAsia="zh-CN" w:bidi="ar-SA"/>
        </w:rPr>
        <w:t>尽力而为，量力而行</w:t>
      </w:r>
      <w:r>
        <w:rPr>
          <w:rFonts w:hint="eastAsia" w:ascii="Times New Roman" w:hAnsi="Times New Roman" w:cs="Times New Roman"/>
          <w:kern w:val="2"/>
          <w:sz w:val="24"/>
          <w:szCs w:val="24"/>
          <w:u w:val="none"/>
          <w:shd w:val="clear" w:color="auto" w:fill="auto"/>
          <w:lang w:val="en-US" w:eastAsia="zh-CN" w:bidi="ar-SA"/>
        </w:rPr>
        <w:t>，</w:t>
      </w:r>
      <w:r>
        <w:rPr>
          <w:rFonts w:ascii="Times New Roman" w:hAnsi="Times New Roman" w:cs="Times New Roman"/>
          <w:color w:val="000000"/>
          <w:sz w:val="24"/>
          <w:szCs w:val="24"/>
        </w:rPr>
        <w:t>工程建设资金以地方为主负责落实。综合考虑实际需求、地方财力可能等因素，合理确定规划建设规模</w:t>
      </w:r>
      <w:r>
        <w:rPr>
          <w:rFonts w:hint="eastAsia" w:ascii="Times New Roman" w:hAnsi="Times New Roman" w:cs="Times New Roman"/>
          <w:color w:val="000000"/>
          <w:sz w:val="24"/>
          <w:szCs w:val="24"/>
          <w:lang w:eastAsia="zh-CN"/>
        </w:rPr>
        <w:t>。</w:t>
      </w:r>
      <w:r>
        <w:rPr>
          <w:rFonts w:ascii="Times New Roman" w:hAnsi="Times New Roman" w:cs="Times New Roman"/>
          <w:color w:val="000000"/>
          <w:sz w:val="24"/>
          <w:szCs w:val="24"/>
        </w:rPr>
        <w:t>明晰</w:t>
      </w:r>
      <w:r>
        <w:rPr>
          <w:rFonts w:hint="eastAsia" w:ascii="Times New Roman" w:hAnsi="Times New Roman" w:cs="Times New Roman"/>
          <w:color w:val="000000"/>
          <w:sz w:val="24"/>
          <w:szCs w:val="24"/>
          <w:lang w:eastAsia="zh-CN"/>
        </w:rPr>
        <w:t>建后</w:t>
      </w:r>
      <w:r>
        <w:rPr>
          <w:rFonts w:ascii="Times New Roman" w:hAnsi="Times New Roman" w:cs="Times New Roman"/>
          <w:color w:val="000000"/>
          <w:sz w:val="24"/>
          <w:szCs w:val="24"/>
        </w:rPr>
        <w:t>工程产权，落实工程管护主体。健全水源保护、</w:t>
      </w:r>
      <w:r>
        <w:rPr>
          <w:rFonts w:hint="eastAsia" w:ascii="Times New Roman" w:hAnsi="Times New Roman" w:cs="Times New Roman"/>
          <w:color w:val="000000"/>
          <w:sz w:val="24"/>
          <w:szCs w:val="24"/>
          <w:lang w:eastAsia="zh-CN"/>
        </w:rPr>
        <w:t>管理体制改革创新等</w:t>
      </w:r>
      <w:r>
        <w:rPr>
          <w:rFonts w:ascii="Times New Roman" w:hAnsi="Times New Roman" w:cs="Times New Roman"/>
          <w:color w:val="000000"/>
          <w:sz w:val="24"/>
          <w:szCs w:val="24"/>
        </w:rPr>
        <w:t>。</w:t>
      </w:r>
    </w:p>
    <w:p>
      <w:pPr>
        <w:ind w:firstLine="540"/>
        <w:rPr>
          <w:rFonts w:ascii="Times New Roman" w:hAnsi="Times New Roman" w:cs="Times New Roman"/>
          <w:sz w:val="24"/>
          <w:szCs w:val="24"/>
        </w:rPr>
      </w:pPr>
      <w:r>
        <w:rPr>
          <w:rFonts w:ascii="Times New Roman" w:hAnsi="Times New Roman" w:cs="Times New Roman"/>
          <w:color w:val="000000"/>
          <w:sz w:val="24"/>
          <w:szCs w:val="24"/>
          <w:lang w:val="en-US" w:eastAsia="zh-CN"/>
        </w:rPr>
        <w:t>4、</w:t>
      </w:r>
      <w:r>
        <w:rPr>
          <w:rFonts w:ascii="Times New Roman" w:hAnsi="Times New Roman" w:cs="Times New Roman"/>
          <w:color w:val="000000"/>
          <w:sz w:val="24"/>
          <w:szCs w:val="24"/>
        </w:rPr>
        <w:t>充分利用现有工作基础、形成合力。在规划设计时，充分考虑利用既有水源工程、供水设施</w:t>
      </w:r>
      <w:r>
        <w:rPr>
          <w:rFonts w:hint="eastAsia" w:ascii="Times New Roman" w:hAnsi="Times New Roman" w:cs="Times New Roman"/>
          <w:color w:val="000000"/>
          <w:sz w:val="24"/>
          <w:szCs w:val="24"/>
          <w:lang w:eastAsia="zh-CN"/>
        </w:rPr>
        <w:t>等，</w:t>
      </w:r>
      <w:r>
        <w:rPr>
          <w:rFonts w:ascii="Times New Roman" w:hAnsi="Times New Roman" w:cs="Times New Roman"/>
          <w:color w:val="000000"/>
          <w:sz w:val="24"/>
          <w:szCs w:val="24"/>
        </w:rPr>
        <w:t>统筹考虑工程沿线周边农村</w:t>
      </w:r>
      <w:r>
        <w:rPr>
          <w:rFonts w:hint="eastAsia" w:ascii="Times New Roman" w:hAnsi="Times New Roman" w:cs="Times New Roman"/>
          <w:color w:val="000000"/>
          <w:sz w:val="24"/>
          <w:szCs w:val="24"/>
          <w:lang w:eastAsia="zh-CN"/>
        </w:rPr>
        <w:t>用水</w:t>
      </w:r>
      <w:r>
        <w:rPr>
          <w:rFonts w:ascii="Times New Roman" w:hAnsi="Times New Roman" w:cs="Times New Roman"/>
          <w:color w:val="000000"/>
          <w:sz w:val="24"/>
          <w:szCs w:val="24"/>
        </w:rPr>
        <w:t>需求。</w:t>
      </w:r>
      <w:r>
        <w:rPr>
          <w:rFonts w:hint="eastAsia" w:ascii="Times New Roman" w:hAnsi="Times New Roman" w:cs="Times New Roman"/>
          <w:color w:val="000000"/>
          <w:sz w:val="24"/>
          <w:szCs w:val="24"/>
          <w:lang w:eastAsia="zh-CN"/>
        </w:rPr>
        <w:t>充分利用现有投资渠道进行工程融资，减轻财政压力</w:t>
      </w:r>
      <w:r>
        <w:rPr>
          <w:rFonts w:ascii="Times New Roman" w:hAnsi="Times New Roman" w:cs="Times New Roman"/>
          <w:color w:val="000000"/>
          <w:sz w:val="24"/>
          <w:szCs w:val="24"/>
        </w:rPr>
        <w:t>。</w:t>
      </w:r>
    </w:p>
    <w:p>
      <w:pPr>
        <w:pStyle w:val="5"/>
        <w:spacing w:line="240" w:lineRule="auto"/>
        <w:rPr>
          <w:rFonts w:hint="eastAsia" w:ascii="Times New Roman" w:hAnsi="Times New Roman" w:eastAsia="黑体"/>
          <w:b w:val="0"/>
          <w:color w:val="000000"/>
          <w:sz w:val="30"/>
          <w:szCs w:val="30"/>
          <w:lang w:eastAsia="zh-CN"/>
        </w:rPr>
      </w:pPr>
      <w:bookmarkStart w:id="47" w:name="_Toc36029003"/>
      <w:r>
        <w:rPr>
          <w:rFonts w:hint="eastAsia" w:ascii="Times New Roman" w:hAnsi="Times New Roman"/>
          <w:b w:val="0"/>
          <w:color w:val="000000"/>
          <w:sz w:val="30"/>
          <w:szCs w:val="30"/>
          <w:lang w:val="en-US" w:eastAsia="zh-CN"/>
        </w:rPr>
        <w:t>2</w:t>
      </w:r>
      <w:r>
        <w:rPr>
          <w:rFonts w:ascii="Times New Roman" w:hAnsi="Times New Roman"/>
          <w:b w:val="0"/>
          <w:color w:val="000000"/>
          <w:sz w:val="30"/>
          <w:szCs w:val="30"/>
        </w:rPr>
        <w:t>.4规划目标</w:t>
      </w:r>
      <w:bookmarkEnd w:id="47"/>
      <w:r>
        <w:rPr>
          <w:rFonts w:hint="eastAsia" w:ascii="Times New Roman" w:hAnsi="Times New Roman"/>
          <w:b w:val="0"/>
          <w:color w:val="000000"/>
          <w:sz w:val="30"/>
          <w:szCs w:val="30"/>
          <w:lang w:eastAsia="zh-CN"/>
        </w:rPr>
        <w:t>与任务</w:t>
      </w:r>
    </w:p>
    <w:p>
      <w:pPr>
        <w:ind w:firstLine="540"/>
        <w:rPr>
          <w:rFonts w:ascii="Times New Roman" w:hAnsi="Times New Roman" w:cs="Times New Roman"/>
          <w:color w:val="000000"/>
          <w:sz w:val="24"/>
          <w:szCs w:val="24"/>
        </w:rPr>
      </w:pPr>
      <w:bookmarkStart w:id="48" w:name="_Toc222222739"/>
      <w:r>
        <w:rPr>
          <w:rFonts w:ascii="Times New Roman" w:hAnsi="Times New Roman" w:cs="Times New Roman"/>
          <w:color w:val="000000"/>
          <w:sz w:val="24"/>
          <w:szCs w:val="24"/>
        </w:rPr>
        <w:t>根据</w:t>
      </w:r>
      <w:r>
        <w:rPr>
          <w:rFonts w:hint="eastAsia" w:cs="Times New Roman"/>
          <w:color w:val="000000"/>
          <w:sz w:val="24"/>
          <w:szCs w:val="24"/>
          <w:lang w:eastAsia="zh-CN"/>
        </w:rPr>
        <w:t>马边彝族自治县</w:t>
      </w:r>
      <w:r>
        <w:rPr>
          <w:rFonts w:ascii="Times New Roman" w:hAnsi="Times New Roman" w:cs="Times New Roman"/>
          <w:color w:val="000000"/>
          <w:sz w:val="24"/>
          <w:szCs w:val="24"/>
        </w:rPr>
        <w:t>经济社会发展对新农水的要求、水资源条件</w:t>
      </w:r>
      <w:r>
        <w:rPr>
          <w:rFonts w:hint="eastAsia" w:ascii="Times New Roman" w:hAnsi="Times New Roman" w:cs="Times New Roman"/>
          <w:color w:val="000000"/>
          <w:sz w:val="24"/>
          <w:szCs w:val="24"/>
        </w:rPr>
        <w:t>等</w:t>
      </w:r>
      <w:r>
        <w:rPr>
          <w:rFonts w:ascii="Times New Roman" w:hAnsi="Times New Roman" w:cs="Times New Roman"/>
          <w:color w:val="000000"/>
          <w:sz w:val="24"/>
          <w:szCs w:val="24"/>
        </w:rPr>
        <w:t>，制定规划建设、管理改革和体制机制创新的目标与任务。</w:t>
      </w:r>
      <w:bookmarkEnd w:id="48"/>
    </w:p>
    <w:p>
      <w:pPr>
        <w:ind w:firstLine="540"/>
        <w:rPr>
          <w:rFonts w:ascii="Times New Roman" w:hAnsi="Times New Roman" w:cs="Times New Roman"/>
          <w:color w:val="000000"/>
          <w:sz w:val="24"/>
          <w:szCs w:val="24"/>
        </w:rPr>
      </w:pPr>
      <w:bookmarkStart w:id="49" w:name="_Toc235525824"/>
      <w:bookmarkStart w:id="50" w:name="_Toc219184553"/>
      <w:bookmarkStart w:id="51" w:name="_Toc219184860"/>
      <w:r>
        <w:rPr>
          <w:rFonts w:ascii="Times New Roman" w:hAnsi="Times New Roman" w:cs="Times New Roman"/>
          <w:color w:val="000000"/>
          <w:sz w:val="24"/>
          <w:szCs w:val="24"/>
        </w:rPr>
        <w:t>1</w:t>
      </w:r>
      <w:r>
        <w:rPr>
          <w:rFonts w:hint="eastAsia" w:ascii="Times New Roman" w:hAnsi="Times New Roman" w:cs="Times New Roman"/>
          <w:color w:val="000000"/>
          <w:sz w:val="24"/>
          <w:szCs w:val="24"/>
          <w:lang w:eastAsia="zh-CN"/>
        </w:rPr>
        <w:t>、规划</w:t>
      </w:r>
      <w:r>
        <w:rPr>
          <w:rFonts w:ascii="Times New Roman" w:hAnsi="Times New Roman" w:cs="Times New Roman"/>
          <w:color w:val="000000"/>
          <w:sz w:val="24"/>
          <w:szCs w:val="24"/>
        </w:rPr>
        <w:t>建设</w:t>
      </w:r>
      <w:r>
        <w:rPr>
          <w:rFonts w:ascii="Times New Roman" w:hAnsi="Times New Roman" w:eastAsia="宋体" w:cs="Times New Roman"/>
          <w:color w:val="000000"/>
          <w:sz w:val="24"/>
          <w:szCs w:val="24"/>
        </w:rPr>
        <w:t>目标</w:t>
      </w:r>
      <w:r>
        <w:rPr>
          <w:rFonts w:ascii="Times New Roman" w:hAnsi="Times New Roman" w:cs="Times New Roman"/>
          <w:color w:val="000000"/>
          <w:sz w:val="24"/>
          <w:szCs w:val="24"/>
        </w:rPr>
        <w:t>和任务</w:t>
      </w:r>
      <w:bookmarkEnd w:id="49"/>
      <w:bookmarkEnd w:id="50"/>
      <w:bookmarkEnd w:id="51"/>
    </w:p>
    <w:p>
      <w:pPr>
        <w:ind w:firstLine="540"/>
        <w:rPr>
          <w:rFonts w:ascii="Times New Roman" w:hAnsi="Times New Roman" w:cs="Times New Roman"/>
          <w:color w:val="000000"/>
          <w:sz w:val="24"/>
          <w:szCs w:val="24"/>
        </w:rPr>
      </w:pPr>
      <w:r>
        <w:rPr>
          <w:rFonts w:ascii="Times New Roman" w:hAnsi="Times New Roman" w:cs="Times New Roman"/>
          <w:color w:val="000000"/>
          <w:sz w:val="24"/>
          <w:szCs w:val="24"/>
        </w:rPr>
        <w:t>工程建设的总体目标：到2023年，新农水</w:t>
      </w:r>
      <w:r>
        <w:rPr>
          <w:rFonts w:hint="eastAsia" w:ascii="Times New Roman" w:hAnsi="Times New Roman" w:eastAsia="宋体" w:cs="Times New Roman"/>
          <w:sz w:val="24"/>
          <w:szCs w:val="24"/>
          <w:lang w:eastAsia="zh-CN"/>
        </w:rPr>
        <w:t>乡村水务、水库及其渠道、水美新板块</w:t>
      </w:r>
      <w:r>
        <w:rPr>
          <w:rFonts w:ascii="Times New Roman" w:hAnsi="Times New Roman" w:cs="Times New Roman"/>
          <w:color w:val="000000"/>
          <w:sz w:val="24"/>
          <w:szCs w:val="24"/>
        </w:rPr>
        <w:t>工作有序推进，乡村水务试点建设取得成效，</w:t>
      </w:r>
      <w:r>
        <w:rPr>
          <w:rFonts w:hint="eastAsia" w:ascii="Times New Roman" w:hAnsi="Times New Roman" w:cs="Times New Roman"/>
          <w:color w:val="000000"/>
          <w:sz w:val="24"/>
          <w:szCs w:val="24"/>
        </w:rPr>
        <w:t>推进水库管理体制机制改革创新</w:t>
      </w:r>
      <w:r>
        <w:rPr>
          <w:rFonts w:ascii="Times New Roman" w:hAnsi="Times New Roman" w:cs="Times New Roman"/>
          <w:color w:val="000000"/>
          <w:sz w:val="24"/>
          <w:szCs w:val="24"/>
        </w:rPr>
        <w:t>，建成水美新村。到</w:t>
      </w:r>
      <w:r>
        <w:rPr>
          <w:rFonts w:hint="eastAsia" w:ascii="Times New Roman" w:hAnsi="Times New Roman" w:eastAsia="宋体" w:cs="Times New Roman"/>
          <w:lang w:eastAsia="zh-CN"/>
        </w:rPr>
        <w:t>2025</w:t>
      </w:r>
      <w:r>
        <w:rPr>
          <w:rFonts w:ascii="Times New Roman" w:hAnsi="Times New Roman" w:cs="Times New Roman"/>
          <w:color w:val="000000"/>
          <w:sz w:val="24"/>
          <w:szCs w:val="24"/>
        </w:rPr>
        <w:t>年</w:t>
      </w:r>
      <w:r>
        <w:rPr>
          <w:rFonts w:hint="eastAsia" w:ascii="Times New Roman" w:hAnsi="Times New Roman" w:cs="Times New Roman"/>
          <w:color w:val="000000"/>
          <w:sz w:val="24"/>
          <w:szCs w:val="24"/>
        </w:rPr>
        <w:t>，</w:t>
      </w:r>
      <w:r>
        <w:rPr>
          <w:rFonts w:ascii="Times New Roman" w:hAnsi="Times New Roman" w:cs="Times New Roman"/>
          <w:color w:val="000000"/>
          <w:sz w:val="24"/>
          <w:szCs w:val="24"/>
        </w:rPr>
        <w:t>新农水重点板块实现</w:t>
      </w:r>
      <w:r>
        <w:rPr>
          <w:rFonts w:hint="eastAsia" w:ascii="Times New Roman" w:hAnsi="Times New Roman" w:cs="Times New Roman"/>
          <w:color w:val="000000"/>
          <w:sz w:val="24"/>
          <w:szCs w:val="24"/>
        </w:rPr>
        <w:t>“十四五”</w:t>
      </w:r>
      <w:r>
        <w:rPr>
          <w:rFonts w:ascii="Times New Roman" w:hAnsi="Times New Roman" w:cs="Times New Roman"/>
          <w:color w:val="000000"/>
          <w:sz w:val="24"/>
          <w:szCs w:val="24"/>
        </w:rPr>
        <w:t>规划目标。</w:t>
      </w:r>
    </w:p>
    <w:p>
      <w:pPr>
        <w:ind w:firstLine="540"/>
        <w:rPr>
          <w:rFonts w:ascii="Times New Roman" w:hAnsi="Times New Roman" w:cs="Times New Roman"/>
          <w:color w:val="000000"/>
          <w:sz w:val="24"/>
          <w:szCs w:val="24"/>
        </w:rPr>
      </w:pPr>
      <w:r>
        <w:rPr>
          <w:rFonts w:hint="eastAsia" w:ascii="Times New Roman" w:hAnsi="Times New Roman" w:cs="Times New Roman"/>
          <w:color w:val="000000"/>
          <w:sz w:val="24"/>
          <w:szCs w:val="24"/>
        </w:rPr>
        <w:t>主要目标如下：</w:t>
      </w:r>
    </w:p>
    <w:p>
      <w:pPr>
        <w:ind w:firstLine="540"/>
        <w:rPr>
          <w:rFonts w:cs="Times New Roman"/>
          <w:bCs/>
          <w:sz w:val="24"/>
          <w:szCs w:val="24"/>
        </w:rPr>
      </w:pPr>
      <w:r>
        <w:rPr>
          <w:rFonts w:hint="eastAsia" w:ascii="Times New Roman" w:hAnsi="Times New Roman" w:eastAsia="宋体" w:cs="Times New Roman"/>
          <w:b w:val="0"/>
          <w:bCs w:val="0"/>
          <w:sz w:val="24"/>
          <w:szCs w:val="24"/>
          <w:lang w:eastAsia="zh-CN"/>
        </w:rPr>
        <w:t>乡村水务</w:t>
      </w:r>
      <w:r>
        <w:rPr>
          <w:rFonts w:hint="eastAsia" w:ascii="Times New Roman" w:hAnsi="Times New Roman" w:eastAsia="宋体" w:cs="Times New Roman"/>
          <w:lang w:eastAsia="zh-CN"/>
        </w:rPr>
        <w:t>方面</w:t>
      </w:r>
      <w:r>
        <w:rPr>
          <w:rFonts w:hint="eastAsia" w:cs="Times New Roman"/>
          <w:b w:val="0"/>
          <w:bCs w:val="0"/>
          <w:sz w:val="24"/>
          <w:szCs w:val="24"/>
        </w:rPr>
        <w:t>。</w:t>
      </w:r>
      <w:r>
        <w:rPr>
          <w:rFonts w:hint="eastAsia" w:cs="Times New Roman"/>
          <w:bCs/>
          <w:color w:val="000000"/>
          <w:sz w:val="24"/>
          <w:szCs w:val="24"/>
          <w:lang w:eastAsia="zh-CN"/>
        </w:rPr>
        <w:t>主要是</w:t>
      </w:r>
      <w:r>
        <w:rPr>
          <w:rFonts w:hint="eastAsia" w:cs="Times New Roman"/>
          <w:bCs/>
          <w:color w:val="000000"/>
          <w:sz w:val="24"/>
          <w:szCs w:val="24"/>
        </w:rPr>
        <w:t>实施城乡规模化供水保障工程，加快建设</w:t>
      </w:r>
      <w:r>
        <w:rPr>
          <w:sz w:val="24"/>
          <w:szCs w:val="24"/>
        </w:rPr>
        <w:t>县城片区供水工程、大竹堡片区供水工程、雪口山片区供水工程、荣丁片区供水工程</w:t>
      </w:r>
      <w:r>
        <w:rPr>
          <w:rFonts w:hint="eastAsia"/>
          <w:sz w:val="24"/>
          <w:szCs w:val="24"/>
          <w:lang w:eastAsia="zh-CN"/>
        </w:rPr>
        <w:t>、民主工业园区供水工程及苏坝片区供水工程</w:t>
      </w:r>
      <w:r>
        <w:rPr>
          <w:rFonts w:hint="eastAsia" w:cs="Times New Roman"/>
          <w:bCs/>
          <w:color w:val="000000"/>
          <w:sz w:val="24"/>
          <w:szCs w:val="24"/>
        </w:rPr>
        <w:t>，强化城乡供水保障工程建设与管理，进一步完善覆盖城乡的供水骨干工程网络体系，提高乡镇集中供水</w:t>
      </w:r>
      <w:r>
        <w:rPr>
          <w:rFonts w:hint="eastAsia" w:ascii="Times New Roman" w:hAnsi="Times New Roman" w:cs="Times New Roman"/>
          <w:color w:val="000000"/>
          <w:sz w:val="24"/>
          <w:szCs w:val="24"/>
          <w:lang w:eastAsia="zh-CN"/>
        </w:rPr>
        <w:t>工程</w:t>
      </w:r>
      <w:r>
        <w:rPr>
          <w:rFonts w:hint="eastAsia" w:cs="Times New Roman"/>
          <w:bCs/>
          <w:color w:val="000000"/>
          <w:sz w:val="24"/>
          <w:szCs w:val="24"/>
        </w:rPr>
        <w:t>末端</w:t>
      </w:r>
      <w:r>
        <w:rPr>
          <w:rFonts w:hint="eastAsia" w:ascii="Times New Roman" w:hAnsi="Times New Roman" w:cs="Times New Roman"/>
          <w:color w:val="000000"/>
          <w:sz w:val="24"/>
          <w:szCs w:val="24"/>
          <w:lang w:eastAsia="zh-CN"/>
        </w:rPr>
        <w:t>水平</w:t>
      </w:r>
      <w:r>
        <w:rPr>
          <w:rFonts w:hint="eastAsia" w:cs="Times New Roman"/>
          <w:bCs/>
          <w:color w:val="000000"/>
          <w:sz w:val="24"/>
          <w:szCs w:val="24"/>
        </w:rPr>
        <w:t>均合格率。</w:t>
      </w:r>
      <w:r>
        <w:rPr>
          <w:rFonts w:hint="eastAsia" w:cs="Times New Roman"/>
          <w:bCs/>
          <w:sz w:val="24"/>
          <w:szCs w:val="24"/>
        </w:rPr>
        <w:t>城乡供水保障能力明显增强，规模化供水覆盖程度明显提高，农村自来水普及率达到</w:t>
      </w:r>
      <w:r>
        <w:rPr>
          <w:rFonts w:cs="Times New Roman"/>
          <w:bCs/>
          <w:sz w:val="24"/>
          <w:szCs w:val="24"/>
        </w:rPr>
        <w:t>8</w:t>
      </w:r>
      <w:r>
        <w:rPr>
          <w:rFonts w:hint="eastAsia" w:cs="Times New Roman"/>
          <w:bCs/>
          <w:sz w:val="24"/>
          <w:szCs w:val="24"/>
        </w:rPr>
        <w:t>5</w:t>
      </w:r>
      <w:r>
        <w:rPr>
          <w:rFonts w:cs="Times New Roman"/>
          <w:bCs/>
          <w:sz w:val="24"/>
          <w:szCs w:val="24"/>
        </w:rPr>
        <w:t>%</w:t>
      </w:r>
      <w:r>
        <w:rPr>
          <w:rFonts w:hint="eastAsia" w:cs="Times New Roman"/>
          <w:bCs/>
          <w:sz w:val="24"/>
          <w:szCs w:val="24"/>
        </w:rPr>
        <w:t>。</w:t>
      </w:r>
    </w:p>
    <w:p>
      <w:pPr>
        <w:ind w:firstLine="540"/>
        <w:rPr>
          <w:rFonts w:cs="Times New Roman"/>
          <w:bCs/>
          <w:sz w:val="24"/>
          <w:szCs w:val="24"/>
        </w:rPr>
      </w:pPr>
      <w:r>
        <w:rPr>
          <w:rFonts w:hint="eastAsia" w:ascii="Times New Roman" w:hAnsi="Times New Roman" w:eastAsia="宋体" w:cs="Times New Roman"/>
          <w:b w:val="0"/>
          <w:bCs w:val="0"/>
          <w:sz w:val="24"/>
          <w:szCs w:val="24"/>
          <w:lang w:eastAsia="zh-CN"/>
        </w:rPr>
        <w:t>现代水利制度方面。</w:t>
      </w:r>
      <w:r>
        <w:rPr>
          <w:rFonts w:hint="eastAsia" w:cs="Times New Roman"/>
          <w:bCs/>
          <w:sz w:val="24"/>
          <w:szCs w:val="24"/>
        </w:rPr>
        <w:t>水利改革</w:t>
      </w:r>
      <w:r>
        <w:rPr>
          <w:rFonts w:hint="eastAsia" w:ascii="Times New Roman" w:hAnsi="Times New Roman" w:cs="Times New Roman"/>
          <w:color w:val="000000"/>
          <w:sz w:val="24"/>
          <w:szCs w:val="24"/>
          <w:lang w:eastAsia="zh-CN"/>
        </w:rPr>
        <w:t>取得</w:t>
      </w:r>
      <w:r>
        <w:rPr>
          <w:rFonts w:hint="eastAsia" w:cs="Times New Roman"/>
          <w:bCs/>
          <w:sz w:val="24"/>
          <w:szCs w:val="24"/>
        </w:rPr>
        <w:t>重要进展，水资源管理、水利投融资、水利工程建设和管护、水价等方面体制机制进一步完善。涉水监管制度基本建立，监管能力和服务水平进一步提高。</w:t>
      </w:r>
    </w:p>
    <w:p>
      <w:pPr>
        <w:ind w:firstLine="540"/>
        <w:rPr>
          <w:rFonts w:cs="Times New Roman"/>
          <w:bCs/>
          <w:color w:val="FF0000"/>
          <w:sz w:val="24"/>
          <w:szCs w:val="24"/>
        </w:rPr>
      </w:pPr>
      <w:r>
        <w:rPr>
          <w:rFonts w:hint="eastAsia" w:ascii="Times New Roman" w:hAnsi="Times New Roman" w:eastAsia="宋体" w:cs="Times New Roman"/>
          <w:b w:val="0"/>
          <w:bCs w:val="0"/>
          <w:sz w:val="24"/>
          <w:szCs w:val="24"/>
          <w:lang w:eastAsia="zh-CN"/>
        </w:rPr>
        <w:t>水美新村方面。建成水美新村，构建节水高效、生态优美、保障有力的农村水系；推进农村人居环境综合整治；促进水体自然生态修复，提高水源涵养能力。</w:t>
      </w:r>
    </w:p>
    <w:p>
      <w:pPr>
        <w:ind w:firstLine="540"/>
        <w:rPr>
          <w:rFonts w:ascii="Times New Roman" w:hAnsi="Times New Roman" w:eastAsia="宋体" w:cs="Times New Roman"/>
          <w:color w:val="000000"/>
          <w:sz w:val="24"/>
          <w:szCs w:val="24"/>
        </w:rPr>
      </w:pPr>
      <w:bookmarkStart w:id="52" w:name="_Toc235525825"/>
      <w:bookmarkStart w:id="53" w:name="_Toc219184862"/>
      <w:bookmarkStart w:id="54" w:name="_Toc219184555"/>
      <w:r>
        <w:rPr>
          <w:rFonts w:hint="eastAsia" w:ascii="Times New Roman" w:hAnsi="Times New Roman" w:eastAsia="宋体" w:cs="Times New Roman"/>
          <w:color w:val="000000"/>
          <w:sz w:val="24"/>
          <w:szCs w:val="24"/>
          <w:lang w:val="en-US" w:eastAsia="zh-CN"/>
        </w:rPr>
        <w:t>2、</w:t>
      </w:r>
      <w:r>
        <w:rPr>
          <w:rFonts w:ascii="Times New Roman" w:hAnsi="Times New Roman" w:eastAsia="宋体" w:cs="Times New Roman"/>
          <w:color w:val="000000"/>
          <w:sz w:val="24"/>
          <w:szCs w:val="24"/>
        </w:rPr>
        <w:t>工程管理</w:t>
      </w:r>
      <w:r>
        <w:rPr>
          <w:rFonts w:hint="eastAsia" w:ascii="Times New Roman" w:hAnsi="Times New Roman" w:eastAsia="宋体" w:cs="Times New Roman"/>
          <w:lang w:eastAsia="zh-CN"/>
        </w:rPr>
        <w:t>改革</w:t>
      </w:r>
      <w:r>
        <w:rPr>
          <w:rFonts w:ascii="Times New Roman" w:hAnsi="Times New Roman" w:eastAsia="宋体" w:cs="Times New Roman"/>
          <w:sz w:val="24"/>
          <w:szCs w:val="24"/>
        </w:rPr>
        <w:t>目标</w:t>
      </w:r>
      <w:r>
        <w:rPr>
          <w:rFonts w:ascii="Times New Roman" w:hAnsi="Times New Roman" w:eastAsia="宋体" w:cs="Times New Roman"/>
          <w:color w:val="000000"/>
          <w:sz w:val="24"/>
          <w:szCs w:val="24"/>
        </w:rPr>
        <w:t>和任务</w:t>
      </w:r>
      <w:bookmarkEnd w:id="52"/>
      <w:bookmarkEnd w:id="53"/>
      <w:bookmarkEnd w:id="54"/>
    </w:p>
    <w:p>
      <w:pPr>
        <w:ind w:firstLine="540"/>
        <w:rPr>
          <w:rFonts w:ascii="Times New Roman" w:hAnsi="Times New Roman" w:cs="Times New Roman"/>
          <w:color w:val="auto"/>
          <w:sz w:val="24"/>
          <w:szCs w:val="24"/>
        </w:rPr>
      </w:pPr>
      <w:r>
        <w:rPr>
          <w:rFonts w:ascii="Times New Roman" w:hAnsi="Times New Roman" w:cs="Times New Roman"/>
          <w:color w:val="auto"/>
          <w:sz w:val="24"/>
          <w:szCs w:val="24"/>
        </w:rPr>
        <w:t>逐步建立良性的工程管理体制与运行机制的目标，主要包括：</w:t>
      </w:r>
    </w:p>
    <w:p>
      <w:pPr>
        <w:ind w:firstLine="540"/>
        <w:rPr>
          <w:rFonts w:hint="eastAsia" w:ascii="Times New Roman" w:hAnsi="Times New Roman" w:eastAsia="宋体" w:cs="Times New Roman"/>
          <w:b w:val="0"/>
          <w:bCs w:val="0"/>
          <w:sz w:val="24"/>
          <w:szCs w:val="24"/>
          <w:lang w:eastAsia="zh-CN"/>
        </w:rPr>
      </w:pPr>
      <w:r>
        <w:rPr>
          <w:rFonts w:hint="eastAsia" w:ascii="Times New Roman" w:hAnsi="Times New Roman" w:eastAsia="宋体" w:cs="Times New Roman"/>
          <w:b w:val="0"/>
          <w:bCs w:val="0"/>
          <w:sz w:val="24"/>
          <w:szCs w:val="24"/>
          <w:lang w:eastAsia="zh-CN"/>
        </w:rPr>
        <w:t>（1）制度</w:t>
      </w:r>
      <w:r>
        <w:rPr>
          <w:rFonts w:hint="eastAsia" w:ascii="Times New Roman" w:hAnsi="Times New Roman" w:eastAsia="宋体" w:cs="Times New Roman"/>
          <w:lang w:eastAsia="zh-CN"/>
        </w:rPr>
        <w:t>建设</w:t>
      </w:r>
    </w:p>
    <w:p>
      <w:pPr>
        <w:ind w:firstLine="540"/>
        <w:rPr>
          <w:rFonts w:hint="eastAsia" w:ascii="Times New Roman" w:hAnsi="Times New Roman" w:eastAsia="宋体" w:cs="Times New Roman"/>
          <w:b w:val="0"/>
          <w:bCs w:val="0"/>
          <w:sz w:val="24"/>
          <w:szCs w:val="24"/>
          <w:lang w:eastAsia="zh-CN"/>
        </w:rPr>
      </w:pPr>
      <w:r>
        <w:rPr>
          <w:rFonts w:hint="eastAsia" w:ascii="Times New Roman" w:hAnsi="Times New Roman" w:eastAsia="宋体" w:cs="Times New Roman"/>
          <w:b/>
          <w:bCs/>
          <w:sz w:val="24"/>
          <w:szCs w:val="24"/>
          <w:lang w:eastAsia="zh-CN"/>
        </w:rPr>
        <w:t>加强</w:t>
      </w:r>
      <w:r>
        <w:rPr>
          <w:rFonts w:hint="eastAsia" w:ascii="宋体" w:hAnsi="宋体" w:eastAsia="宋体" w:cs="Times New Roman"/>
          <w:b/>
          <w:bCs/>
          <w:color w:val="000000"/>
          <w:sz w:val="24"/>
          <w:szCs w:val="24"/>
          <w:lang w:eastAsia="zh-CN"/>
        </w:rPr>
        <w:t>组织</w:t>
      </w:r>
      <w:r>
        <w:rPr>
          <w:rFonts w:hint="eastAsia" w:ascii="Times New Roman" w:hAnsi="Times New Roman" w:eastAsia="宋体" w:cs="Times New Roman"/>
          <w:sz w:val="24"/>
          <w:szCs w:val="24"/>
          <w:lang w:eastAsia="zh-CN"/>
        </w:rPr>
        <w:t>领导</w:t>
      </w:r>
      <w:r>
        <w:rPr>
          <w:rFonts w:hint="eastAsia" w:ascii="Times New Roman" w:hAnsi="Times New Roman" w:eastAsia="宋体" w:cs="Times New Roman"/>
          <w:b/>
          <w:bCs/>
          <w:sz w:val="24"/>
          <w:szCs w:val="24"/>
          <w:lang w:eastAsia="zh-CN"/>
        </w:rPr>
        <w:t>，建立领导</w:t>
      </w:r>
      <w:r>
        <w:rPr>
          <w:rFonts w:hint="eastAsia" w:ascii="Times New Roman" w:hAnsi="Times New Roman" w:eastAsia="宋体" w:cs="Times New Roman"/>
          <w:lang w:eastAsia="zh-CN"/>
        </w:rPr>
        <w:t>机构</w:t>
      </w:r>
      <w:r>
        <w:rPr>
          <w:rFonts w:hint="eastAsia" w:ascii="Times New Roman" w:hAnsi="Times New Roman" w:eastAsia="宋体" w:cs="Times New Roman"/>
          <w:b w:val="0"/>
          <w:bCs w:val="0"/>
          <w:sz w:val="24"/>
          <w:szCs w:val="24"/>
          <w:lang w:eastAsia="zh-CN"/>
        </w:rPr>
        <w:t>，指导、推动、督促新农水工程管理体制改革工作。</w:t>
      </w:r>
    </w:p>
    <w:p>
      <w:pPr>
        <w:ind w:firstLine="540"/>
        <w:rPr>
          <w:rFonts w:hint="eastAsia" w:ascii="Times New Roman" w:hAnsi="Times New Roman" w:eastAsia="宋体" w:cs="Times New Roman"/>
          <w:b w:val="0"/>
          <w:bCs w:val="0"/>
          <w:sz w:val="24"/>
          <w:szCs w:val="24"/>
          <w:lang w:eastAsia="zh-CN"/>
        </w:rPr>
      </w:pPr>
      <w:r>
        <w:rPr>
          <w:rFonts w:hint="eastAsia" w:ascii="Times New Roman" w:hAnsi="Times New Roman" w:eastAsia="宋体" w:cs="Times New Roman"/>
          <w:b/>
          <w:bCs/>
          <w:sz w:val="24"/>
          <w:szCs w:val="24"/>
          <w:lang w:eastAsia="zh-CN"/>
        </w:rPr>
        <w:t>新农水台帐</w:t>
      </w:r>
      <w:r>
        <w:rPr>
          <w:rFonts w:hint="eastAsia" w:ascii="Times New Roman" w:hAnsi="Times New Roman" w:eastAsia="宋体" w:cs="Times New Roman"/>
          <w:sz w:val="24"/>
          <w:szCs w:val="24"/>
          <w:lang w:eastAsia="zh-CN"/>
        </w:rPr>
        <w:t>改革</w:t>
      </w:r>
      <w:r>
        <w:rPr>
          <w:rFonts w:hint="eastAsia" w:ascii="Times New Roman" w:hAnsi="Times New Roman" w:eastAsia="宋体" w:cs="Times New Roman"/>
          <w:b/>
          <w:bCs/>
          <w:sz w:val="24"/>
          <w:szCs w:val="24"/>
          <w:lang w:eastAsia="zh-CN"/>
        </w:rPr>
        <w:t>与建立</w:t>
      </w:r>
      <w:r>
        <w:rPr>
          <w:rFonts w:hint="eastAsia" w:ascii="Times New Roman" w:hAnsi="Times New Roman" w:eastAsia="宋体" w:cs="Times New Roman"/>
          <w:b w:val="0"/>
          <w:bCs w:val="0"/>
          <w:sz w:val="24"/>
          <w:szCs w:val="24"/>
          <w:lang w:eastAsia="zh-CN"/>
        </w:rPr>
        <w:t>，</w:t>
      </w:r>
      <w:r>
        <w:rPr>
          <w:rFonts w:hint="eastAsia" w:ascii="Times New Roman" w:hAnsi="Times New Roman" w:eastAsia="宋体" w:cs="Times New Roman"/>
          <w:lang w:eastAsia="zh-CN"/>
        </w:rPr>
        <w:t>通过</w:t>
      </w:r>
      <w:r>
        <w:rPr>
          <w:rFonts w:hint="eastAsia" w:ascii="Times New Roman" w:hAnsi="Times New Roman" w:eastAsia="宋体" w:cs="Times New Roman"/>
          <w:b w:val="0"/>
          <w:bCs w:val="0"/>
          <w:sz w:val="24"/>
          <w:szCs w:val="24"/>
          <w:lang w:eastAsia="zh-CN"/>
        </w:rPr>
        <w:t>完善新农水确权登记颁证更新工程台账，详细的罗列工程的类型、用途、材质、</w:t>
      </w:r>
      <w:r>
        <w:rPr>
          <w:rFonts w:hint="eastAsia" w:ascii="Times New Roman" w:hAnsi="Times New Roman" w:eastAsia="宋体" w:cs="Times New Roman"/>
          <w:lang w:eastAsia="zh-CN"/>
        </w:rPr>
        <w:t>建设</w:t>
      </w:r>
      <w:r>
        <w:rPr>
          <w:rFonts w:hint="eastAsia" w:ascii="Times New Roman" w:hAnsi="Times New Roman" w:eastAsia="宋体" w:cs="Times New Roman"/>
          <w:b w:val="0"/>
          <w:bCs w:val="0"/>
          <w:sz w:val="24"/>
          <w:szCs w:val="24"/>
          <w:lang w:eastAsia="zh-CN"/>
        </w:rPr>
        <w:t>时间及权属归属等信息，为工程管护体制改革奠定基础。</w:t>
      </w:r>
    </w:p>
    <w:p>
      <w:pPr>
        <w:ind w:firstLine="540"/>
        <w:rPr>
          <w:rFonts w:hint="eastAsia" w:ascii="Times New Roman" w:hAnsi="Times New Roman" w:eastAsia="宋体" w:cs="Times New Roman"/>
          <w:b w:val="0"/>
          <w:bCs w:val="0"/>
          <w:sz w:val="24"/>
          <w:szCs w:val="24"/>
          <w:lang w:eastAsia="zh-CN"/>
        </w:rPr>
      </w:pPr>
      <w:r>
        <w:rPr>
          <w:rFonts w:hint="eastAsia" w:ascii="Times New Roman" w:hAnsi="Times New Roman" w:eastAsia="宋体" w:cs="Times New Roman"/>
          <w:b/>
          <w:bCs/>
          <w:sz w:val="24"/>
          <w:szCs w:val="24"/>
          <w:lang w:eastAsia="zh-CN"/>
        </w:rPr>
        <w:t>工程管理责任落实，</w:t>
      </w:r>
      <w:r>
        <w:rPr>
          <w:rFonts w:hint="eastAsia" w:ascii="Times New Roman" w:hAnsi="Times New Roman" w:eastAsia="宋体" w:cs="Times New Roman"/>
          <w:b w:val="0"/>
          <w:bCs w:val="0"/>
          <w:sz w:val="24"/>
          <w:szCs w:val="24"/>
          <w:lang w:eastAsia="zh-CN"/>
        </w:rPr>
        <w:t xml:space="preserve"> 在明晰</w:t>
      </w:r>
      <w:r>
        <w:rPr>
          <w:rFonts w:hint="eastAsia" w:ascii="Times New Roman" w:hAnsi="Times New Roman" w:eastAsia="宋体" w:cs="Times New Roman"/>
          <w:lang w:eastAsia="zh-CN"/>
        </w:rPr>
        <w:t>所有权</w:t>
      </w:r>
      <w:r>
        <w:rPr>
          <w:rFonts w:hint="eastAsia" w:ascii="Times New Roman" w:hAnsi="Times New Roman" w:eastAsia="宋体" w:cs="Times New Roman"/>
          <w:b w:val="0"/>
          <w:bCs w:val="0"/>
          <w:sz w:val="24"/>
          <w:szCs w:val="24"/>
          <w:lang w:eastAsia="zh-CN"/>
        </w:rPr>
        <w:t>的基础上，进一步明确管理权（工程管理权指工程使用权、经营权），落实管护主体。</w:t>
      </w:r>
    </w:p>
    <w:p>
      <w:pPr>
        <w:ind w:firstLine="540"/>
        <w:rPr>
          <w:rFonts w:hint="eastAsia" w:ascii="Times New Roman" w:hAnsi="Times New Roman" w:eastAsia="宋体" w:cs="Times New Roman"/>
          <w:b w:val="0"/>
          <w:bCs w:val="0"/>
          <w:sz w:val="24"/>
          <w:szCs w:val="24"/>
          <w:lang w:eastAsia="zh-CN"/>
        </w:rPr>
      </w:pPr>
      <w:r>
        <w:rPr>
          <w:rFonts w:hint="eastAsia" w:ascii="Times New Roman" w:hAnsi="Times New Roman" w:eastAsia="宋体" w:cs="Times New Roman"/>
          <w:b/>
          <w:bCs/>
          <w:sz w:val="24"/>
          <w:szCs w:val="24"/>
          <w:lang w:eastAsia="zh-CN"/>
        </w:rPr>
        <w:t>工程管护模式建立</w:t>
      </w:r>
      <w:r>
        <w:rPr>
          <w:rFonts w:hint="eastAsia" w:ascii="Times New Roman" w:hAnsi="Times New Roman" w:eastAsia="宋体" w:cs="Times New Roman"/>
          <w:b w:val="0"/>
          <w:bCs w:val="0"/>
          <w:sz w:val="24"/>
          <w:szCs w:val="24"/>
          <w:lang w:eastAsia="zh-CN"/>
        </w:rPr>
        <w:t>，明确新农水工程管理责任，各级负责人进行管理工作，发现存在隐患问题及时</w:t>
      </w:r>
      <w:r>
        <w:rPr>
          <w:rFonts w:hint="eastAsia" w:ascii="Times New Roman" w:hAnsi="Times New Roman" w:eastAsia="宋体" w:cs="Times New Roman"/>
          <w:sz w:val="24"/>
          <w:szCs w:val="24"/>
          <w:lang w:eastAsia="zh-CN"/>
        </w:rPr>
        <w:t>处理</w:t>
      </w:r>
      <w:r>
        <w:rPr>
          <w:rFonts w:hint="eastAsia" w:ascii="Times New Roman" w:hAnsi="Times New Roman" w:eastAsia="宋体" w:cs="Times New Roman"/>
          <w:b w:val="0"/>
          <w:bCs w:val="0"/>
          <w:sz w:val="24"/>
          <w:szCs w:val="24"/>
          <w:lang w:eastAsia="zh-CN"/>
        </w:rPr>
        <w:t>。</w:t>
      </w:r>
    </w:p>
    <w:p>
      <w:pPr>
        <w:ind w:firstLine="540"/>
        <w:rPr>
          <w:rFonts w:ascii="Times New Roman" w:hAnsi="Times New Roman" w:cs="Times New Roman"/>
          <w:color w:val="auto"/>
          <w:sz w:val="24"/>
          <w:szCs w:val="24"/>
        </w:rPr>
      </w:pPr>
      <w:r>
        <w:rPr>
          <w:rFonts w:ascii="Times New Roman" w:hAnsi="Times New Roman" w:cs="Times New Roman"/>
          <w:color w:val="auto"/>
          <w:sz w:val="24"/>
          <w:szCs w:val="24"/>
        </w:rPr>
        <w:t>（2）</w:t>
      </w:r>
      <w:r>
        <w:rPr>
          <w:rFonts w:hint="eastAsia" w:ascii="Times New Roman" w:hAnsi="Times New Roman" w:cs="Times New Roman"/>
          <w:color w:val="auto"/>
          <w:sz w:val="24"/>
          <w:szCs w:val="24"/>
        </w:rPr>
        <w:t>与新农水匹配的投资建设运行管理模式，及相应平台筹建思路、计划等</w:t>
      </w:r>
    </w:p>
    <w:p>
      <w:pPr>
        <w:ind w:firstLine="540"/>
        <w:rPr>
          <w:rFonts w:hint="eastAsia" w:ascii="Times New Roman" w:hAnsi="Times New Roman" w:eastAsia="宋体" w:cs="Times New Roman"/>
          <w:b w:val="0"/>
          <w:bCs w:val="0"/>
          <w:color w:val="auto"/>
          <w:sz w:val="24"/>
          <w:szCs w:val="24"/>
          <w:lang w:eastAsia="zh-CN"/>
        </w:rPr>
      </w:pPr>
      <w:r>
        <w:rPr>
          <w:rFonts w:hint="eastAsia" w:ascii="Times New Roman" w:hAnsi="Times New Roman" w:eastAsia="宋体" w:cs="Times New Roman"/>
          <w:b w:val="0"/>
          <w:bCs w:val="0"/>
          <w:color w:val="auto"/>
          <w:sz w:val="24"/>
          <w:szCs w:val="24"/>
          <w:lang w:eastAsia="zh-CN"/>
        </w:rPr>
        <w:t>一是完善新农水工程管护体制，与地方村民村规村俗结合起来，保护水利工程，合理利用水资源，促进农村经济发展；二是工程管护体制责任文件颁发，责任落实，建立奖励奖惩制度，让新农水管护体制改革落到实处；三是合理利用新农水方面现有的资金，以及以后改革建立的工程建设发展取得的资金；最后坚持发展改革的观念，积极</w:t>
      </w:r>
      <w:r>
        <w:rPr>
          <w:rFonts w:hint="eastAsia" w:ascii="Times New Roman" w:hAnsi="Times New Roman" w:eastAsia="宋体" w:cs="Times New Roman"/>
          <w:lang w:eastAsia="zh-CN"/>
        </w:rPr>
        <w:t>主动</w:t>
      </w:r>
      <w:r>
        <w:rPr>
          <w:rFonts w:hint="eastAsia" w:ascii="Times New Roman" w:hAnsi="Times New Roman" w:eastAsia="宋体" w:cs="Times New Roman"/>
          <w:b w:val="0"/>
          <w:bCs w:val="0"/>
          <w:color w:val="auto"/>
          <w:sz w:val="24"/>
          <w:szCs w:val="24"/>
          <w:lang w:eastAsia="zh-CN"/>
        </w:rPr>
        <w:t>争取国家投入的资金，促进我县的水利事业发展和管理体制的改革。</w:t>
      </w:r>
    </w:p>
    <w:p>
      <w:pPr>
        <w:ind w:firstLine="540"/>
        <w:rPr>
          <w:rFonts w:ascii="Times New Roman" w:hAnsi="Times New Roman" w:cs="Times New Roman"/>
          <w:color w:val="auto"/>
          <w:sz w:val="24"/>
          <w:szCs w:val="24"/>
        </w:rPr>
      </w:pP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3</w:t>
      </w:r>
      <w:r>
        <w:rPr>
          <w:rFonts w:hint="eastAsia" w:ascii="Times New Roman" w:hAnsi="Times New Roman" w:cs="Times New Roman"/>
          <w:color w:val="auto"/>
          <w:sz w:val="24"/>
          <w:szCs w:val="24"/>
          <w:lang w:eastAsia="zh-CN"/>
        </w:rPr>
        <w:t>）</w:t>
      </w:r>
      <w:r>
        <w:rPr>
          <w:rFonts w:ascii="Times New Roman" w:hAnsi="Times New Roman" w:cs="Times New Roman"/>
          <w:color w:val="auto"/>
          <w:sz w:val="24"/>
          <w:szCs w:val="24"/>
        </w:rPr>
        <w:t>群众管理组织改革</w:t>
      </w:r>
    </w:p>
    <w:p>
      <w:pPr>
        <w:ind w:firstLine="540"/>
        <w:rPr>
          <w:rFonts w:ascii="Times New Roman" w:hAnsi="Times New Roman" w:cs="Times New Roman"/>
          <w:color w:val="FF0000"/>
          <w:sz w:val="24"/>
          <w:szCs w:val="24"/>
        </w:rPr>
      </w:pPr>
      <w:r>
        <w:rPr>
          <w:rFonts w:hint="eastAsia" w:ascii="Times New Roman" w:hAnsi="Times New Roman" w:eastAsia="宋体" w:cs="Times New Roman"/>
          <w:b w:val="0"/>
          <w:bCs w:val="0"/>
          <w:sz w:val="24"/>
          <w:szCs w:val="24"/>
          <w:lang w:eastAsia="zh-CN"/>
        </w:rPr>
        <w:t>支持农民合作社、家庭农场、专业大户、农业企业等新型经营主体投资建设新农水工程设施。</w:t>
      </w:r>
      <w:r>
        <w:rPr>
          <w:rFonts w:hint="eastAsia" w:ascii="Times New Roman" w:hAnsi="Times New Roman" w:eastAsia="宋体" w:cs="Times New Roman"/>
          <w:lang w:eastAsia="zh-CN"/>
        </w:rPr>
        <w:t>允许</w:t>
      </w:r>
      <w:r>
        <w:rPr>
          <w:rFonts w:hint="eastAsia" w:ascii="Times New Roman" w:hAnsi="Times New Roman" w:eastAsia="宋体" w:cs="Times New Roman"/>
          <w:b w:val="0"/>
          <w:bCs w:val="0"/>
          <w:sz w:val="24"/>
          <w:szCs w:val="24"/>
          <w:lang w:eastAsia="zh-CN"/>
        </w:rPr>
        <w:t>财政补助形成的新农水工程资产由农业用水合作组织持有和管护。鼓励社会资本以特许经营、参股控股等多种形式参与具有一定收益的节水供水重大水利工程建设</w:t>
      </w:r>
      <w:r>
        <w:rPr>
          <w:rFonts w:hint="eastAsia" w:ascii="Times New Roman" w:hAnsi="Times New Roman" w:eastAsia="宋体" w:cs="Times New Roman"/>
          <w:lang w:eastAsia="zh-CN"/>
        </w:rPr>
        <w:t>运营</w:t>
      </w:r>
      <w:r>
        <w:rPr>
          <w:rFonts w:hint="eastAsia" w:ascii="Times New Roman" w:hAnsi="Times New Roman" w:eastAsia="宋体" w:cs="Times New Roman"/>
          <w:b w:val="0"/>
          <w:bCs w:val="0"/>
          <w:sz w:val="24"/>
          <w:szCs w:val="24"/>
          <w:lang w:eastAsia="zh-CN"/>
        </w:rPr>
        <w:t>。社会资本愿意投入的重大水利工程，要积极鼓励社会资本投资建设。</w:t>
      </w:r>
    </w:p>
    <w:p>
      <w:pPr>
        <w:ind w:firstLine="540"/>
        <w:rPr>
          <w:rFonts w:ascii="Times New Roman" w:hAnsi="Times New Roman" w:cs="Times New Roman"/>
          <w:color w:val="auto"/>
          <w:sz w:val="24"/>
          <w:szCs w:val="24"/>
        </w:rPr>
      </w:pPr>
      <w:r>
        <w:rPr>
          <w:rFonts w:ascii="Times New Roman" w:hAnsi="Times New Roman" w:cs="Times New Roman"/>
          <w:color w:val="auto"/>
          <w:sz w:val="24"/>
          <w:szCs w:val="24"/>
        </w:rPr>
        <w:t>（4）乡镇水管站和社会化服务体系建设</w:t>
      </w:r>
    </w:p>
    <w:p>
      <w:pPr>
        <w:ind w:firstLine="540"/>
        <w:rPr>
          <w:rFonts w:hint="eastAsia" w:ascii="Times New Roman" w:hAnsi="Times New Roman" w:eastAsia="宋体" w:cs="Times New Roman"/>
          <w:b w:val="0"/>
          <w:bCs w:val="0"/>
          <w:sz w:val="24"/>
          <w:szCs w:val="24"/>
          <w:lang w:eastAsia="zh-CN"/>
        </w:rPr>
      </w:pPr>
      <w:r>
        <w:rPr>
          <w:rFonts w:hint="eastAsia" w:ascii="Times New Roman" w:hAnsi="Times New Roman" w:eastAsia="宋体" w:cs="Times New Roman"/>
          <w:b w:val="0"/>
          <w:bCs w:val="0"/>
          <w:color w:val="auto"/>
          <w:sz w:val="24"/>
          <w:szCs w:val="24"/>
          <w:lang w:eastAsia="zh-CN"/>
        </w:rPr>
        <w:t>设立村级水管员，农村集体经济组织管理的小</w:t>
      </w:r>
      <w:r>
        <w:rPr>
          <w:rFonts w:hint="eastAsia" w:ascii="Times New Roman" w:hAnsi="Times New Roman" w:eastAsia="宋体" w:cs="Times New Roman"/>
          <w:b w:val="0"/>
          <w:bCs w:val="0"/>
          <w:sz w:val="24"/>
          <w:szCs w:val="24"/>
          <w:lang w:eastAsia="zh-CN"/>
        </w:rPr>
        <w:t>型水利工程管护经费县财政给予一定补助，这部分补助主要用于新设的村级水管员的工资补助，补助标准按照管护的工程数量或面积确定。鼓励村级水管员以本村或跨村联合成立小型水利工程管护队扩大工程的</w:t>
      </w:r>
      <w:r>
        <w:rPr>
          <w:rFonts w:hint="eastAsia" w:ascii="Times New Roman" w:hAnsi="Times New Roman" w:eastAsia="宋体" w:cs="Times New Roman"/>
          <w:lang w:eastAsia="zh-CN"/>
        </w:rPr>
        <w:t>管护</w:t>
      </w:r>
      <w:r>
        <w:rPr>
          <w:rFonts w:hint="eastAsia" w:ascii="Times New Roman" w:hAnsi="Times New Roman" w:eastAsia="宋体" w:cs="Times New Roman"/>
          <w:b w:val="0"/>
          <w:bCs w:val="0"/>
          <w:sz w:val="24"/>
          <w:szCs w:val="24"/>
          <w:lang w:eastAsia="zh-CN"/>
        </w:rPr>
        <w:t>数量，增加管护人员收入。工程维修所需的材料费、机械费或需要人工较多的人工费等由受益主体负责筹集。</w:t>
      </w:r>
    </w:p>
    <w:p>
      <w:pPr>
        <w:ind w:firstLine="540"/>
        <w:rPr>
          <w:rFonts w:ascii="Times New Roman" w:hAnsi="Times New Roman" w:cs="Times New Roman"/>
          <w:color w:val="FF0000"/>
          <w:sz w:val="24"/>
          <w:szCs w:val="24"/>
        </w:rPr>
      </w:pPr>
      <w:r>
        <w:rPr>
          <w:rFonts w:hint="eastAsia" w:ascii="Times New Roman" w:hAnsi="Times New Roman" w:eastAsia="宋体" w:cs="Times New Roman"/>
          <w:b w:val="0"/>
          <w:bCs w:val="0"/>
          <w:sz w:val="24"/>
          <w:szCs w:val="24"/>
          <w:lang w:eastAsia="zh-CN"/>
        </w:rPr>
        <w:t>依托基层</w:t>
      </w:r>
      <w:r>
        <w:rPr>
          <w:rFonts w:hint="eastAsia" w:ascii="Times New Roman" w:hAnsi="Times New Roman" w:eastAsia="宋体" w:cs="Times New Roman"/>
          <w:lang w:eastAsia="zh-CN"/>
        </w:rPr>
        <w:t>水利</w:t>
      </w:r>
      <w:r>
        <w:rPr>
          <w:rFonts w:hint="eastAsia" w:ascii="Times New Roman" w:hAnsi="Times New Roman" w:eastAsia="宋体" w:cs="Times New Roman"/>
          <w:b w:val="0"/>
          <w:bCs w:val="0"/>
          <w:sz w:val="24"/>
          <w:szCs w:val="24"/>
          <w:lang w:eastAsia="zh-CN"/>
        </w:rPr>
        <w:t>服务机构、防汛抗旱服务队伍、专业化维修养护队伍、农民用水合作组织、村级水管员等，向社会提供专业化、规范化、便利化的工程管理与维修养护服务。</w:t>
      </w:r>
    </w:p>
    <w:p>
      <w:pPr>
        <w:ind w:firstLine="540"/>
        <w:rPr>
          <w:rFonts w:ascii="Times New Roman" w:hAnsi="Times New Roman" w:cs="Times New Roman"/>
          <w:color w:val="auto"/>
          <w:sz w:val="24"/>
          <w:szCs w:val="24"/>
        </w:rPr>
      </w:pP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5</w:t>
      </w:r>
      <w:r>
        <w:rPr>
          <w:rFonts w:hint="eastAsia" w:ascii="Times New Roman" w:hAnsi="Times New Roman" w:cs="Times New Roman"/>
          <w:color w:val="auto"/>
          <w:sz w:val="24"/>
          <w:szCs w:val="24"/>
          <w:lang w:eastAsia="zh-CN"/>
        </w:rPr>
        <w:t>）</w:t>
      </w:r>
      <w:r>
        <w:rPr>
          <w:rFonts w:ascii="Times New Roman" w:hAnsi="Times New Roman" w:cs="Times New Roman"/>
          <w:color w:val="auto"/>
          <w:sz w:val="24"/>
          <w:szCs w:val="24"/>
        </w:rPr>
        <w:t>水价改革和水费计收</w:t>
      </w:r>
    </w:p>
    <w:p>
      <w:pPr>
        <w:ind w:firstLine="540"/>
        <w:rPr>
          <w:rFonts w:hint="eastAsia" w:ascii="Times New Roman" w:hAnsi="Times New Roman" w:eastAsia="宋体" w:cs="Times New Roman"/>
          <w:b w:val="0"/>
          <w:bCs w:val="0"/>
          <w:sz w:val="24"/>
          <w:szCs w:val="24"/>
          <w:lang w:eastAsia="zh-CN"/>
        </w:rPr>
      </w:pPr>
      <w:r>
        <w:rPr>
          <w:rFonts w:hint="eastAsia" w:ascii="Times New Roman" w:hAnsi="Times New Roman" w:eastAsia="宋体" w:cs="Times New Roman"/>
          <w:b w:val="0"/>
          <w:bCs w:val="0"/>
          <w:sz w:val="24"/>
          <w:szCs w:val="24"/>
          <w:lang w:eastAsia="zh-CN"/>
        </w:rPr>
        <w:t>严格执行水价政策。改革后的工程供水价格，严格按照有关规定，在县有关部门的监督指导下，由供需双方在物价主管部门和水行政主管部门确定的指导价幅内商定，并报经水行政主管部门审定后，上报县物价部门按照规定批准后执行，用水户应遵守批准的</w:t>
      </w:r>
      <w:r>
        <w:rPr>
          <w:rFonts w:hint="eastAsia" w:ascii="Times New Roman" w:hAnsi="Times New Roman" w:eastAsia="宋体" w:cs="Times New Roman"/>
          <w:lang w:eastAsia="zh-CN"/>
        </w:rPr>
        <w:t>水价</w:t>
      </w:r>
      <w:r>
        <w:rPr>
          <w:rFonts w:hint="eastAsia" w:ascii="Times New Roman" w:hAnsi="Times New Roman" w:eastAsia="宋体" w:cs="Times New Roman"/>
          <w:b w:val="0"/>
          <w:bCs w:val="0"/>
          <w:sz w:val="24"/>
          <w:szCs w:val="24"/>
          <w:lang w:eastAsia="zh-CN"/>
        </w:rPr>
        <w:t>方案和水费计收管理办法。</w:t>
      </w:r>
    </w:p>
    <w:p>
      <w:pPr>
        <w:ind w:firstLine="540"/>
        <w:rPr>
          <w:rFonts w:ascii="Times New Roman" w:hAnsi="Times New Roman" w:cs="Times New Roman"/>
          <w:color w:val="auto"/>
          <w:sz w:val="24"/>
          <w:szCs w:val="24"/>
        </w:rPr>
      </w:pPr>
      <w:r>
        <w:rPr>
          <w:rFonts w:ascii="Times New Roman" w:hAnsi="Times New Roman" w:cs="Times New Roman"/>
          <w:color w:val="auto"/>
          <w:sz w:val="24"/>
          <w:szCs w:val="24"/>
        </w:rPr>
        <w:t>3</w:t>
      </w:r>
      <w:r>
        <w:rPr>
          <w:rFonts w:hint="eastAsia" w:ascii="Times New Roman" w:hAnsi="Times New Roman" w:cs="Times New Roman"/>
          <w:color w:val="auto"/>
          <w:sz w:val="24"/>
          <w:szCs w:val="24"/>
          <w:lang w:eastAsia="zh-CN"/>
        </w:rPr>
        <w:t>、</w:t>
      </w:r>
      <w:r>
        <w:rPr>
          <w:rFonts w:ascii="Times New Roman" w:hAnsi="Times New Roman" w:cs="Times New Roman"/>
          <w:color w:val="auto"/>
          <w:sz w:val="24"/>
          <w:szCs w:val="24"/>
        </w:rPr>
        <w:t>机制体制</w:t>
      </w:r>
      <w:r>
        <w:rPr>
          <w:rFonts w:hint="eastAsia" w:ascii="Times New Roman" w:hAnsi="Times New Roman" w:eastAsia="宋体" w:cs="Times New Roman"/>
          <w:lang w:eastAsia="zh-CN"/>
        </w:rPr>
        <w:t>创新</w:t>
      </w:r>
      <w:r>
        <w:rPr>
          <w:rFonts w:ascii="Times New Roman" w:hAnsi="Times New Roman" w:cs="Times New Roman"/>
          <w:color w:val="auto"/>
          <w:sz w:val="24"/>
          <w:szCs w:val="24"/>
        </w:rPr>
        <w:t>目标和任务</w:t>
      </w:r>
    </w:p>
    <w:p>
      <w:pPr>
        <w:ind w:firstLine="540"/>
        <w:rPr>
          <w:rFonts w:eastAsia="仿宋_GB2312"/>
          <w:sz w:val="32"/>
          <w:szCs w:val="32"/>
        </w:rPr>
      </w:pPr>
      <w:r>
        <w:rPr>
          <w:rFonts w:hint="eastAsia" w:ascii="Times New Roman" w:hAnsi="Times New Roman" w:eastAsia="宋体" w:cs="Times New Roman"/>
          <w:b w:val="0"/>
          <w:bCs w:val="0"/>
          <w:kern w:val="2"/>
          <w:sz w:val="24"/>
          <w:szCs w:val="24"/>
          <w:u w:val="none"/>
          <w:shd w:val="clear" w:color="auto" w:fill="auto"/>
          <w:lang w:val="zh-TW" w:eastAsia="zh-CN" w:bidi="zh-TW"/>
        </w:rPr>
        <w:t>加快创新投融资机制、建设机制和管理机制。社会资本投资建设或运营管理新农水工程的，与国有、集体投资项目享有同等政策待遇，可以依法获取供水水费等经营收益；承担公益性任务的，政府可对工程建设投资、维修养护和管护经费等给予适当补助，并落实优惠政策。社会资本投资建设或运营管理新农水工程等，可依法继承、转让、转租、抵押其相关权益；征收、征用或占用的，要按照国家有关规定给予补偿或者赔偿。</w:t>
      </w:r>
      <w:r>
        <w:rPr>
          <w:rFonts w:hint="eastAsia" w:ascii="Times New Roman" w:hAnsi="Times New Roman" w:eastAsia="宋体" w:cs="Times New Roman"/>
          <w:b w:val="0"/>
          <w:bCs w:val="0"/>
          <w:kern w:val="2"/>
          <w:sz w:val="24"/>
          <w:szCs w:val="24"/>
          <w:u w:val="none"/>
          <w:shd w:val="clear" w:color="auto" w:fill="auto"/>
          <w:lang w:val="zh-TW" w:eastAsia="zh-CN" w:bidi="zh-TW"/>
        </w:rPr>
        <w:br w:type="textWrapping"/>
      </w:r>
    </w:p>
    <w:p>
      <w:pPr>
        <w:pStyle w:val="520"/>
        <w:shd w:val="clear" w:color="auto" w:fill="auto"/>
        <w:spacing w:line="589" w:lineRule="exact"/>
        <w:ind w:firstLine="640"/>
        <w:rPr>
          <w:rFonts w:ascii="Times New Roman" w:hAnsi="Times New Roman" w:cs="Times New Roman"/>
          <w:color w:val="FF0000"/>
          <w:sz w:val="24"/>
          <w:szCs w:val="24"/>
        </w:rPr>
      </w:pPr>
    </w:p>
    <w:p/>
    <w:p/>
    <w:p>
      <w:pPr>
        <w:ind w:firstLine="540"/>
        <w:sectPr>
          <w:footerReference r:id="rId14" w:type="default"/>
          <w:pgSz w:w="11906" w:h="16838"/>
          <w:pgMar w:top="1814" w:right="1588" w:bottom="1701" w:left="1588" w:header="851" w:footer="992" w:gutter="0"/>
          <w:cols w:space="720" w:num="1"/>
          <w:docGrid w:type="linesAndChars" w:linePitch="471" w:charSpace="512"/>
        </w:sectPr>
      </w:pPr>
    </w:p>
    <w:p>
      <w:pPr>
        <w:pStyle w:val="4"/>
        <w:spacing w:line="240" w:lineRule="auto"/>
        <w:jc w:val="center"/>
        <w:rPr>
          <w:rFonts w:hint="eastAsia" w:eastAsia="黑体"/>
          <w:b w:val="0"/>
          <w:color w:val="000000"/>
          <w:sz w:val="36"/>
          <w:szCs w:val="36"/>
          <w:lang w:eastAsia="zh-CN"/>
        </w:rPr>
      </w:pPr>
      <w:bookmarkStart w:id="55" w:name="_Toc36029004"/>
      <w:r>
        <w:rPr>
          <w:rFonts w:hint="eastAsia" w:eastAsia="黑体"/>
          <w:b w:val="0"/>
          <w:color w:val="000000"/>
          <w:sz w:val="36"/>
          <w:szCs w:val="36"/>
          <w:lang w:val="en-US" w:eastAsia="zh-CN"/>
        </w:rPr>
        <w:t>3</w:t>
      </w:r>
      <w:bookmarkEnd w:id="55"/>
      <w:r>
        <w:rPr>
          <w:rFonts w:hint="eastAsia" w:eastAsia="黑体"/>
          <w:b w:val="0"/>
          <w:color w:val="000000"/>
          <w:sz w:val="36"/>
          <w:szCs w:val="36"/>
          <w:lang w:eastAsia="zh-CN"/>
        </w:rPr>
        <w:t>工程建设规划和管理</w:t>
      </w:r>
    </w:p>
    <w:p>
      <w:pPr>
        <w:pStyle w:val="5"/>
        <w:spacing w:line="240" w:lineRule="auto"/>
        <w:rPr>
          <w:rFonts w:hint="eastAsia" w:ascii="Times New Roman" w:hAnsi="Times New Roman" w:eastAsia="黑体"/>
          <w:b w:val="0"/>
          <w:color w:val="000000"/>
          <w:sz w:val="30"/>
          <w:szCs w:val="30"/>
          <w:lang w:eastAsia="zh-CN"/>
        </w:rPr>
      </w:pPr>
      <w:bookmarkStart w:id="56" w:name="_Toc36029005"/>
      <w:r>
        <w:rPr>
          <w:rFonts w:hint="eastAsia" w:ascii="Times New Roman" w:hAnsi="Times New Roman"/>
          <w:b w:val="0"/>
          <w:color w:val="000000"/>
          <w:sz w:val="30"/>
          <w:szCs w:val="30"/>
          <w:lang w:val="en-US" w:eastAsia="zh-CN"/>
        </w:rPr>
        <w:t>3</w:t>
      </w:r>
      <w:r>
        <w:rPr>
          <w:rFonts w:ascii="Times New Roman" w:hAnsi="Times New Roman"/>
          <w:b w:val="0"/>
          <w:color w:val="000000"/>
          <w:sz w:val="30"/>
          <w:szCs w:val="30"/>
        </w:rPr>
        <w:t>.1</w:t>
      </w:r>
      <w:bookmarkEnd w:id="56"/>
      <w:r>
        <w:rPr>
          <w:rFonts w:hint="eastAsia" w:ascii="Times New Roman" w:hAnsi="Times New Roman"/>
          <w:b w:val="0"/>
          <w:color w:val="000000"/>
          <w:sz w:val="30"/>
          <w:szCs w:val="30"/>
          <w:lang w:eastAsia="zh-CN"/>
        </w:rPr>
        <w:t>工程建设标准</w:t>
      </w:r>
    </w:p>
    <w:p>
      <w:pPr>
        <w:ind w:firstLine="540"/>
        <w:rPr>
          <w:rFonts w:ascii="Times New Roman" w:hAnsi="Times New Roman" w:eastAsia="宋体" w:cs="Times New Roman"/>
          <w:kern w:val="0"/>
          <w:szCs w:val="28"/>
          <w:lang w:bidi="ar"/>
        </w:rPr>
      </w:pPr>
      <w:r>
        <w:rPr>
          <w:rFonts w:ascii="Times New Roman" w:hAnsi="Times New Roman" w:eastAsia="宋体" w:cs="Times New Roman"/>
          <w:kern w:val="0"/>
          <w:szCs w:val="28"/>
          <w:lang w:bidi="ar"/>
        </w:rPr>
        <w:t>新农水工程建设应达到相应的国家技术标准和</w:t>
      </w:r>
      <w:r>
        <w:rPr>
          <w:rFonts w:hint="eastAsia" w:ascii="Times New Roman" w:hAnsi="Times New Roman" w:eastAsia="宋体" w:cs="Times New Roman"/>
          <w:kern w:val="0"/>
          <w:szCs w:val="28"/>
          <w:lang w:eastAsia="zh-CN" w:bidi="ar"/>
        </w:rPr>
        <w:t>四川</w:t>
      </w:r>
      <w:r>
        <w:rPr>
          <w:rFonts w:ascii="Times New Roman" w:hAnsi="Times New Roman" w:eastAsia="宋体" w:cs="Times New Roman"/>
          <w:kern w:val="0"/>
          <w:szCs w:val="28"/>
          <w:lang w:bidi="ar"/>
        </w:rPr>
        <w:t>省相关技术规范要求。</w:t>
      </w:r>
    </w:p>
    <w:p>
      <w:pPr>
        <w:ind w:firstLine="540"/>
        <w:rPr>
          <w:rFonts w:hint="default"/>
          <w:lang w:val="en-US"/>
        </w:rPr>
      </w:pPr>
      <w:r>
        <w:rPr>
          <w:rFonts w:hint="eastAsia" w:ascii="Times New Roman" w:hAnsi="Times New Roman" w:eastAsia="宋体" w:cs="Times New Roman"/>
          <w:b w:val="0"/>
          <w:bCs w:val="0"/>
          <w:sz w:val="24"/>
          <w:szCs w:val="24"/>
          <w:lang w:eastAsia="zh-CN"/>
        </w:rPr>
        <w:t>乡村水务</w:t>
      </w:r>
      <w:r>
        <w:rPr>
          <w:rFonts w:hint="eastAsia" w:ascii="Times New Roman" w:hAnsi="Times New Roman" w:eastAsia="宋体" w:cs="Times New Roman"/>
          <w:b w:val="0"/>
          <w:bCs w:val="0"/>
          <w:sz w:val="24"/>
          <w:szCs w:val="24"/>
          <w:lang w:val="en-US" w:eastAsia="zh-CN"/>
        </w:rPr>
        <w:t>需满足如下技术标准：</w:t>
      </w:r>
    </w:p>
    <w:p>
      <w:pPr>
        <w:ind w:firstLine="540"/>
        <w:rPr>
          <w:color w:val="000000"/>
        </w:rPr>
      </w:pPr>
      <w:r>
        <w:rPr>
          <w:color w:val="000000"/>
        </w:rPr>
        <w:t>（</w:t>
      </w:r>
      <w:r>
        <w:rPr>
          <w:rFonts w:hint="eastAsia"/>
          <w:color w:val="000000"/>
        </w:rPr>
        <w:t>1</w:t>
      </w:r>
      <w:r>
        <w:rPr>
          <w:color w:val="000000"/>
        </w:rPr>
        <w:t>）《室外</w:t>
      </w:r>
      <w:r>
        <w:rPr>
          <w:rFonts w:ascii="Times New Roman" w:hAnsi="Times New Roman" w:eastAsia="宋体" w:cs="Times New Roman"/>
        </w:rPr>
        <w:t>给水</w:t>
      </w:r>
      <w:r>
        <w:rPr>
          <w:color w:val="000000"/>
        </w:rPr>
        <w:t>设计</w:t>
      </w:r>
      <w:r>
        <w:rPr>
          <w:rFonts w:hint="eastAsia"/>
          <w:color w:val="000000"/>
        </w:rPr>
        <w:t>标准</w:t>
      </w:r>
      <w:r>
        <w:rPr>
          <w:color w:val="000000"/>
        </w:rPr>
        <w:t>》（GB50013</w:t>
      </w:r>
      <w:r>
        <w:rPr>
          <w:rFonts w:hint="eastAsia"/>
          <w:color w:val="000000"/>
        </w:rPr>
        <w:t>-2018</w:t>
      </w:r>
      <w:r>
        <w:rPr>
          <w:color w:val="000000"/>
        </w:rPr>
        <w:t>）</w:t>
      </w:r>
    </w:p>
    <w:p>
      <w:pPr>
        <w:ind w:firstLine="540"/>
        <w:rPr>
          <w:rFonts w:hint="eastAsia"/>
          <w:color w:val="000000"/>
        </w:rPr>
      </w:pPr>
      <w:r>
        <w:rPr>
          <w:color w:val="000000"/>
        </w:rPr>
        <w:t>（</w:t>
      </w:r>
      <w:r>
        <w:rPr>
          <w:rFonts w:hint="eastAsia"/>
          <w:color w:val="000000"/>
        </w:rPr>
        <w:t>2</w:t>
      </w:r>
      <w:r>
        <w:rPr>
          <w:color w:val="000000"/>
        </w:rPr>
        <w:t>）</w:t>
      </w:r>
      <w:r>
        <w:rPr>
          <w:rFonts w:hint="eastAsia"/>
          <w:color w:val="000000"/>
        </w:rPr>
        <w:t>《泵站</w:t>
      </w:r>
      <w:r>
        <w:rPr>
          <w:rFonts w:hint="eastAsia" w:ascii="Times New Roman" w:hAnsi="Times New Roman" w:eastAsia="宋体" w:cs="Times New Roman"/>
        </w:rPr>
        <w:t>设计</w:t>
      </w:r>
      <w:r>
        <w:rPr>
          <w:rFonts w:hint="eastAsia"/>
          <w:color w:val="000000"/>
        </w:rPr>
        <w:t>规范》（GB50265-2010）</w:t>
      </w:r>
    </w:p>
    <w:p>
      <w:pPr>
        <w:ind w:firstLine="540"/>
        <w:rPr>
          <w:rFonts w:hint="default" w:eastAsia="宋体"/>
          <w:color w:val="auto"/>
          <w:lang w:val="en-US" w:eastAsia="zh-CN"/>
        </w:rPr>
      </w:pPr>
      <w:r>
        <w:rPr>
          <w:rFonts w:hint="eastAsia"/>
          <w:color w:val="auto"/>
          <w:lang w:eastAsia="zh-CN"/>
        </w:rPr>
        <w:t>（</w:t>
      </w:r>
      <w:r>
        <w:rPr>
          <w:rFonts w:hint="eastAsia"/>
          <w:color w:val="auto"/>
          <w:lang w:val="en-US" w:eastAsia="zh-CN"/>
        </w:rPr>
        <w:t>3</w:t>
      </w:r>
      <w:r>
        <w:rPr>
          <w:rFonts w:hint="eastAsia"/>
          <w:color w:val="auto"/>
          <w:lang w:eastAsia="zh-CN"/>
        </w:rPr>
        <w:t>）《</w:t>
      </w:r>
      <w:r>
        <w:rPr>
          <w:rFonts w:hint="eastAsia"/>
          <w:color w:val="auto"/>
          <w:lang w:val="en-US" w:eastAsia="zh-CN"/>
        </w:rPr>
        <w:t>村镇</w:t>
      </w:r>
      <w:r>
        <w:rPr>
          <w:rFonts w:hint="eastAsia" w:ascii="Times New Roman" w:hAnsi="Times New Roman" w:eastAsia="宋体" w:cs="Times New Roman"/>
          <w:color w:val="auto"/>
          <w:lang w:val="en-US" w:eastAsia="zh-CN"/>
        </w:rPr>
        <w:t>供水工程</w:t>
      </w:r>
      <w:r>
        <w:rPr>
          <w:rFonts w:hint="eastAsia"/>
          <w:color w:val="auto"/>
          <w:lang w:val="en-US" w:eastAsia="zh-CN"/>
        </w:rPr>
        <w:t>技术规范</w:t>
      </w:r>
      <w:r>
        <w:rPr>
          <w:rFonts w:hint="eastAsia"/>
          <w:color w:val="auto"/>
          <w:lang w:eastAsia="zh-CN"/>
        </w:rPr>
        <w:t>》（</w:t>
      </w:r>
      <w:r>
        <w:rPr>
          <w:rFonts w:hint="eastAsia"/>
          <w:color w:val="auto"/>
          <w:lang w:val="en-US" w:eastAsia="zh-CN"/>
        </w:rPr>
        <w:t>SL310-2019）</w:t>
      </w:r>
    </w:p>
    <w:p>
      <w:pPr>
        <w:ind w:firstLine="540"/>
        <w:rPr>
          <w:color w:val="000000"/>
        </w:rPr>
      </w:pPr>
      <w:r>
        <w:rPr>
          <w:color w:val="000000"/>
        </w:rPr>
        <w:t>（</w:t>
      </w:r>
      <w:r>
        <w:rPr>
          <w:rFonts w:hint="eastAsia"/>
          <w:color w:val="000000"/>
          <w:lang w:val="en-US" w:eastAsia="zh-CN"/>
        </w:rPr>
        <w:t>4</w:t>
      </w:r>
      <w:r>
        <w:rPr>
          <w:color w:val="000000"/>
        </w:rPr>
        <w:t>）《饮用水水源保护区划分技术规范》（HJ/T338-2018）</w:t>
      </w:r>
    </w:p>
    <w:p>
      <w:pPr>
        <w:ind w:firstLine="540"/>
        <w:rPr>
          <w:color w:val="000000"/>
        </w:rPr>
      </w:pPr>
      <w:r>
        <w:rPr>
          <w:color w:val="000000"/>
        </w:rPr>
        <w:t>（</w:t>
      </w:r>
      <w:r>
        <w:rPr>
          <w:rFonts w:hint="eastAsia"/>
          <w:color w:val="000000"/>
          <w:lang w:val="en-US" w:eastAsia="zh-CN"/>
        </w:rPr>
        <w:t>5</w:t>
      </w:r>
      <w:r>
        <w:rPr>
          <w:color w:val="000000"/>
        </w:rPr>
        <w:t>）《生活饮用水水源水质标准》（CJ3020-93）</w:t>
      </w:r>
    </w:p>
    <w:p>
      <w:pPr>
        <w:ind w:firstLine="540"/>
        <w:rPr>
          <w:rFonts w:hint="eastAsia"/>
        </w:rPr>
      </w:pPr>
      <w:r>
        <w:rPr>
          <w:rFonts w:hint="eastAsia"/>
          <w:color w:val="000000"/>
        </w:rPr>
        <w:t>（</w:t>
      </w:r>
      <w:r>
        <w:rPr>
          <w:rFonts w:hint="eastAsia"/>
          <w:color w:val="000000"/>
          <w:lang w:val="en-US" w:eastAsia="zh-CN"/>
        </w:rPr>
        <w:t>6</w:t>
      </w:r>
      <w:r>
        <w:rPr>
          <w:rFonts w:hint="eastAsia"/>
          <w:color w:val="000000"/>
        </w:rPr>
        <w:t>）</w:t>
      </w:r>
      <w:r>
        <w:rPr>
          <w:color w:val="000000"/>
        </w:rPr>
        <w:t>《生活</w:t>
      </w:r>
      <w:r>
        <w:rPr>
          <w:rFonts w:ascii="Times New Roman" w:hAnsi="Times New Roman" w:eastAsia="宋体" w:cs="Times New Roman"/>
        </w:rPr>
        <w:t>饮用水</w:t>
      </w:r>
      <w:r>
        <w:rPr>
          <w:color w:val="000000"/>
        </w:rPr>
        <w:t>卫生标准》（GB5749-2006）</w:t>
      </w:r>
    </w:p>
    <w:p>
      <w:pPr>
        <w:ind w:firstLine="540"/>
        <w:rPr>
          <w:color w:val="000000"/>
        </w:rPr>
      </w:pPr>
      <w:r>
        <w:rPr>
          <w:color w:val="000000"/>
        </w:rPr>
        <w:t>（</w:t>
      </w:r>
      <w:r>
        <w:rPr>
          <w:rFonts w:hint="eastAsia"/>
          <w:color w:val="000000"/>
          <w:lang w:val="en-US" w:eastAsia="zh-CN"/>
        </w:rPr>
        <w:t>7</w:t>
      </w:r>
      <w:r>
        <w:rPr>
          <w:color w:val="000000"/>
        </w:rPr>
        <w:t>）《地表水</w:t>
      </w:r>
      <w:r>
        <w:rPr>
          <w:rFonts w:ascii="Times New Roman" w:hAnsi="Times New Roman" w:eastAsia="宋体" w:cs="Times New Roman"/>
        </w:rPr>
        <w:t>环境</w:t>
      </w:r>
      <w:r>
        <w:rPr>
          <w:color w:val="000000"/>
        </w:rPr>
        <w:t>质量标准》（GB3838-2002）</w:t>
      </w:r>
    </w:p>
    <w:p>
      <w:pPr>
        <w:ind w:firstLine="540"/>
        <w:rPr>
          <w:color w:val="000000"/>
        </w:rPr>
      </w:pPr>
      <w:r>
        <w:rPr>
          <w:color w:val="000000"/>
        </w:rPr>
        <w:t>（</w:t>
      </w:r>
      <w:r>
        <w:rPr>
          <w:rFonts w:hint="eastAsia"/>
          <w:color w:val="000000"/>
          <w:lang w:val="en-US" w:eastAsia="zh-CN"/>
        </w:rPr>
        <w:t>8</w:t>
      </w:r>
      <w:r>
        <w:rPr>
          <w:color w:val="000000"/>
        </w:rPr>
        <w:t>）《建筑设计</w:t>
      </w:r>
      <w:r>
        <w:rPr>
          <w:rFonts w:ascii="Times New Roman" w:hAnsi="Times New Roman" w:eastAsia="宋体" w:cs="Times New Roman"/>
        </w:rPr>
        <w:t>防火</w:t>
      </w:r>
      <w:r>
        <w:rPr>
          <w:color w:val="000000"/>
        </w:rPr>
        <w:t>规范》（GBJ16）</w:t>
      </w:r>
    </w:p>
    <w:p>
      <w:pPr>
        <w:ind w:firstLine="540"/>
        <w:rPr>
          <w:color w:val="000000"/>
        </w:rPr>
      </w:pPr>
      <w:r>
        <w:rPr>
          <w:color w:val="000000"/>
        </w:rPr>
        <w:t>（</w:t>
      </w:r>
      <w:r>
        <w:rPr>
          <w:rFonts w:hint="eastAsia"/>
          <w:color w:val="000000"/>
          <w:lang w:val="en-US" w:eastAsia="zh-CN"/>
        </w:rPr>
        <w:t>9</w:t>
      </w:r>
      <w:r>
        <w:rPr>
          <w:color w:val="000000"/>
        </w:rPr>
        <w:t>）《村镇建筑设计防火规范》（GBJ 39-90）</w:t>
      </w:r>
    </w:p>
    <w:p>
      <w:pPr>
        <w:ind w:firstLine="540"/>
        <w:rPr>
          <w:color w:val="000000"/>
        </w:rPr>
      </w:pPr>
      <w:r>
        <w:rPr>
          <w:color w:val="000000"/>
        </w:rPr>
        <w:t>（1</w:t>
      </w:r>
      <w:r>
        <w:rPr>
          <w:rFonts w:hint="eastAsia"/>
          <w:color w:val="000000"/>
          <w:lang w:val="en-US" w:eastAsia="zh-CN"/>
        </w:rPr>
        <w:t>0</w:t>
      </w:r>
      <w:r>
        <w:rPr>
          <w:color w:val="000000"/>
        </w:rPr>
        <w:t>）《室外给水</w:t>
      </w:r>
      <w:r>
        <w:rPr>
          <w:rFonts w:ascii="Times New Roman" w:hAnsi="Times New Roman" w:eastAsia="宋体" w:cs="Times New Roman"/>
        </w:rPr>
        <w:t>管道</w:t>
      </w:r>
      <w:r>
        <w:rPr>
          <w:color w:val="000000"/>
        </w:rPr>
        <w:t>工程附属设施》</w:t>
      </w:r>
      <w:r>
        <w:rPr>
          <w:rFonts w:hint="eastAsia"/>
          <w:color w:val="000000"/>
        </w:rPr>
        <w:t>（</w:t>
      </w:r>
      <w:r>
        <w:rPr>
          <w:color w:val="000000"/>
        </w:rPr>
        <w:t>02S505</w:t>
      </w:r>
      <w:r>
        <w:rPr>
          <w:rFonts w:hint="eastAsia"/>
          <w:color w:val="000000"/>
        </w:rPr>
        <w:t>）</w:t>
      </w:r>
    </w:p>
    <w:p>
      <w:pPr>
        <w:ind w:firstLine="540"/>
        <w:rPr>
          <w:color w:val="000000"/>
        </w:rPr>
      </w:pPr>
      <w:r>
        <w:rPr>
          <w:color w:val="000000"/>
        </w:rPr>
        <w:t>（1</w:t>
      </w:r>
      <w:r>
        <w:rPr>
          <w:rFonts w:hint="eastAsia"/>
          <w:color w:val="000000"/>
          <w:lang w:val="en-US" w:eastAsia="zh-CN"/>
        </w:rPr>
        <w:t>1</w:t>
      </w:r>
      <w:r>
        <w:rPr>
          <w:color w:val="000000"/>
        </w:rPr>
        <w:t>）《给水排水</w:t>
      </w:r>
      <w:r>
        <w:rPr>
          <w:rFonts w:ascii="Times New Roman" w:hAnsi="Times New Roman" w:eastAsia="宋体" w:cs="Times New Roman"/>
        </w:rPr>
        <w:t>构筑物</w:t>
      </w:r>
      <w:r>
        <w:rPr>
          <w:color w:val="000000"/>
        </w:rPr>
        <w:t>工程施工及验收规范》</w:t>
      </w:r>
      <w:r>
        <w:rPr>
          <w:rFonts w:hint="eastAsia"/>
          <w:color w:val="000000"/>
        </w:rPr>
        <w:t>（</w:t>
      </w:r>
      <w:r>
        <w:rPr>
          <w:color w:val="000000"/>
        </w:rPr>
        <w:t>GB50141-2008</w:t>
      </w:r>
      <w:r>
        <w:rPr>
          <w:rFonts w:hint="eastAsia"/>
          <w:color w:val="000000"/>
        </w:rPr>
        <w:t>）</w:t>
      </w:r>
    </w:p>
    <w:p>
      <w:pPr>
        <w:ind w:firstLine="540"/>
        <w:rPr>
          <w:color w:val="000000"/>
        </w:rPr>
      </w:pPr>
      <w:r>
        <w:rPr>
          <w:color w:val="000000"/>
        </w:rPr>
        <w:t>（1</w:t>
      </w:r>
      <w:r>
        <w:rPr>
          <w:rFonts w:hint="eastAsia"/>
          <w:color w:val="000000"/>
          <w:lang w:val="en-US" w:eastAsia="zh-CN"/>
        </w:rPr>
        <w:t>2</w:t>
      </w:r>
      <w:r>
        <w:rPr>
          <w:color w:val="000000"/>
        </w:rPr>
        <w:t>）《给水排水管道施工与验收规范》</w:t>
      </w:r>
      <w:r>
        <w:rPr>
          <w:rFonts w:hint="eastAsia"/>
          <w:color w:val="000000"/>
        </w:rPr>
        <w:t>（</w:t>
      </w:r>
      <w:r>
        <w:rPr>
          <w:color w:val="000000"/>
        </w:rPr>
        <w:t>GB50268-2008</w:t>
      </w:r>
      <w:r>
        <w:rPr>
          <w:rFonts w:hint="eastAsia"/>
          <w:color w:val="000000"/>
        </w:rPr>
        <w:t>）</w:t>
      </w:r>
    </w:p>
    <w:p>
      <w:pPr>
        <w:ind w:firstLine="540"/>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sz w:val="24"/>
          <w:szCs w:val="24"/>
          <w:lang w:eastAsia="zh-CN"/>
        </w:rPr>
        <w:t>农业灌溉、水库及其渠道</w:t>
      </w:r>
      <w:r>
        <w:rPr>
          <w:rFonts w:hint="eastAsia" w:ascii="Times New Roman" w:hAnsi="Times New Roman" w:eastAsia="宋体" w:cs="Times New Roman"/>
          <w:b w:val="0"/>
          <w:bCs w:val="0"/>
          <w:sz w:val="24"/>
          <w:szCs w:val="24"/>
          <w:lang w:val="en-US" w:eastAsia="zh-CN"/>
        </w:rPr>
        <w:t>需满足如下技术标准：</w:t>
      </w:r>
    </w:p>
    <w:p>
      <w:pPr>
        <w:ind w:firstLine="540"/>
        <w:rPr>
          <w:rFonts w:hint="default" w:ascii="Times New Roman" w:hAnsi="Times New Roman" w:cs="Times New Roman"/>
          <w:color w:val="auto"/>
          <w:szCs w:val="24"/>
          <w:highlight w:val="none"/>
          <w:shd w:val="clear" w:color="auto" w:fill="auto"/>
        </w:rPr>
      </w:pPr>
      <w:r>
        <w:rPr>
          <w:rFonts w:hint="eastAsia" w:ascii="Times New Roman" w:hAnsi="Times New Roman" w:cs="Times New Roman"/>
          <w:color w:val="auto"/>
          <w:szCs w:val="24"/>
          <w:highlight w:val="none"/>
          <w:shd w:val="clear" w:color="auto" w:fill="auto"/>
          <w:lang w:eastAsia="zh-CN"/>
        </w:rPr>
        <w:t>（</w:t>
      </w:r>
      <w:r>
        <w:rPr>
          <w:rFonts w:hint="eastAsia" w:ascii="Times New Roman" w:hAnsi="Times New Roman" w:cs="Times New Roman"/>
          <w:color w:val="auto"/>
          <w:szCs w:val="24"/>
          <w:highlight w:val="none"/>
          <w:shd w:val="clear" w:color="auto" w:fill="auto"/>
          <w:lang w:val="en-US" w:eastAsia="zh-CN"/>
        </w:rPr>
        <w:t>1</w:t>
      </w:r>
      <w:r>
        <w:rPr>
          <w:rFonts w:hint="eastAsia" w:ascii="Times New Roman" w:hAnsi="Times New Roman" w:cs="Times New Roman"/>
          <w:color w:val="auto"/>
          <w:szCs w:val="24"/>
          <w:highlight w:val="none"/>
          <w:shd w:val="clear" w:color="auto" w:fill="auto"/>
          <w:lang w:eastAsia="zh-CN"/>
        </w:rPr>
        <w:t>）</w:t>
      </w:r>
      <w:r>
        <w:rPr>
          <w:rFonts w:hint="default" w:ascii="Times New Roman" w:hAnsi="Times New Roman" w:cs="Times New Roman"/>
          <w:color w:val="auto"/>
          <w:szCs w:val="24"/>
          <w:highlight w:val="none"/>
          <w:shd w:val="clear" w:color="auto" w:fill="auto"/>
        </w:rPr>
        <w:t>《灌溉与排水</w:t>
      </w:r>
      <w:r>
        <w:rPr>
          <w:rFonts w:hint="default" w:ascii="Times New Roman" w:hAnsi="Times New Roman" w:eastAsia="宋体" w:cs="Times New Roman"/>
        </w:rPr>
        <w:t>工程</w:t>
      </w:r>
      <w:r>
        <w:rPr>
          <w:rFonts w:hint="default" w:ascii="Times New Roman" w:hAnsi="Times New Roman" w:cs="Times New Roman"/>
          <w:color w:val="auto"/>
          <w:szCs w:val="24"/>
          <w:highlight w:val="none"/>
          <w:shd w:val="clear" w:color="auto" w:fill="auto"/>
        </w:rPr>
        <w:t>设计标准》（GB 50288-2018）</w:t>
      </w:r>
    </w:p>
    <w:p>
      <w:pPr>
        <w:ind w:firstLine="540"/>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2</w:t>
      </w:r>
      <w:r>
        <w:rPr>
          <w:rFonts w:hint="eastAsia" w:ascii="宋体" w:hAnsi="宋体" w:cs="宋体"/>
          <w:sz w:val="24"/>
          <w:lang w:eastAsia="zh-CN"/>
        </w:rPr>
        <w:t>）</w:t>
      </w:r>
      <w:r>
        <w:rPr>
          <w:rFonts w:hint="eastAsia" w:ascii="宋体" w:hAnsi="宋体" w:cs="宋体"/>
          <w:sz w:val="24"/>
        </w:rPr>
        <w:t>《中小型水库</w:t>
      </w:r>
      <w:r>
        <w:rPr>
          <w:rFonts w:hint="eastAsia" w:ascii="Times New Roman" w:hAnsi="Times New Roman" w:eastAsia="宋体" w:cs="Times New Roman"/>
        </w:rPr>
        <w:t>除险</w:t>
      </w:r>
      <w:r>
        <w:rPr>
          <w:rFonts w:hint="eastAsia" w:ascii="宋体" w:hAnsi="宋体" w:cs="宋体"/>
          <w:sz w:val="24"/>
        </w:rPr>
        <w:t>加固技术指南》；</w:t>
      </w:r>
    </w:p>
    <w:p>
      <w:pPr>
        <w:ind w:firstLine="540"/>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3</w:t>
      </w:r>
      <w:r>
        <w:rPr>
          <w:rFonts w:hint="eastAsia" w:ascii="宋体" w:hAnsi="宋体" w:cs="宋体"/>
          <w:sz w:val="24"/>
          <w:lang w:eastAsia="zh-CN"/>
        </w:rPr>
        <w:t>）</w:t>
      </w:r>
      <w:r>
        <w:rPr>
          <w:rFonts w:hint="eastAsia" w:ascii="宋体" w:hAnsi="宋体" w:cs="宋体"/>
          <w:sz w:val="24"/>
        </w:rPr>
        <w:t>《中国地震动参数区划图GB18306—2015》；</w:t>
      </w:r>
    </w:p>
    <w:p>
      <w:pPr>
        <w:ind w:firstLine="540"/>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4</w:t>
      </w:r>
      <w:r>
        <w:rPr>
          <w:rFonts w:hint="eastAsia" w:ascii="宋体" w:hAnsi="宋体" w:cs="宋体"/>
          <w:sz w:val="24"/>
          <w:lang w:eastAsia="zh-CN"/>
        </w:rPr>
        <w:t>）</w:t>
      </w:r>
      <w:r>
        <w:rPr>
          <w:rFonts w:hint="eastAsia" w:ascii="宋体" w:hAnsi="宋体" w:cs="宋体"/>
          <w:sz w:val="24"/>
        </w:rPr>
        <w:t>《</w:t>
      </w:r>
      <w:r>
        <w:rPr>
          <w:rFonts w:hint="eastAsia" w:ascii="Times New Roman" w:hAnsi="Times New Roman" w:eastAsia="宋体" w:cs="Times New Roman"/>
        </w:rPr>
        <w:t>四川省</w:t>
      </w:r>
      <w:r>
        <w:rPr>
          <w:rFonts w:hint="eastAsia" w:ascii="宋体" w:hAnsi="宋体" w:cs="宋体"/>
          <w:sz w:val="24"/>
        </w:rPr>
        <w:t>中小流域暴雨洪水计算手册》；</w:t>
      </w:r>
    </w:p>
    <w:p>
      <w:pPr>
        <w:ind w:firstLine="540"/>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5</w:t>
      </w:r>
      <w:r>
        <w:rPr>
          <w:rFonts w:hint="eastAsia" w:ascii="宋体" w:hAnsi="宋体" w:cs="宋体"/>
          <w:sz w:val="24"/>
          <w:lang w:eastAsia="zh-CN"/>
        </w:rPr>
        <w:t>）</w:t>
      </w:r>
      <w:r>
        <w:rPr>
          <w:rFonts w:hint="eastAsia" w:ascii="宋体" w:hAnsi="宋体" w:cs="宋体"/>
          <w:sz w:val="24"/>
        </w:rPr>
        <w:t>《</w:t>
      </w:r>
      <w:r>
        <w:rPr>
          <w:rFonts w:hint="eastAsia" w:ascii="Times New Roman" w:hAnsi="Times New Roman" w:eastAsia="宋体" w:cs="Times New Roman"/>
        </w:rPr>
        <w:t>四川省</w:t>
      </w:r>
      <w:r>
        <w:rPr>
          <w:rFonts w:hint="eastAsia" w:ascii="宋体" w:hAnsi="宋体" w:cs="宋体"/>
          <w:sz w:val="24"/>
        </w:rPr>
        <w:t>暴雨统计参数图集》（2006年12月）；</w:t>
      </w:r>
    </w:p>
    <w:p>
      <w:pPr>
        <w:ind w:firstLine="540"/>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6</w:t>
      </w:r>
      <w:r>
        <w:rPr>
          <w:rFonts w:hint="eastAsia" w:ascii="宋体" w:hAnsi="宋体" w:cs="宋体"/>
          <w:sz w:val="24"/>
          <w:lang w:eastAsia="zh-CN"/>
        </w:rPr>
        <w:t>）</w:t>
      </w:r>
      <w:r>
        <w:rPr>
          <w:rFonts w:hint="eastAsia" w:ascii="宋体" w:hAnsi="宋体" w:cs="宋体"/>
          <w:sz w:val="24"/>
        </w:rPr>
        <w:t>《水利水电工程等级划分及洪水标准》（SL252—2017）；</w:t>
      </w:r>
    </w:p>
    <w:p>
      <w:pPr>
        <w:ind w:firstLine="540"/>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7</w:t>
      </w:r>
      <w:r>
        <w:rPr>
          <w:rFonts w:hint="eastAsia" w:ascii="宋体" w:hAnsi="宋体" w:cs="宋体"/>
          <w:sz w:val="24"/>
          <w:lang w:eastAsia="zh-CN"/>
        </w:rPr>
        <w:t>）</w:t>
      </w:r>
      <w:r>
        <w:rPr>
          <w:rFonts w:hint="eastAsia" w:ascii="宋体" w:hAnsi="宋体" w:cs="宋体"/>
          <w:sz w:val="24"/>
        </w:rPr>
        <w:t>《防洪标准》（GB50201-2014）；</w:t>
      </w:r>
    </w:p>
    <w:p>
      <w:pPr>
        <w:ind w:firstLine="540"/>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8</w:t>
      </w:r>
      <w:r>
        <w:rPr>
          <w:rFonts w:hint="eastAsia" w:ascii="宋体" w:hAnsi="宋体" w:cs="宋体"/>
          <w:sz w:val="24"/>
          <w:lang w:eastAsia="zh-CN"/>
        </w:rPr>
        <w:t>）</w:t>
      </w:r>
      <w:r>
        <w:rPr>
          <w:rFonts w:ascii="宋体" w:hAnsi="宋体" w:cs="宋体"/>
          <w:sz w:val="24"/>
        </w:rPr>
        <w:t>《</w:t>
      </w:r>
      <w:r>
        <w:rPr>
          <w:rFonts w:ascii="Times New Roman" w:hAnsi="Times New Roman" w:eastAsia="宋体" w:cs="Times New Roman"/>
        </w:rPr>
        <w:t>水利工程</w:t>
      </w:r>
      <w:r>
        <w:rPr>
          <w:rFonts w:ascii="宋体" w:hAnsi="宋体" w:cs="宋体"/>
          <w:sz w:val="24"/>
        </w:rPr>
        <w:t>水利计算规范》</w:t>
      </w:r>
      <w:r>
        <w:rPr>
          <w:rFonts w:hint="eastAsia" w:ascii="宋体" w:hAnsi="宋体" w:cs="宋体"/>
          <w:sz w:val="24"/>
        </w:rPr>
        <w:t>(</w:t>
      </w:r>
      <w:r>
        <w:rPr>
          <w:rFonts w:ascii="宋体" w:hAnsi="宋体" w:cs="宋体"/>
          <w:sz w:val="24"/>
        </w:rPr>
        <w:t>SL104—</w:t>
      </w:r>
      <w:r>
        <w:rPr>
          <w:rFonts w:hint="eastAsia" w:ascii="宋体" w:hAnsi="宋体" w:cs="宋体"/>
          <w:sz w:val="24"/>
        </w:rPr>
        <w:t>2015)；</w:t>
      </w:r>
    </w:p>
    <w:p>
      <w:pPr>
        <w:ind w:firstLine="540"/>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9</w:t>
      </w:r>
      <w:r>
        <w:rPr>
          <w:rFonts w:hint="eastAsia" w:ascii="宋体" w:hAnsi="宋体" w:cs="宋体"/>
          <w:sz w:val="24"/>
          <w:lang w:eastAsia="zh-CN"/>
        </w:rPr>
        <w:t>）</w:t>
      </w:r>
      <w:r>
        <w:rPr>
          <w:rFonts w:ascii="宋体" w:hAnsi="宋体" w:cs="宋体"/>
          <w:sz w:val="24"/>
        </w:rPr>
        <w:t>《水利水电</w:t>
      </w:r>
      <w:r>
        <w:rPr>
          <w:rFonts w:ascii="Times New Roman" w:hAnsi="Times New Roman" w:eastAsia="宋体" w:cs="Times New Roman"/>
        </w:rPr>
        <w:t>工程</w:t>
      </w:r>
      <w:r>
        <w:rPr>
          <w:rFonts w:ascii="宋体" w:hAnsi="宋体" w:cs="宋体"/>
          <w:sz w:val="24"/>
        </w:rPr>
        <w:t xml:space="preserve">设计洪水计算规范》 </w:t>
      </w:r>
      <w:r>
        <w:rPr>
          <w:rFonts w:hint="eastAsia" w:ascii="宋体" w:hAnsi="宋体" w:cs="宋体"/>
          <w:sz w:val="24"/>
        </w:rPr>
        <w:t>(</w:t>
      </w:r>
      <w:r>
        <w:rPr>
          <w:rFonts w:ascii="宋体" w:hAnsi="宋体" w:cs="宋体"/>
          <w:sz w:val="24"/>
        </w:rPr>
        <w:t>SL44—2006</w:t>
      </w:r>
      <w:r>
        <w:rPr>
          <w:rFonts w:hint="eastAsia" w:ascii="宋体" w:hAnsi="宋体" w:cs="宋体"/>
          <w:sz w:val="24"/>
        </w:rPr>
        <w:t>)；</w:t>
      </w:r>
    </w:p>
    <w:p>
      <w:pPr>
        <w:ind w:firstLine="540"/>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10</w:t>
      </w:r>
      <w:r>
        <w:rPr>
          <w:rFonts w:hint="eastAsia" w:ascii="宋体" w:hAnsi="宋体" w:cs="宋体"/>
          <w:sz w:val="24"/>
          <w:lang w:eastAsia="zh-CN"/>
        </w:rPr>
        <w:t>）</w:t>
      </w:r>
      <w:r>
        <w:rPr>
          <w:rFonts w:hint="eastAsia" w:ascii="宋体" w:hAnsi="宋体" w:cs="宋体"/>
          <w:sz w:val="24"/>
        </w:rPr>
        <w:t>《中小型水利</w:t>
      </w:r>
      <w:r>
        <w:rPr>
          <w:rFonts w:hint="eastAsia" w:ascii="Times New Roman" w:hAnsi="Times New Roman" w:eastAsia="宋体" w:cs="Times New Roman"/>
        </w:rPr>
        <w:t>水电</w:t>
      </w:r>
      <w:r>
        <w:rPr>
          <w:rFonts w:hint="eastAsia" w:ascii="宋体" w:hAnsi="宋体" w:cs="宋体"/>
          <w:sz w:val="24"/>
        </w:rPr>
        <w:t>工程地质勘察规范》（SL55-2005）；</w:t>
      </w:r>
    </w:p>
    <w:p>
      <w:pPr>
        <w:ind w:firstLine="540"/>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11</w:t>
      </w:r>
      <w:r>
        <w:rPr>
          <w:rFonts w:hint="eastAsia" w:ascii="宋体" w:hAnsi="宋体" w:cs="宋体"/>
          <w:sz w:val="24"/>
          <w:lang w:eastAsia="zh-CN"/>
        </w:rPr>
        <w:t>）</w:t>
      </w:r>
      <w:r>
        <w:rPr>
          <w:rFonts w:ascii="宋体" w:hAnsi="宋体" w:cs="宋体"/>
          <w:sz w:val="24"/>
        </w:rPr>
        <w:t>《小型水利</w:t>
      </w:r>
      <w:r>
        <w:rPr>
          <w:rFonts w:ascii="Times New Roman" w:hAnsi="Times New Roman" w:eastAsia="宋体" w:cs="Times New Roman"/>
        </w:rPr>
        <w:t>水电</w:t>
      </w:r>
      <w:r>
        <w:rPr>
          <w:rFonts w:ascii="宋体" w:hAnsi="宋体" w:cs="宋体"/>
          <w:sz w:val="24"/>
        </w:rPr>
        <w:t>工程碾压式土石坝设计规范》（SL</w:t>
      </w:r>
      <w:r>
        <w:rPr>
          <w:rFonts w:hint="eastAsia" w:ascii="宋体" w:hAnsi="宋体" w:cs="宋体"/>
          <w:sz w:val="24"/>
        </w:rPr>
        <w:t>189</w:t>
      </w:r>
      <w:r>
        <w:rPr>
          <w:rFonts w:ascii="宋体" w:hAnsi="宋体" w:cs="宋体"/>
          <w:sz w:val="24"/>
        </w:rPr>
        <w:t>-</w:t>
      </w:r>
      <w:r>
        <w:rPr>
          <w:rFonts w:hint="eastAsia" w:ascii="宋体" w:hAnsi="宋体" w:cs="宋体"/>
          <w:sz w:val="24"/>
        </w:rPr>
        <w:t>2013</w:t>
      </w:r>
      <w:r>
        <w:rPr>
          <w:rFonts w:ascii="宋体" w:hAnsi="宋体" w:cs="宋体"/>
          <w:sz w:val="24"/>
        </w:rPr>
        <w:t>）；</w:t>
      </w:r>
    </w:p>
    <w:p>
      <w:pPr>
        <w:ind w:firstLine="540"/>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12</w:t>
      </w:r>
      <w:r>
        <w:rPr>
          <w:rFonts w:hint="eastAsia" w:ascii="宋体" w:hAnsi="宋体" w:cs="宋体"/>
          <w:sz w:val="24"/>
          <w:lang w:eastAsia="zh-CN"/>
        </w:rPr>
        <w:t>）</w:t>
      </w:r>
      <w:r>
        <w:rPr>
          <w:rFonts w:hint="eastAsia" w:ascii="宋体" w:hAnsi="宋体" w:cs="宋体"/>
          <w:sz w:val="24"/>
        </w:rPr>
        <w:t>《溢洪道设计规范》(SL253—2018)；</w:t>
      </w:r>
    </w:p>
    <w:p>
      <w:pPr>
        <w:ind w:firstLine="540"/>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13</w:t>
      </w:r>
      <w:r>
        <w:rPr>
          <w:rFonts w:hint="eastAsia" w:ascii="宋体" w:hAnsi="宋体" w:cs="宋体"/>
          <w:sz w:val="24"/>
          <w:lang w:eastAsia="zh-CN"/>
        </w:rPr>
        <w:t>）</w:t>
      </w:r>
      <w:r>
        <w:rPr>
          <w:rFonts w:hint="eastAsia" w:ascii="宋体" w:hAnsi="宋体" w:cs="宋体"/>
          <w:sz w:val="24"/>
        </w:rPr>
        <w:t>《</w:t>
      </w:r>
      <w:r>
        <w:rPr>
          <w:rFonts w:hint="eastAsia" w:ascii="Times New Roman" w:hAnsi="Times New Roman" w:eastAsia="宋体" w:cs="Times New Roman"/>
        </w:rPr>
        <w:t>中华人民共和国</w:t>
      </w:r>
      <w:r>
        <w:rPr>
          <w:rFonts w:hint="eastAsia" w:ascii="宋体" w:hAnsi="宋体" w:cs="宋体"/>
          <w:sz w:val="24"/>
        </w:rPr>
        <w:t>工程建设标准强制性条文之水利工程部分2016版》；</w:t>
      </w:r>
    </w:p>
    <w:p>
      <w:pPr>
        <w:ind w:firstLine="540"/>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14</w:t>
      </w:r>
      <w:r>
        <w:rPr>
          <w:rFonts w:hint="eastAsia" w:ascii="宋体" w:hAnsi="宋体" w:cs="宋体"/>
          <w:sz w:val="24"/>
          <w:lang w:eastAsia="zh-CN"/>
        </w:rPr>
        <w:t>）</w:t>
      </w:r>
      <w:r>
        <w:rPr>
          <w:rFonts w:hint="eastAsia" w:ascii="宋体" w:hAnsi="宋体" w:cs="宋体"/>
          <w:sz w:val="24"/>
        </w:rPr>
        <w:t>《水工</w:t>
      </w:r>
      <w:r>
        <w:rPr>
          <w:rFonts w:hint="eastAsia" w:ascii="Times New Roman" w:hAnsi="Times New Roman" w:eastAsia="宋体" w:cs="Times New Roman"/>
        </w:rPr>
        <w:t>混凝土</w:t>
      </w:r>
      <w:r>
        <w:rPr>
          <w:rFonts w:hint="eastAsia" w:ascii="宋体" w:hAnsi="宋体" w:cs="宋体"/>
          <w:sz w:val="24"/>
        </w:rPr>
        <w:t>结构设计规范》（SL/T191—2008）；</w:t>
      </w:r>
    </w:p>
    <w:p>
      <w:pPr>
        <w:ind w:firstLine="540"/>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15</w:t>
      </w:r>
      <w:r>
        <w:rPr>
          <w:rFonts w:hint="eastAsia" w:ascii="宋体" w:hAnsi="宋体" w:cs="宋体"/>
          <w:sz w:val="24"/>
          <w:lang w:eastAsia="zh-CN"/>
        </w:rPr>
        <w:t>）</w:t>
      </w:r>
      <w:r>
        <w:rPr>
          <w:rFonts w:ascii="宋体" w:hAnsi="宋体" w:cs="宋体"/>
          <w:sz w:val="24"/>
        </w:rPr>
        <w:t>《</w:t>
      </w:r>
      <w:r>
        <w:rPr>
          <w:rFonts w:hint="eastAsia" w:ascii="宋体" w:hAnsi="宋体" w:cs="宋体"/>
          <w:sz w:val="24"/>
        </w:rPr>
        <w:t>土坝灌浆</w:t>
      </w:r>
      <w:r>
        <w:rPr>
          <w:rFonts w:hint="eastAsia" w:ascii="Times New Roman" w:hAnsi="Times New Roman" w:eastAsia="宋体" w:cs="Times New Roman"/>
        </w:rPr>
        <w:t>技术</w:t>
      </w:r>
      <w:r>
        <w:rPr>
          <w:rFonts w:hint="eastAsia" w:ascii="宋体" w:hAnsi="宋体" w:cs="宋体"/>
          <w:sz w:val="24"/>
        </w:rPr>
        <w:t>规范</w:t>
      </w:r>
      <w:r>
        <w:rPr>
          <w:rFonts w:ascii="宋体" w:hAnsi="宋体" w:cs="宋体"/>
          <w:sz w:val="24"/>
        </w:rPr>
        <w:t>》（SL564-2014）</w:t>
      </w:r>
      <w:r>
        <w:rPr>
          <w:rFonts w:hint="eastAsia" w:ascii="宋体" w:hAnsi="宋体" w:cs="宋体"/>
          <w:sz w:val="24"/>
        </w:rPr>
        <w:t>；</w:t>
      </w:r>
    </w:p>
    <w:p>
      <w:pPr>
        <w:ind w:firstLine="540"/>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16</w:t>
      </w:r>
      <w:r>
        <w:rPr>
          <w:rFonts w:hint="eastAsia" w:ascii="宋体" w:hAnsi="宋体" w:cs="宋体"/>
          <w:sz w:val="24"/>
          <w:lang w:eastAsia="zh-CN"/>
        </w:rPr>
        <w:t>）</w:t>
      </w:r>
      <w:r>
        <w:rPr>
          <w:rFonts w:ascii="宋体" w:hAnsi="宋体" w:cs="宋体"/>
          <w:sz w:val="24"/>
        </w:rPr>
        <w:t>《</w:t>
      </w:r>
      <w:r>
        <w:rPr>
          <w:rFonts w:hint="eastAsia" w:ascii="宋体" w:hAnsi="宋体" w:cs="宋体"/>
          <w:sz w:val="24"/>
        </w:rPr>
        <w:t>水利水电</w:t>
      </w:r>
      <w:r>
        <w:rPr>
          <w:rFonts w:hint="eastAsia" w:ascii="Times New Roman" w:hAnsi="Times New Roman" w:eastAsia="宋体" w:cs="Times New Roman"/>
        </w:rPr>
        <w:t>工程</w:t>
      </w:r>
      <w:r>
        <w:rPr>
          <w:rFonts w:hint="eastAsia" w:ascii="宋体" w:hAnsi="宋体" w:cs="宋体"/>
          <w:sz w:val="24"/>
        </w:rPr>
        <w:t>设计工程量计算规定</w:t>
      </w:r>
      <w:r>
        <w:rPr>
          <w:rFonts w:ascii="宋体" w:hAnsi="宋体" w:cs="宋体"/>
          <w:sz w:val="24"/>
        </w:rPr>
        <w:t>》(</w:t>
      </w:r>
      <w:r>
        <w:rPr>
          <w:rFonts w:hint="eastAsia" w:ascii="宋体" w:hAnsi="宋体" w:cs="宋体"/>
          <w:sz w:val="24"/>
        </w:rPr>
        <w:t>SL328-2005</w:t>
      </w:r>
      <w:r>
        <w:rPr>
          <w:rFonts w:ascii="宋体" w:hAnsi="宋体" w:cs="宋体"/>
          <w:sz w:val="24"/>
        </w:rPr>
        <w:t>)</w:t>
      </w:r>
      <w:r>
        <w:rPr>
          <w:rFonts w:hint="eastAsia" w:ascii="宋体" w:hAnsi="宋体" w:cs="宋体"/>
          <w:sz w:val="24"/>
        </w:rPr>
        <w:t>；</w:t>
      </w:r>
    </w:p>
    <w:p>
      <w:pPr>
        <w:ind w:firstLine="540"/>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17</w:t>
      </w:r>
      <w:r>
        <w:rPr>
          <w:rFonts w:hint="eastAsia" w:ascii="宋体" w:hAnsi="宋体" w:cs="宋体"/>
          <w:sz w:val="24"/>
          <w:lang w:eastAsia="zh-CN"/>
        </w:rPr>
        <w:t>）</w:t>
      </w:r>
      <w:r>
        <w:rPr>
          <w:rFonts w:hint="eastAsia" w:ascii="宋体" w:hAnsi="宋体" w:cs="宋体"/>
          <w:sz w:val="24"/>
        </w:rPr>
        <w:t>《水利水电</w:t>
      </w:r>
      <w:r>
        <w:rPr>
          <w:rFonts w:hint="eastAsia" w:ascii="Times New Roman" w:hAnsi="Times New Roman" w:eastAsia="宋体" w:cs="Times New Roman"/>
        </w:rPr>
        <w:t>工程</w:t>
      </w:r>
      <w:r>
        <w:rPr>
          <w:rFonts w:hint="eastAsia" w:ascii="宋体" w:hAnsi="宋体" w:cs="宋体"/>
          <w:sz w:val="24"/>
        </w:rPr>
        <w:t>施工组织设计规范》（SL303—2004）；</w:t>
      </w:r>
    </w:p>
    <w:p>
      <w:pPr>
        <w:ind w:firstLine="540"/>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18</w:t>
      </w:r>
      <w:r>
        <w:rPr>
          <w:rFonts w:hint="eastAsia" w:ascii="宋体" w:hAnsi="宋体" w:cs="宋体"/>
          <w:sz w:val="24"/>
          <w:lang w:eastAsia="zh-CN"/>
        </w:rPr>
        <w:t>）</w:t>
      </w:r>
      <w:r>
        <w:rPr>
          <w:rFonts w:ascii="宋体" w:hAnsi="宋体" w:cs="宋体"/>
          <w:sz w:val="24"/>
        </w:rPr>
        <w:t>《</w:t>
      </w:r>
      <w:r>
        <w:rPr>
          <w:rFonts w:hint="eastAsia" w:ascii="宋体" w:hAnsi="宋体" w:cs="宋体"/>
          <w:sz w:val="24"/>
          <w:szCs w:val="24"/>
        </w:rPr>
        <w:t>土石坝安全监测技术规范</w:t>
      </w:r>
      <w:r>
        <w:rPr>
          <w:rFonts w:ascii="宋体" w:hAnsi="宋体" w:cs="宋体"/>
          <w:sz w:val="24"/>
        </w:rPr>
        <w:t>》（</w:t>
      </w:r>
      <w:r>
        <w:rPr>
          <w:rFonts w:hint="eastAsia" w:ascii="宋体" w:hAnsi="宋体" w:cs="宋体"/>
          <w:sz w:val="24"/>
        </w:rPr>
        <w:t>SL551-2012</w:t>
      </w:r>
      <w:r>
        <w:rPr>
          <w:rFonts w:ascii="宋体" w:hAnsi="宋体" w:cs="宋体"/>
          <w:sz w:val="24"/>
        </w:rPr>
        <w:t>）</w:t>
      </w:r>
      <w:r>
        <w:rPr>
          <w:rFonts w:hint="eastAsia" w:ascii="宋体" w:hAnsi="宋体" w:cs="宋体"/>
          <w:sz w:val="24"/>
        </w:rPr>
        <w:t>；</w:t>
      </w:r>
    </w:p>
    <w:p>
      <w:pPr>
        <w:ind w:firstLine="540"/>
        <w:rPr>
          <w:rFonts w:hint="eastAsia" w:ascii="Times New Roman" w:hAnsi="Times New Roman" w:cs="Times New Roman"/>
          <w:color w:val="auto"/>
          <w:szCs w:val="24"/>
          <w:highlight w:val="none"/>
          <w:shd w:val="clear" w:color="auto" w:fill="auto"/>
          <w:lang w:val="en-US" w:eastAsia="zh-CN"/>
        </w:rPr>
      </w:pPr>
      <w:r>
        <w:rPr>
          <w:rFonts w:hint="eastAsia" w:ascii="宋体" w:hAnsi="宋体" w:cs="宋体"/>
          <w:sz w:val="24"/>
          <w:lang w:eastAsia="zh-CN"/>
        </w:rPr>
        <w:t>（</w:t>
      </w:r>
      <w:r>
        <w:rPr>
          <w:rFonts w:hint="eastAsia" w:ascii="宋体" w:hAnsi="宋体" w:cs="宋体"/>
          <w:sz w:val="24"/>
          <w:lang w:val="en-US" w:eastAsia="zh-CN"/>
        </w:rPr>
        <w:t>19</w:t>
      </w:r>
      <w:r>
        <w:rPr>
          <w:rFonts w:hint="eastAsia" w:ascii="宋体" w:hAnsi="宋体" w:cs="宋体"/>
          <w:sz w:val="24"/>
          <w:lang w:eastAsia="zh-CN"/>
        </w:rPr>
        <w:t>）</w:t>
      </w:r>
      <w:r>
        <w:rPr>
          <w:rFonts w:hint="eastAsia" w:ascii="宋体" w:hAnsi="宋体" w:cs="宋体"/>
          <w:sz w:val="24"/>
        </w:rPr>
        <w:t>《白蚁防治</w:t>
      </w:r>
      <w:r>
        <w:rPr>
          <w:rFonts w:hint="eastAsia" w:ascii="Times New Roman" w:hAnsi="Times New Roman" w:eastAsia="宋体" w:cs="Times New Roman"/>
        </w:rPr>
        <w:t>技术</w:t>
      </w:r>
      <w:r>
        <w:rPr>
          <w:rFonts w:hint="eastAsia" w:ascii="宋体" w:hAnsi="宋体" w:cs="宋体"/>
          <w:sz w:val="24"/>
        </w:rPr>
        <w:t>规程》（DB51\T5012-2013）。</w:t>
      </w:r>
    </w:p>
    <w:p>
      <w:pPr>
        <w:pStyle w:val="5"/>
        <w:rPr>
          <w:rFonts w:ascii="Times New Roman" w:hAnsi="Times New Roman"/>
          <w:sz w:val="28"/>
          <w:szCs w:val="28"/>
        </w:rPr>
      </w:pPr>
      <w:bookmarkStart w:id="57" w:name="_Toc36029006"/>
      <w:bookmarkStart w:id="58" w:name="OLE_LINK18"/>
      <w:r>
        <w:rPr>
          <w:rFonts w:hint="eastAsia" w:ascii="Times New Roman" w:hAnsi="Times New Roman"/>
          <w:b w:val="0"/>
          <w:bCs w:val="0"/>
          <w:sz w:val="30"/>
          <w:szCs w:val="30"/>
          <w:lang w:val="en-US" w:eastAsia="zh-CN"/>
        </w:rPr>
        <w:t>3</w:t>
      </w:r>
      <w:r>
        <w:rPr>
          <w:rFonts w:ascii="Times New Roman" w:hAnsi="Times New Roman"/>
          <w:b w:val="0"/>
          <w:bCs w:val="0"/>
          <w:sz w:val="30"/>
          <w:szCs w:val="30"/>
        </w:rPr>
        <w:t>.2总体布局</w:t>
      </w:r>
      <w:bookmarkEnd w:id="57"/>
    </w:p>
    <w:bookmarkEnd w:id="58"/>
    <w:p>
      <w:pPr>
        <w:ind w:firstLine="540"/>
        <w:rPr>
          <w:rFonts w:hint="eastAsia" w:ascii="Times New Roman" w:hAnsi="Times New Roman" w:eastAsia="宋体" w:cs="Times New Roman"/>
          <w:lang w:eastAsia="zh-CN"/>
        </w:rPr>
      </w:pPr>
      <w:r>
        <w:t>本次“十四五”</w:t>
      </w:r>
      <w:r>
        <w:rPr>
          <w:rFonts w:hint="eastAsia"/>
          <w:lang w:eastAsia="zh-CN"/>
        </w:rPr>
        <w:t>新时期农</w:t>
      </w:r>
      <w:r>
        <w:rPr>
          <w:rFonts w:hint="eastAsia" w:ascii="Times New Roman" w:hAnsi="Times New Roman" w:eastAsia="宋体" w:cs="Times New Roman"/>
          <w:lang w:eastAsia="zh-CN"/>
        </w:rPr>
        <w:t>村水利</w:t>
      </w:r>
      <w:r>
        <w:rPr>
          <w:rFonts w:ascii="Times New Roman" w:hAnsi="Times New Roman" w:eastAsia="宋体" w:cs="Times New Roman"/>
        </w:rPr>
        <w:t>规划</w:t>
      </w:r>
      <w:r>
        <w:rPr>
          <w:rFonts w:hint="eastAsia" w:ascii="Times New Roman" w:hAnsi="Times New Roman" w:eastAsia="宋体" w:cs="Times New Roman"/>
          <w:lang w:eastAsia="zh-CN"/>
        </w:rPr>
        <w:t>以习近平新时代中国特色社会主义思想为指导思想，深刻把握“三新一高”和农业农村优先发展要求，围绕四川水利高质量发展“</w:t>
      </w:r>
      <w:r>
        <w:rPr>
          <w:rFonts w:hint="eastAsia" w:ascii="Times New Roman" w:hAnsi="Times New Roman" w:eastAsia="宋体" w:cs="Times New Roman"/>
          <w:lang w:val="en-US" w:eastAsia="zh-CN"/>
        </w:rPr>
        <w:t>3226</w:t>
      </w:r>
      <w:r>
        <w:rPr>
          <w:rFonts w:hint="eastAsia" w:ascii="Times New Roman" w:hAnsi="Times New Roman" w:eastAsia="宋体" w:cs="Times New Roman"/>
          <w:lang w:eastAsia="zh-CN"/>
        </w:rPr>
        <w:t>”总体工作思路，把乡村水务、农业灌溉、水库及其渠道、水美新村等四大板块作为重点工作，</w:t>
      </w:r>
      <w:r>
        <w:rPr>
          <w:rFonts w:hint="eastAsia" w:ascii="Times New Roman" w:hAnsi="Times New Roman" w:eastAsia="宋体" w:cs="Times New Roman"/>
          <w:sz w:val="24"/>
          <w:szCs w:val="24"/>
          <w:lang w:eastAsia="zh-CN"/>
        </w:rPr>
        <w:t>为保障粮食安全、发展现代农业和建设“美丽四川·宜居乡村”提供坚强水利支撑。</w:t>
      </w:r>
    </w:p>
    <w:p>
      <w:pPr>
        <w:ind w:firstLine="540"/>
        <w:rPr>
          <w:rFonts w:hint="eastAsia" w:cs="Times New Roman"/>
          <w:lang w:val="en-US" w:eastAsia="zh-CN"/>
        </w:rPr>
      </w:pPr>
      <w:r>
        <w:rPr>
          <w:rFonts w:hint="eastAsia" w:cs="Times New Roman"/>
          <w:lang w:val="en-US" w:eastAsia="zh-CN"/>
        </w:rPr>
        <w:t>马边彝族自治县由于历史及地形原因，目前尚未有建成蓄水的水库。为保障全县供水能力，加强水源工程建设，“十三五”期间马边彝族自治县把</w:t>
      </w:r>
      <w:r>
        <w:rPr>
          <w:rFonts w:hint="eastAsia" w:ascii="华文仿宋" w:hAnsi="华文仿宋" w:cs="Times New Roman"/>
          <w:lang w:val="en-US" w:eastAsia="zh-CN"/>
        </w:rPr>
        <w:t>青龙水库和</w:t>
      </w:r>
      <w:r>
        <w:rPr>
          <w:rFonts w:hint="eastAsia" w:cs="Times New Roman"/>
        </w:rPr>
        <w:t>芦稿溪水库</w:t>
      </w:r>
      <w:r>
        <w:rPr>
          <w:rFonts w:hint="eastAsia" w:cs="Times New Roman"/>
          <w:lang w:val="en-US" w:eastAsia="zh-CN"/>
        </w:rPr>
        <w:t>作为</w:t>
      </w:r>
      <w:r>
        <w:rPr>
          <w:rFonts w:hint="eastAsia" w:cs="Times New Roman"/>
        </w:rPr>
        <w:t>重点水利项目</w:t>
      </w:r>
      <w:r>
        <w:rPr>
          <w:rFonts w:hint="eastAsia" w:cs="Times New Roman"/>
          <w:lang w:val="en-US" w:eastAsia="zh-CN"/>
        </w:rPr>
        <w:t>推进，目前，</w:t>
      </w:r>
      <w:r>
        <w:rPr>
          <w:rFonts w:hint="eastAsia" w:cs="Times New Roman"/>
        </w:rPr>
        <w:t>芦稿溪水库前期工作</w:t>
      </w:r>
      <w:r>
        <w:rPr>
          <w:rFonts w:hint="eastAsia" w:cs="Times New Roman"/>
          <w:lang w:val="en-US" w:eastAsia="zh-CN"/>
        </w:rPr>
        <w:t>在</w:t>
      </w:r>
      <w:r>
        <w:rPr>
          <w:rFonts w:hint="eastAsia" w:cs="Times New Roman"/>
        </w:rPr>
        <w:t>持续推进</w:t>
      </w:r>
      <w:r>
        <w:rPr>
          <w:rFonts w:hint="eastAsia" w:cs="Times New Roman"/>
          <w:lang w:val="en-US" w:eastAsia="zh-CN"/>
        </w:rPr>
        <w:t>中，青龙水库基本建成，待进行蓄水安全鉴定后即可蓄水运行。</w:t>
      </w:r>
    </w:p>
    <w:p>
      <w:pPr>
        <w:ind w:firstLine="540"/>
        <w:rPr>
          <w:rFonts w:hint="eastAsia" w:eastAsia="宋体"/>
          <w:lang w:eastAsia="zh-CN"/>
        </w:rPr>
      </w:pPr>
      <w:r>
        <w:rPr>
          <w:rFonts w:hint="eastAsia" w:cs="Times New Roman"/>
          <w:lang w:val="en-US" w:eastAsia="zh-CN"/>
        </w:rPr>
        <w:t>根据四川省水利厅《关于开展县级“十四五”新时期农村水利规划编制工作的通知》要求，农业灌溉板块灌区主要建设需求以大中型灌区现状为本底，在现状基础上对相关工程设施、管理设施、安全设施等进行完善。由于马边彝族自治县目前尚未有大中型灌区，因此本次马边彝族自治县</w:t>
      </w:r>
      <w:r>
        <w:t>“十四五”</w:t>
      </w:r>
      <w:r>
        <w:rPr>
          <w:rFonts w:hint="eastAsia"/>
          <w:lang w:eastAsia="zh-CN"/>
        </w:rPr>
        <w:t>新时期农</w:t>
      </w:r>
      <w:r>
        <w:rPr>
          <w:rFonts w:hint="eastAsia" w:ascii="Times New Roman" w:hAnsi="Times New Roman" w:eastAsia="宋体" w:cs="Times New Roman"/>
          <w:lang w:eastAsia="zh-CN"/>
        </w:rPr>
        <w:t>村水利</w:t>
      </w:r>
      <w:r>
        <w:rPr>
          <w:rFonts w:ascii="Times New Roman" w:hAnsi="Times New Roman" w:eastAsia="宋体" w:cs="Times New Roman"/>
        </w:rPr>
        <w:t>规划</w:t>
      </w:r>
      <w:r>
        <w:rPr>
          <w:rFonts w:hint="eastAsia" w:ascii="Times New Roman" w:hAnsi="Times New Roman" w:eastAsia="宋体" w:cs="Times New Roman"/>
          <w:lang w:eastAsia="zh-CN"/>
        </w:rPr>
        <w:t>工作不含农业灌溉板块，水库及渠道板块仅考虑青龙水库建成后的基础维护及设施设备的完善等。因此，</w:t>
      </w:r>
      <w:r>
        <w:rPr>
          <w:rFonts w:hint="eastAsia" w:cs="Times New Roman"/>
          <w:lang w:eastAsia="zh-CN"/>
        </w:rPr>
        <w:t>马边彝族自治县</w:t>
      </w:r>
      <w:r>
        <w:rPr>
          <w:rFonts w:hint="eastAsia" w:ascii="Times New Roman" w:hAnsi="Times New Roman" w:eastAsia="宋体" w:cs="Times New Roman"/>
          <w:lang w:eastAsia="zh-CN"/>
        </w:rPr>
        <w:t>“十四五”新农水规划重点工作为乡村水务及水美新村。</w:t>
      </w:r>
    </w:p>
    <w:p>
      <w:pPr>
        <w:ind w:firstLine="540"/>
      </w:pPr>
      <w:r>
        <w:t>截止20</w:t>
      </w:r>
      <w:r>
        <w:rPr>
          <w:rFonts w:hint="eastAsia"/>
          <w:lang w:val="en-US" w:eastAsia="zh-CN"/>
        </w:rPr>
        <w:t>20</w:t>
      </w:r>
      <w:r>
        <w:t>年底，</w:t>
      </w:r>
      <w:r>
        <w:rPr>
          <w:rFonts w:hint="eastAsia"/>
          <w:lang w:eastAsia="zh-CN"/>
        </w:rPr>
        <w:t>马边彝族自治县</w:t>
      </w:r>
      <w:r>
        <w:t>农村饮水安全问题基本解决，但供水工程以小集中供水工程及分散工程居多，通过对农村居民人均纯收入、供水入户人口、水源水质、水源保证率、消毒净化设施配套、供水水质达标工程数量等情况进行摸底调查，部分地区农村饮水安全成果还不够牢固、容易反复，在水量和水质保障、长效运行等方面还存在薄弱环节。</w:t>
      </w:r>
    </w:p>
    <w:p>
      <w:pPr>
        <w:ind w:firstLine="540"/>
      </w:pPr>
      <w:r>
        <w:t>按照有条件的地区充分利用大水源、大水厂以及现有供水设施和输配水管网，全域推进规模化工程建设，基础薄弱的地区以大并小，小小联合，因地制宜推进小型工程规范化建设和改造的指导思想。根据统筹城乡发展的总体要求，综合</w:t>
      </w:r>
      <w:r>
        <w:rPr>
          <w:rFonts w:hint="eastAsia"/>
          <w:lang w:eastAsia="zh-CN"/>
        </w:rPr>
        <w:t>马边彝族自治县</w:t>
      </w:r>
      <w:r>
        <w:t>现状供水设施、水源条件、地形地貌、用水需求、技术经济条件等因素，与美丽宜居乡村规划、新型城镇化发展规划紧密衔接，按照规模化建设、专业化管理、经济合理、方便管理等原则，科学确定工程总体布局、建设规模与技术方案。</w:t>
      </w:r>
    </w:p>
    <w:p>
      <w:pPr>
        <w:ind w:firstLine="540"/>
      </w:pPr>
      <w:r>
        <w:t>供水工程按照重点发展集中连片规模化供水工程的思路进行规划。充分挖掘现有城镇水厂供水潜力，推动城镇供水设施向农村延伸，采取管网延伸扩大供水区域。</w:t>
      </w:r>
    </w:p>
    <w:p>
      <w:pPr>
        <w:ind w:firstLine="540"/>
        <w:rPr>
          <w:rFonts w:hint="eastAsia"/>
          <w:lang w:eastAsia="zh-CN"/>
        </w:rPr>
      </w:pPr>
      <w:r>
        <w:t>本次</w:t>
      </w:r>
      <w:r>
        <w:rPr>
          <w:rFonts w:hint="eastAsia"/>
          <w:lang w:eastAsia="zh-CN"/>
        </w:rPr>
        <w:t>马边彝族自治县</w:t>
      </w:r>
      <w:r>
        <w:rPr>
          <w:rFonts w:hint="eastAsia" w:ascii="Times New Roman" w:hAnsi="Times New Roman" w:eastAsia="宋体" w:cs="Times New Roman"/>
          <w:lang w:eastAsia="zh-CN"/>
        </w:rPr>
        <w:t>“十四五”新农水规划乡村水务</w:t>
      </w:r>
      <w:r>
        <w:t>拟建设规模化供水工程，通过县城片区供水工程、大竹堡片区供水工程、雪口山片区供水工程、荣丁片区供水工程</w:t>
      </w:r>
      <w:r>
        <w:rPr>
          <w:rFonts w:hint="eastAsia"/>
          <w:lang w:eastAsia="zh-CN"/>
        </w:rPr>
        <w:t>及苏坝片区供水工程</w:t>
      </w:r>
      <w:r>
        <w:t>实现片区统一管理、运行高效的划片供水模式。通过</w:t>
      </w:r>
      <w:r>
        <w:rPr>
          <w:rFonts w:hint="eastAsia"/>
          <w:lang w:eastAsia="zh-CN"/>
        </w:rPr>
        <w:t>五</w:t>
      </w:r>
      <w:r>
        <w:t>个片区供水工程进行管网延伸补充片区内原有供水水厂的水源，解决原供水厂取水量不足的问题，并对原供水水厂因高程问题无法供水的区域进行供水，最终覆盖</w:t>
      </w:r>
      <w:r>
        <w:rPr>
          <w:rFonts w:hint="eastAsia"/>
          <w:lang w:eastAsia="zh-CN"/>
        </w:rPr>
        <w:t>马边彝族自治县</w:t>
      </w:r>
      <w:r>
        <w:t>民建镇、建设乡、劳动乡、大竹堡乡、镇江庙乡、下溪镇、荣丁镇、雪口山乡等8个乡镇32个村及7个社区。</w:t>
      </w:r>
      <w:r>
        <w:rPr>
          <w:rFonts w:hint="eastAsia"/>
          <w:lang w:eastAsia="zh-CN"/>
        </w:rPr>
        <w:t>同时，通过马边彝族自治县民主工业园区供水工程解决民主镇工业园区供水问题及周边农村居民的生活用水问题。</w:t>
      </w:r>
    </w:p>
    <w:p>
      <w:pPr>
        <w:ind w:firstLine="540"/>
        <w:rPr>
          <w:rFonts w:hint="eastAsia" w:ascii="Times New Roman" w:hAnsi="Times New Roman" w:eastAsia="宋体" w:cs="Times New Roman"/>
        </w:rPr>
      </w:pPr>
      <w:r>
        <w:rPr>
          <w:rFonts w:hint="eastAsia" w:ascii="Times New Roman" w:hAnsi="Times New Roman" w:eastAsia="宋体" w:cs="Times New Roman"/>
        </w:rPr>
        <w:t>“水美新村”建设要着力构建节水配水管理体系、设施生态网络体系、河湖保护体系、水旱灾害防治体系、现代水利制度体系和蜀水文化体系的“六水美村”网络体系，各项指标应达到《四川省水美新村建设指标体系》的标准要求。在发展目标上，与乡村振兴战略总体规划相协调，分阶段分步骤开展建设工作，2021到2025年年底新建龙秧坪村、小谷溪村、西城社区、新华村、黎明村、桃溪村、先家普村共7个水美新村，覆盖人口14915人。</w:t>
      </w:r>
    </w:p>
    <w:p>
      <w:pPr>
        <w:ind w:firstLine="540"/>
        <w:rPr>
          <w:rFonts w:hint="eastAsia" w:ascii="Times New Roman" w:hAnsi="Times New Roman" w:eastAsia="宋体" w:cs="Times New Roman"/>
          <w:lang w:eastAsia="zh-CN"/>
        </w:rPr>
      </w:pPr>
    </w:p>
    <w:p>
      <w:pPr>
        <w:pStyle w:val="5"/>
        <w:rPr>
          <w:rFonts w:hint="eastAsia" w:ascii="Times New Roman" w:hAnsi="Times New Roman"/>
          <w:b w:val="0"/>
          <w:bCs w:val="0"/>
          <w:sz w:val="30"/>
          <w:szCs w:val="30"/>
          <w:lang w:eastAsia="zh-CN"/>
        </w:rPr>
      </w:pPr>
      <w:bookmarkStart w:id="59" w:name="_Toc36029007"/>
      <w:r>
        <w:rPr>
          <w:rFonts w:hint="eastAsia" w:ascii="Times New Roman" w:hAnsi="Times New Roman"/>
          <w:b w:val="0"/>
          <w:bCs w:val="0"/>
          <w:sz w:val="30"/>
          <w:szCs w:val="30"/>
          <w:lang w:val="en-US" w:eastAsia="zh-CN"/>
        </w:rPr>
        <w:t>3</w:t>
      </w:r>
      <w:r>
        <w:rPr>
          <w:rFonts w:ascii="Times New Roman" w:hAnsi="Times New Roman"/>
          <w:b w:val="0"/>
          <w:bCs w:val="0"/>
          <w:sz w:val="30"/>
          <w:szCs w:val="30"/>
        </w:rPr>
        <w:t>.3</w:t>
      </w:r>
      <w:bookmarkEnd w:id="59"/>
      <w:r>
        <w:rPr>
          <w:rFonts w:hint="eastAsia" w:ascii="Times New Roman" w:hAnsi="Times New Roman"/>
          <w:b w:val="0"/>
          <w:bCs w:val="0"/>
          <w:sz w:val="30"/>
          <w:szCs w:val="30"/>
          <w:lang w:eastAsia="zh-CN"/>
        </w:rPr>
        <w:t>主要建设内容</w:t>
      </w:r>
    </w:p>
    <w:p>
      <w:pPr>
        <w:ind w:firstLine="540"/>
        <w:rPr>
          <w:rFonts w:hint="eastAsia" w:ascii="Times New Roman" w:hAnsi="Times New Roman" w:eastAsia="宋体" w:cs="Times New Roman"/>
          <w:lang w:eastAsia="zh-CN"/>
        </w:rPr>
      </w:pPr>
      <w:r>
        <w:t>本次</w:t>
      </w:r>
      <w:r>
        <w:rPr>
          <w:rFonts w:hint="eastAsia"/>
          <w:lang w:eastAsia="zh-CN"/>
        </w:rPr>
        <w:t>马边彝族自治县</w:t>
      </w:r>
      <w:r>
        <w:rPr>
          <w:rFonts w:hint="eastAsia" w:ascii="Times New Roman" w:hAnsi="Times New Roman" w:eastAsia="宋体" w:cs="Times New Roman"/>
          <w:lang w:eastAsia="zh-CN"/>
        </w:rPr>
        <w:t>“十四五”新农水规划以乡村水务、水美新村作为重点工作，兼顾青龙水库建成后的基础维护及设施设备的完善。</w:t>
      </w:r>
    </w:p>
    <w:p>
      <w:pPr>
        <w:ind w:firstLine="540"/>
        <w:rPr>
          <w:rFonts w:hint="eastAsia" w:ascii="Times New Roman" w:hAnsi="Times New Roman" w:eastAsia="宋体" w:cs="Times New Roman"/>
          <w:lang w:eastAsia="zh-CN"/>
        </w:rPr>
      </w:pPr>
      <w:r>
        <w:rPr>
          <w:rFonts w:hint="eastAsia" w:ascii="Times New Roman" w:hAnsi="Times New Roman" w:eastAsia="宋体" w:cs="Times New Roman"/>
          <w:lang w:eastAsia="zh-CN"/>
        </w:rPr>
        <w:t>乡村水务以农村供水工程为主，主要包括</w:t>
      </w:r>
      <w:r>
        <w:t>县城片区供水工程、大竹堡片区供水工程、雪口山片区供水工程、荣丁片区供水工程</w:t>
      </w:r>
      <w:r>
        <w:rPr>
          <w:rFonts w:hint="eastAsia"/>
          <w:lang w:eastAsia="zh-CN"/>
        </w:rPr>
        <w:t>及苏坝片区供水工程。各供水工程</w:t>
      </w:r>
      <w:r>
        <w:rPr>
          <w:rFonts w:hint="eastAsia" w:ascii="Times New Roman" w:hAnsi="Times New Roman" w:eastAsia="宋体" w:cs="Times New Roman"/>
          <w:lang w:eastAsia="zh-CN"/>
        </w:rPr>
        <w:t>主要建设内容如下：</w:t>
      </w:r>
    </w:p>
    <w:p>
      <w:pPr>
        <w:ind w:firstLine="540"/>
        <w:rPr>
          <w:kern w:val="0"/>
          <w:lang w:bidi="ar"/>
        </w:rPr>
      </w:pPr>
      <w:r>
        <w:t>县城片区供水工程</w:t>
      </w:r>
      <w:r>
        <w:rPr>
          <w:kern w:val="0"/>
          <w:lang w:bidi="ar"/>
        </w:rPr>
        <w:t>规划建设内容为新建取水工程、净水厂工程及输配水管网工程。取水工程含取水塔、工作桥等；净水处理厂工程包括配水井、反应沉淀池、滤池、清水池、加药加氯间、排水排泥池、脱水机房等。</w:t>
      </w:r>
    </w:p>
    <w:p>
      <w:pPr>
        <w:ind w:firstLine="540"/>
        <w:rPr>
          <w:kern w:val="0"/>
          <w:lang w:bidi="ar"/>
        </w:rPr>
      </w:pPr>
      <w:r>
        <w:t>大竹堡片区供水工程</w:t>
      </w:r>
      <w:r>
        <w:rPr>
          <w:kern w:val="0"/>
          <w:lang w:bidi="ar"/>
        </w:rPr>
        <w:t>建设内容为新建一座取水低坝、一座沉砂池、一座清水池及输配水管网工程。</w:t>
      </w:r>
    </w:p>
    <w:p>
      <w:pPr>
        <w:ind w:firstLine="540"/>
        <w:rPr>
          <w:kern w:val="0"/>
          <w:lang w:bidi="ar"/>
        </w:rPr>
      </w:pPr>
      <w:r>
        <w:t>雪口山片区供水工程</w:t>
      </w:r>
      <w:r>
        <w:rPr>
          <w:kern w:val="0"/>
          <w:lang w:bidi="ar"/>
        </w:rPr>
        <w:t>建设内容为新建一座取水低坝、一座沉砂池、两座清水池及输配水管网工程。</w:t>
      </w:r>
    </w:p>
    <w:p>
      <w:pPr>
        <w:ind w:firstLine="540"/>
        <w:rPr>
          <w:kern w:val="0"/>
          <w:lang w:bidi="ar"/>
        </w:rPr>
      </w:pPr>
      <w:r>
        <w:t>荣丁片区供水工程</w:t>
      </w:r>
      <w:r>
        <w:rPr>
          <w:kern w:val="0"/>
          <w:lang w:bidi="ar"/>
        </w:rPr>
        <w:t>建设内容为新建两座取水低坝、两座沉砂池、四座清水池及输配水管网工程。</w:t>
      </w:r>
    </w:p>
    <w:p>
      <w:pPr>
        <w:ind w:firstLine="540"/>
        <w:rPr>
          <w:kern w:val="0"/>
          <w:lang w:bidi="ar"/>
        </w:rPr>
      </w:pPr>
      <w:r>
        <w:rPr>
          <w:rFonts w:hint="eastAsia"/>
          <w:lang w:eastAsia="zh-CN"/>
        </w:rPr>
        <w:t>苏坝片区供水工程</w:t>
      </w:r>
      <w:r>
        <w:rPr>
          <w:kern w:val="0"/>
          <w:lang w:bidi="ar"/>
        </w:rPr>
        <w:t>新建</w:t>
      </w:r>
      <w:r>
        <w:rPr>
          <w:rFonts w:hint="eastAsia"/>
          <w:kern w:val="0"/>
          <w:lang w:eastAsia="zh-CN" w:bidi="ar"/>
        </w:rPr>
        <w:t>五</w:t>
      </w:r>
      <w:r>
        <w:rPr>
          <w:kern w:val="0"/>
          <w:lang w:bidi="ar"/>
        </w:rPr>
        <w:t>座取水低坝、</w:t>
      </w:r>
      <w:r>
        <w:rPr>
          <w:rFonts w:hint="eastAsia"/>
          <w:kern w:val="0"/>
          <w:lang w:eastAsia="zh-CN" w:bidi="ar"/>
        </w:rPr>
        <w:t>五</w:t>
      </w:r>
      <w:r>
        <w:rPr>
          <w:kern w:val="0"/>
          <w:lang w:bidi="ar"/>
        </w:rPr>
        <w:t>座沉砂池、一座清水池及输配水管网工程。</w:t>
      </w:r>
    </w:p>
    <w:p>
      <w:pPr>
        <w:ind w:firstLine="540"/>
        <w:rPr>
          <w:rFonts w:hint="eastAsia"/>
          <w:lang w:val="en-US" w:eastAsia="zh-CN"/>
        </w:rPr>
      </w:pPr>
      <w:r>
        <w:rPr>
          <w:rFonts w:hint="eastAsia"/>
          <w:lang w:eastAsia="zh-CN"/>
        </w:rPr>
        <w:t>民主工业园区供水工程建设内容为新建</w:t>
      </w:r>
      <w:r>
        <w:rPr>
          <w:rFonts w:hint="eastAsia"/>
          <w:lang w:val="en-US" w:eastAsia="zh-CN"/>
        </w:rPr>
        <w:t>11座取水低坝，11座沉砂池、两座取水泵房、一座调节水池、一座净水处理厂（包括反应沉淀池、蓄水池、超滤净化设备、送水泵房、管理房等）及输配水管网工程。</w:t>
      </w:r>
    </w:p>
    <w:p>
      <w:pPr>
        <w:ind w:firstLine="540"/>
        <w:rPr>
          <w:rFonts w:hint="eastAsia" w:ascii="Times New Roman" w:hAnsi="Times New Roman" w:eastAsia="宋体" w:cs="Times New Roman"/>
        </w:rPr>
      </w:pPr>
      <w:r>
        <w:rPr>
          <w:rFonts w:hint="eastAsia" w:ascii="Times New Roman" w:hAnsi="Times New Roman" w:eastAsia="宋体" w:cs="Times New Roman"/>
        </w:rPr>
        <w:t>2021到2025年</w:t>
      </w:r>
      <w:r>
        <w:rPr>
          <w:rFonts w:hint="eastAsia" w:ascii="Times New Roman" w:hAnsi="Times New Roman" w:eastAsia="宋体" w:cs="Times New Roman"/>
          <w:lang w:val="en-US" w:eastAsia="zh-CN"/>
        </w:rPr>
        <w:t>底完成</w:t>
      </w:r>
      <w:r>
        <w:rPr>
          <w:rFonts w:hint="eastAsia" w:ascii="Times New Roman" w:hAnsi="Times New Roman" w:eastAsia="宋体" w:cs="Times New Roman"/>
        </w:rPr>
        <w:t>7个水美新村</w:t>
      </w:r>
      <w:r>
        <w:rPr>
          <w:rFonts w:hint="eastAsia" w:ascii="Times New Roman" w:hAnsi="Times New Roman" w:eastAsia="宋体" w:cs="Times New Roman"/>
          <w:lang w:eastAsia="zh-CN"/>
        </w:rPr>
        <w:t>建设</w:t>
      </w:r>
      <w:r>
        <w:rPr>
          <w:rFonts w:hint="eastAsia" w:ascii="Times New Roman" w:hAnsi="Times New Roman" w:eastAsia="宋体" w:cs="Times New Roman"/>
        </w:rPr>
        <w:t>，覆盖人口14915人。</w:t>
      </w:r>
    </w:p>
    <w:p>
      <w:pPr>
        <w:ind w:firstLine="540"/>
        <w:rPr>
          <w:rFonts w:hint="default"/>
          <w:color w:val="FF0000"/>
          <w:lang w:val="en-US" w:eastAsia="zh-CN"/>
        </w:rPr>
      </w:pPr>
    </w:p>
    <w:p>
      <w:pPr>
        <w:ind w:firstLine="540"/>
        <w:rPr>
          <w:kern w:val="0"/>
          <w:lang w:bidi="ar"/>
        </w:rPr>
        <w:sectPr>
          <w:pgSz w:w="11906" w:h="16838"/>
          <w:pgMar w:top="1814" w:right="1588" w:bottom="1701" w:left="1588" w:header="851" w:footer="992" w:gutter="0"/>
          <w:cols w:space="720" w:num="1"/>
          <w:docGrid w:type="linesAndChars" w:linePitch="471" w:charSpace="512"/>
        </w:sectPr>
      </w:pPr>
    </w:p>
    <w:p>
      <w:pPr>
        <w:pStyle w:val="5"/>
        <w:rPr>
          <w:rFonts w:hint="eastAsia" w:ascii="Times New Roman" w:hAnsi="Times New Roman" w:eastAsia="黑体"/>
          <w:b w:val="0"/>
          <w:color w:val="000000"/>
          <w:sz w:val="30"/>
          <w:szCs w:val="30"/>
          <w:lang w:eastAsia="zh-CN"/>
        </w:rPr>
      </w:pPr>
      <w:bookmarkStart w:id="60" w:name="_Toc36029012"/>
      <w:r>
        <w:rPr>
          <w:rFonts w:hint="eastAsia" w:ascii="Times New Roman" w:hAnsi="Times New Roman"/>
          <w:b w:val="0"/>
          <w:color w:val="000000"/>
          <w:sz w:val="30"/>
          <w:szCs w:val="30"/>
          <w:lang w:val="en-US" w:eastAsia="zh-CN"/>
        </w:rPr>
        <w:t>3</w:t>
      </w:r>
      <w:r>
        <w:rPr>
          <w:rFonts w:ascii="Times New Roman" w:hAnsi="Times New Roman"/>
          <w:b w:val="0"/>
          <w:color w:val="000000"/>
          <w:sz w:val="30"/>
          <w:szCs w:val="30"/>
        </w:rPr>
        <w:t>.</w:t>
      </w:r>
      <w:r>
        <w:rPr>
          <w:rFonts w:hint="eastAsia" w:ascii="Times New Roman" w:hAnsi="Times New Roman"/>
          <w:b w:val="0"/>
          <w:color w:val="000000"/>
          <w:sz w:val="30"/>
          <w:szCs w:val="30"/>
          <w:lang w:val="en-US" w:eastAsia="zh-CN"/>
        </w:rPr>
        <w:t>4</w:t>
      </w:r>
      <w:r>
        <w:rPr>
          <w:rFonts w:hint="eastAsia" w:ascii="Times New Roman" w:hAnsi="Times New Roman"/>
          <w:b w:val="0"/>
          <w:color w:val="000000"/>
          <w:sz w:val="30"/>
          <w:szCs w:val="30"/>
          <w:lang w:eastAsia="zh-CN"/>
        </w:rPr>
        <w:t>重点</w:t>
      </w:r>
      <w:r>
        <w:rPr>
          <w:rFonts w:ascii="Times New Roman" w:hAnsi="Times New Roman"/>
          <w:b w:val="0"/>
          <w:color w:val="000000"/>
          <w:sz w:val="30"/>
          <w:szCs w:val="30"/>
        </w:rPr>
        <w:t>工程</w:t>
      </w:r>
      <w:bookmarkEnd w:id="60"/>
      <w:r>
        <w:rPr>
          <w:rFonts w:hint="eastAsia" w:ascii="Times New Roman" w:hAnsi="Times New Roman"/>
          <w:b w:val="0"/>
          <w:color w:val="000000"/>
          <w:sz w:val="30"/>
          <w:szCs w:val="30"/>
          <w:lang w:eastAsia="zh-CN"/>
        </w:rPr>
        <w:t>规划情况</w:t>
      </w:r>
    </w:p>
    <w:p>
      <w:pPr>
        <w:pStyle w:val="5"/>
        <w:rPr>
          <w:rFonts w:hint="eastAsia" w:eastAsia="黑体"/>
          <w:b w:val="0"/>
          <w:bCs w:val="0"/>
          <w:sz w:val="28"/>
          <w:szCs w:val="28"/>
          <w:lang w:eastAsia="zh-CN"/>
        </w:rPr>
      </w:pPr>
      <w:r>
        <w:rPr>
          <w:rFonts w:hint="eastAsia" w:eastAsia="黑体"/>
          <w:b w:val="0"/>
          <w:bCs w:val="0"/>
          <w:sz w:val="28"/>
          <w:szCs w:val="28"/>
          <w:lang w:val="en-US" w:eastAsia="zh-CN"/>
        </w:rPr>
        <w:t>3.4</w:t>
      </w:r>
      <w:r>
        <w:rPr>
          <w:rFonts w:eastAsia="黑体"/>
          <w:b w:val="0"/>
          <w:bCs w:val="0"/>
          <w:sz w:val="28"/>
          <w:szCs w:val="28"/>
        </w:rPr>
        <w:t>.1</w:t>
      </w:r>
      <w:r>
        <w:rPr>
          <w:rFonts w:hint="eastAsia" w:eastAsia="黑体"/>
          <w:b w:val="0"/>
          <w:bCs w:val="0"/>
          <w:sz w:val="28"/>
          <w:szCs w:val="28"/>
          <w:lang w:eastAsia="zh-CN"/>
        </w:rPr>
        <w:t>县城片区供水工程</w:t>
      </w:r>
    </w:p>
    <w:p>
      <w:pPr>
        <w:adjustRightInd w:val="0"/>
        <w:snapToGrid w:val="0"/>
        <w:spacing w:line="500" w:lineRule="exact"/>
        <w:rPr>
          <w:rFonts w:hint="eastAsia" w:eastAsia="黑体"/>
          <w:sz w:val="28"/>
          <w:szCs w:val="28"/>
          <w:lang w:val="en-US" w:eastAsia="zh-CN"/>
        </w:rPr>
      </w:pPr>
      <w:r>
        <w:rPr>
          <w:rFonts w:hint="eastAsia" w:eastAsia="黑体"/>
          <w:sz w:val="28"/>
          <w:szCs w:val="28"/>
          <w:lang w:val="en-US" w:eastAsia="zh-CN"/>
        </w:rPr>
        <w:t>3.4.1</w:t>
      </w:r>
      <w:r>
        <w:rPr>
          <w:rFonts w:eastAsia="黑体"/>
          <w:sz w:val="28"/>
          <w:szCs w:val="28"/>
        </w:rPr>
        <w:t>.1工程</w:t>
      </w:r>
      <w:r>
        <w:rPr>
          <w:rFonts w:hint="eastAsia" w:eastAsia="黑体"/>
          <w:sz w:val="28"/>
          <w:szCs w:val="28"/>
          <w:lang w:eastAsia="zh-CN"/>
        </w:rPr>
        <w:t>基本情况</w:t>
      </w:r>
    </w:p>
    <w:p>
      <w:pPr>
        <w:ind w:firstLine="540"/>
      </w:pPr>
      <w:r>
        <w:rPr>
          <w:rFonts w:hint="eastAsia"/>
          <w:lang w:eastAsia="zh-CN"/>
        </w:rPr>
        <w:t>马边彝族自治县</w:t>
      </w:r>
      <w:r>
        <w:t>现有自来水厂二座，分别为</w:t>
      </w:r>
      <w:r>
        <w:rPr>
          <w:rFonts w:hint="eastAsia"/>
          <w:lang w:eastAsia="zh-CN"/>
        </w:rPr>
        <w:t>马边彝族自治县</w:t>
      </w:r>
      <w:r>
        <w:t>城一水厂和</w:t>
      </w:r>
      <w:r>
        <w:rPr>
          <w:rFonts w:hint="eastAsia"/>
          <w:lang w:eastAsia="zh-CN"/>
        </w:rPr>
        <w:t>马边彝族自治县</w:t>
      </w:r>
      <w:r>
        <w:t>城二水厂。</w:t>
      </w:r>
    </w:p>
    <w:p>
      <w:pPr>
        <w:ind w:firstLine="540"/>
      </w:pPr>
      <w:r>
        <w:rPr>
          <w:rFonts w:hint="eastAsia"/>
          <w:lang w:eastAsia="zh-CN"/>
        </w:rPr>
        <w:t>马边彝族自治县</w:t>
      </w:r>
      <w:r>
        <w:t>一水厂位于</w:t>
      </w:r>
      <w:r>
        <w:rPr>
          <w:rFonts w:hint="eastAsia"/>
          <w:lang w:eastAsia="zh-CN"/>
        </w:rPr>
        <w:t>马边彝族自治县</w:t>
      </w:r>
      <w:r>
        <w:t>东光区黑咡秋，马边河右岸。一水厂于1982建成投产，取马边河地表水，</w:t>
      </w:r>
      <w:r>
        <w:rPr>
          <w:rFonts w:hint="eastAsia"/>
          <w:lang w:eastAsia="zh-CN"/>
        </w:rPr>
        <w:t>供水</w:t>
      </w:r>
      <w:r>
        <w:t>规模1000m</w:t>
      </w:r>
      <w:r>
        <w:rPr>
          <w:vertAlign w:val="superscript"/>
        </w:rPr>
        <w:t>3</w:t>
      </w:r>
      <w:r>
        <w:t>/d。随着经济建设发展和城市规模扩大，以及人口和企业增加，老水厂的供水能力已不能满足市民生活和工作的需要。于是</w:t>
      </w:r>
      <w:r>
        <w:rPr>
          <w:rFonts w:hint="eastAsia"/>
          <w:lang w:eastAsia="zh-CN"/>
        </w:rPr>
        <w:t>于</w:t>
      </w:r>
      <w:r>
        <w:t>1995年新建自来水厂（东光厂区），水源取原东光水电站引水渠水，后因东光水电站拆除，改取马边河河边渗井之水，2003年建成，该水厂已运行14年。目前水厂净水反应设施不完善，调节池容积为300m</w:t>
      </w:r>
      <w:r>
        <w:rPr>
          <w:vertAlign w:val="superscript"/>
        </w:rPr>
        <w:t>3</w:t>
      </w:r>
      <w:r>
        <w:t>，容量不足，调节能力不能适应目前规模，更不能适应发展需要。供水安全性以及供水水量不足。已经不再适应县城规划和发展的需要。因此，</w:t>
      </w:r>
      <w:r>
        <w:rPr>
          <w:rFonts w:hint="eastAsia"/>
          <w:lang w:eastAsia="zh-CN"/>
        </w:rPr>
        <w:t>马边彝族自治县</w:t>
      </w:r>
      <w:r>
        <w:t>于2015年始，新建</w:t>
      </w:r>
      <w:r>
        <w:rPr>
          <w:rFonts w:hint="eastAsia"/>
          <w:lang w:eastAsia="zh-CN"/>
        </w:rPr>
        <w:t>马边彝族自治县</w:t>
      </w:r>
      <w:r>
        <w:t>二水厂。</w:t>
      </w:r>
      <w:r>
        <w:rPr>
          <w:rFonts w:hint="eastAsia"/>
          <w:lang w:eastAsia="zh-CN"/>
        </w:rPr>
        <w:t>马边彝族自治县</w:t>
      </w:r>
      <w:r>
        <w:t>二水厂厂址于</w:t>
      </w:r>
      <w:r>
        <w:rPr>
          <w:rFonts w:hint="eastAsia"/>
          <w:lang w:eastAsia="zh-CN"/>
        </w:rPr>
        <w:t>马边彝族自治县</w:t>
      </w:r>
      <w:r>
        <w:t>民建镇董家屋基。取水点位于永乐溪上游，高石头沟。距离</w:t>
      </w:r>
      <w:r>
        <w:rPr>
          <w:rFonts w:hint="eastAsia"/>
          <w:lang w:eastAsia="zh-CN"/>
        </w:rPr>
        <w:t>马边彝族自治县</w:t>
      </w:r>
      <w:r>
        <w:t>城直线距离约6km。设计规模近期10000</w:t>
      </w:r>
      <w:r>
        <w:rPr>
          <w:szCs w:val="28"/>
        </w:rPr>
        <w:t>m</w:t>
      </w:r>
      <w:r>
        <w:rPr>
          <w:szCs w:val="28"/>
          <w:vertAlign w:val="superscript"/>
        </w:rPr>
        <w:t>3</w:t>
      </w:r>
      <w:r>
        <w:rPr>
          <w:szCs w:val="28"/>
        </w:rPr>
        <w:t>/d</w:t>
      </w:r>
      <w:r>
        <w:t>（2010年）</w:t>
      </w:r>
      <w:r>
        <w:rPr>
          <w:szCs w:val="28"/>
        </w:rPr>
        <w:t>，远期20000m</w:t>
      </w:r>
      <w:r>
        <w:rPr>
          <w:szCs w:val="28"/>
          <w:vertAlign w:val="superscript"/>
        </w:rPr>
        <w:t>3</w:t>
      </w:r>
      <w:r>
        <w:rPr>
          <w:szCs w:val="28"/>
        </w:rPr>
        <w:t>/d</w:t>
      </w:r>
      <w:r>
        <w:t>（2020年）</w:t>
      </w:r>
      <w:r>
        <w:rPr>
          <w:szCs w:val="28"/>
        </w:rPr>
        <w:t>。</w:t>
      </w:r>
      <w:r>
        <w:t>但近几年随着</w:t>
      </w:r>
      <w:r>
        <w:rPr>
          <w:rFonts w:hint="eastAsia"/>
          <w:lang w:eastAsia="zh-CN"/>
        </w:rPr>
        <w:t>马边彝族自治县</w:t>
      </w:r>
      <w:r>
        <w:t>城发展扩大快，该水厂供区也已不能完全覆盖城区，且随着供区的扩大，人口的增多，该水厂水源已不能完全满足城市需求。</w:t>
      </w:r>
    </w:p>
    <w:p>
      <w:pPr>
        <w:ind w:firstLine="540"/>
        <w:rPr>
          <w:spacing w:val="10"/>
        </w:rPr>
      </w:pPr>
      <w:r>
        <w:rPr>
          <w:rFonts w:hint="eastAsia"/>
          <w:lang w:eastAsia="zh-CN"/>
        </w:rPr>
        <w:t>马边彝族自治县</w:t>
      </w:r>
      <w:r>
        <w:t>拟新建一座中型水库，即芦稿溪水库，该水库</w:t>
      </w:r>
      <w:r>
        <w:rPr>
          <w:spacing w:val="10"/>
        </w:rPr>
        <w:t>位于马边河左岸支流兴隆溪上，坝址地处</w:t>
      </w:r>
      <w:r>
        <w:rPr>
          <w:rFonts w:hint="eastAsia"/>
          <w:spacing w:val="10"/>
          <w:lang w:eastAsia="zh-CN"/>
        </w:rPr>
        <w:t>马边彝族自治县</w:t>
      </w:r>
      <w:r>
        <w:rPr>
          <w:spacing w:val="10"/>
        </w:rPr>
        <w:t>民建镇境内，坝址以上集水面积 2.03km</w:t>
      </w:r>
      <w:r>
        <w:rPr>
          <w:spacing w:val="10"/>
          <w:vertAlign w:val="superscript"/>
        </w:rPr>
        <w:t>2</w:t>
      </w:r>
      <w:r>
        <w:rPr>
          <w:spacing w:val="10"/>
        </w:rPr>
        <w:t>。在芦稿溪水碾坝村河段建低坝，通过补水隧洞向水库补水，芦稿溪坝址集水面积 24.88km</w:t>
      </w:r>
      <w:r>
        <w:rPr>
          <w:spacing w:val="10"/>
          <w:vertAlign w:val="superscript"/>
        </w:rPr>
        <w:t>2</w:t>
      </w:r>
      <w:r>
        <w:rPr>
          <w:spacing w:val="10"/>
        </w:rPr>
        <w:t>。芦稿溪水库是一项具有农业灌溉、城乡供水等综合利用的中型水利工程。其水源来自于马边河左岸支流兴隆溪及水碾河，其水质较好，达到Ⅲ类水质以上，满足生活饮用水取水标准。芦稿溪水库</w:t>
      </w:r>
      <w:r>
        <w:rPr>
          <w:rFonts w:hint="eastAsia"/>
          <w:spacing w:val="10"/>
          <w:lang w:eastAsia="zh-CN"/>
        </w:rPr>
        <w:t>属中型水库，水量</w:t>
      </w:r>
      <w:r>
        <w:rPr>
          <w:spacing w:val="10"/>
        </w:rPr>
        <w:t>满足县城片区供水工程的供水需求。因此，拟在</w:t>
      </w:r>
      <w:r>
        <w:rPr>
          <w:rFonts w:hint="eastAsia"/>
          <w:spacing w:val="10"/>
          <w:lang w:eastAsia="zh-CN"/>
        </w:rPr>
        <w:t>马边彝族自治县</w:t>
      </w:r>
      <w:r>
        <w:rPr>
          <w:spacing w:val="10"/>
        </w:rPr>
        <w:t>县城附近再新建一座净水处理厂，供水范围覆盖原一水厂的供水区域，以满足县城日渐增长的供水需求，减轻县城水厂的供水压力。同时，本次规划的县城片区供水工程，还能解决原二水厂因高程问题不能解决的县城后山半坡以及规模化覆盖近郊的农村居民供水</w:t>
      </w:r>
      <w:r>
        <w:rPr>
          <w:rFonts w:hint="eastAsia" w:ascii="Times New Roman" w:hAnsi="Times New Roman" w:eastAsia="宋体" w:cs="Times New Roman"/>
          <w:lang w:val="en-US" w:eastAsia="zh-CN"/>
        </w:rPr>
        <w:t>问题</w:t>
      </w:r>
      <w:r>
        <w:rPr>
          <w:spacing w:val="10"/>
        </w:rPr>
        <w:t>。</w:t>
      </w:r>
    </w:p>
    <w:p>
      <w:pPr>
        <w:ind w:firstLine="540"/>
      </w:pPr>
      <w:r>
        <w:t>县城片区供水工程</w:t>
      </w:r>
      <w:r>
        <w:rPr>
          <w:kern w:val="0"/>
          <w:lang w:bidi="ar"/>
        </w:rPr>
        <w:t>设计供水规模近期10000</w:t>
      </w:r>
      <w:r>
        <w:t xml:space="preserve"> m</w:t>
      </w:r>
      <w:r>
        <w:rPr>
          <w:vertAlign w:val="superscript"/>
        </w:rPr>
        <w:t>3</w:t>
      </w:r>
      <w:r>
        <w:t>/d，远期</w:t>
      </w:r>
      <w:r>
        <w:rPr>
          <w:kern w:val="0"/>
          <w:lang w:bidi="ar"/>
        </w:rPr>
        <w:t>20000</w:t>
      </w:r>
      <w:r>
        <w:t xml:space="preserve"> m</w:t>
      </w:r>
      <w:r>
        <w:rPr>
          <w:vertAlign w:val="superscript"/>
        </w:rPr>
        <w:t>3</w:t>
      </w:r>
      <w:r>
        <w:t>/d，</w:t>
      </w:r>
      <w:r>
        <w:rPr>
          <w:kern w:val="0"/>
          <w:lang w:bidi="ar"/>
        </w:rPr>
        <w:t>覆盖</w:t>
      </w:r>
      <w:r>
        <w:t>县城及近郊的民建镇、建设乡、劳动乡3个乡镇11个村4个社区4.5</w:t>
      </w:r>
      <w:r>
        <w:rPr>
          <w:kern w:val="0"/>
          <w:lang w:bidi="ar"/>
        </w:rPr>
        <w:t>万人（近期2.8912万人）。</w:t>
      </w:r>
    </w:p>
    <w:p>
      <w:pPr>
        <w:ind w:firstLine="540"/>
      </w:pPr>
      <w:r>
        <w:t>县城片区</w:t>
      </w:r>
      <w:r>
        <w:rPr>
          <w:rFonts w:hint="eastAsia" w:ascii="Times New Roman" w:hAnsi="Times New Roman" w:eastAsia="宋体" w:cs="Times New Roman"/>
          <w:lang w:val="en-US" w:eastAsia="zh-CN"/>
        </w:rPr>
        <w:t>供水</w:t>
      </w:r>
      <w:r>
        <w:t>工程由取水工程、净水厂工程、输配水管网及附属设施组成，从拟建的芦稿溪</w:t>
      </w:r>
      <w:r>
        <w:rPr>
          <w:bCs/>
        </w:rPr>
        <w:t>水库取水，通过自流输水至净水处理厂处理后，自压直供县城及近郊各乡镇</w:t>
      </w:r>
      <w:r>
        <w:t>。</w:t>
      </w:r>
    </w:p>
    <w:p>
      <w:pPr>
        <w:ind w:firstLine="540"/>
      </w:pPr>
      <w:r>
        <w:t>供水工艺如下：</w:t>
      </w:r>
    </w:p>
    <w:p>
      <w:pPr>
        <w:ind w:firstLine="540"/>
      </w:pPr>
      <w:r>
        <w:rPr>
          <w:bCs/>
        </w:rPr>
        <w:t>芦稿溪水库</w:t>
      </w:r>
      <w:r>
        <w:t>→取水塔→输水管道→配水井</w:t>
      </w:r>
      <w:r>
        <w:rPr>
          <w:position w:val="-6"/>
        </w:rPr>
        <w:object>
          <v:shape id="_x0000_i1025" o:spt="75" type="#_x0000_t75" style="height:22.7pt;width:49.3pt;" o:ole="t" filled="f" o:preferrelative="t" stroked="f" coordsize="21600,21600">
            <v:path/>
            <v:fill on="f" focussize="0,0"/>
            <v:stroke on="f"/>
            <v:imagedata r:id="rId19" o:title=""/>
            <o:lock v:ext="edit" aspectratio="t"/>
            <w10:wrap type="none"/>
            <w10:anchorlock/>
          </v:shape>
          <o:OLEObject Type="Embed" ProgID="Equation.3" ShapeID="_x0000_i1025" DrawAspect="Content" ObjectID="_1468075725" r:id="rId18">
            <o:LockedField>false</o:LockedField>
          </o:OLEObject>
        </w:object>
      </w:r>
      <w:r>
        <w:t>网格絮凝斜管沉淀池→单阀滤池→消毒→清水池→</w:t>
      </w:r>
      <w:r>
        <w:rPr>
          <w:szCs w:val="28"/>
        </w:rPr>
        <w:t>供水管网</w:t>
      </w:r>
      <w:r>
        <w:t>。</w:t>
      </w:r>
    </w:p>
    <w:p>
      <w:pPr>
        <w:ind w:firstLine="540"/>
      </w:pPr>
      <w:r>
        <w:t>净水厂处理过程中产生的废水主要包括反应沉淀池排泥（渣）水和滤池反冲洗水。将滤池反冲水、沉淀池排泥水分开处理。直接回收滤池反冲洗废水至排水池，由回收泵提升至配水井；沉淀池排泥水进入排泥池，由泵提升至浓缩池；浓缩池上清液排放。浓缩污泥由泵提升至脱水间机械脱水，经脱水后的泥饼外运填埋处理。</w:t>
      </w:r>
    </w:p>
    <w:p>
      <w:pPr>
        <w:rPr>
          <w:rFonts w:eastAsia="黑体"/>
        </w:rPr>
      </w:pPr>
      <w:r>
        <w:rPr>
          <w:rFonts w:hint="eastAsia" w:eastAsia="黑体"/>
          <w:sz w:val="28"/>
          <w:szCs w:val="28"/>
          <w:lang w:val="en-US" w:eastAsia="zh-CN"/>
        </w:rPr>
        <w:t>3.4.1</w:t>
      </w:r>
      <w:r>
        <w:rPr>
          <w:rFonts w:eastAsia="黑体"/>
          <w:sz w:val="28"/>
          <w:szCs w:val="28"/>
        </w:rPr>
        <w:t>.</w:t>
      </w:r>
      <w:r>
        <w:rPr>
          <w:rFonts w:hint="eastAsia" w:eastAsia="黑体"/>
          <w:sz w:val="28"/>
          <w:szCs w:val="28"/>
          <w:lang w:val="en-US" w:eastAsia="zh-CN"/>
        </w:rPr>
        <w:t>2</w:t>
      </w:r>
      <w:r>
        <w:rPr>
          <w:rFonts w:eastAsia="黑体"/>
          <w:sz w:val="28"/>
          <w:szCs w:val="28"/>
        </w:rPr>
        <w:t>供水规模</w:t>
      </w:r>
    </w:p>
    <w:p>
      <w:pPr>
        <w:ind w:firstLine="540"/>
      </w:pPr>
      <w:r>
        <w:rPr>
          <w:color w:val="000000"/>
        </w:rPr>
        <w:t>根据</w:t>
      </w:r>
      <w:r>
        <w:t>县城片区供水工程供水</w:t>
      </w:r>
      <w:r>
        <w:rPr>
          <w:color w:val="000000"/>
        </w:rPr>
        <w:t>覆盖范围，</w:t>
      </w:r>
      <w:r>
        <w:t>供水服务区域为县城及近郊的民建镇、建设乡、劳动乡3个乡镇11个村4个社区，供水人口近期2.8912万人，远期4.5</w:t>
      </w:r>
      <w:r>
        <w:rPr>
          <w:kern w:val="0"/>
          <w:lang w:bidi="ar"/>
        </w:rPr>
        <w:t>万人</w:t>
      </w:r>
      <w:r>
        <w:rPr>
          <w:snapToGrid w:val="0"/>
          <w:kern w:val="0"/>
          <w:szCs w:val="20"/>
        </w:rPr>
        <w:t>。</w:t>
      </w:r>
      <w:r>
        <w:rPr>
          <w:color w:val="000000"/>
        </w:rPr>
        <w:t>本工程的供水规模</w:t>
      </w:r>
      <w:r>
        <w:t>近期10000</w:t>
      </w:r>
      <w:r>
        <w:rPr>
          <w:color w:val="000000"/>
        </w:rPr>
        <w:t>m</w:t>
      </w:r>
      <w:r>
        <w:rPr>
          <w:color w:val="000000"/>
          <w:vertAlign w:val="superscript"/>
        </w:rPr>
        <w:t>3</w:t>
      </w:r>
      <w:r>
        <w:rPr>
          <w:color w:val="000000"/>
        </w:rPr>
        <w:t>/d，远期</w:t>
      </w:r>
      <w:r>
        <w:t>20000m</w:t>
      </w:r>
      <w:r>
        <w:rPr>
          <w:vertAlign w:val="superscript"/>
        </w:rPr>
        <w:t>3</w:t>
      </w:r>
      <w:r>
        <w:t>/d</w:t>
      </w:r>
      <w:r>
        <w:rPr>
          <w:color w:val="000000"/>
        </w:rPr>
        <w:t>，远期用水量486.67万m</w:t>
      </w:r>
      <w:r>
        <w:rPr>
          <w:color w:val="000000"/>
          <w:vertAlign w:val="superscript"/>
        </w:rPr>
        <w:t>3</w:t>
      </w:r>
      <w:r>
        <w:rPr>
          <w:color w:val="000000"/>
        </w:rPr>
        <w:t>/年，取水量535.33万m</w:t>
      </w:r>
      <w:r>
        <w:rPr>
          <w:color w:val="000000"/>
          <w:vertAlign w:val="superscript"/>
        </w:rPr>
        <w:t>3</w:t>
      </w:r>
      <w:r>
        <w:rPr>
          <w:color w:val="000000"/>
        </w:rPr>
        <w:t>/年。</w:t>
      </w:r>
    </w:p>
    <w:p>
      <w:pPr>
        <w:rPr>
          <w:rFonts w:hint="eastAsia" w:eastAsia="黑体"/>
          <w:lang w:eastAsia="zh-CN"/>
        </w:rPr>
      </w:pPr>
      <w:r>
        <w:rPr>
          <w:rFonts w:hint="eastAsia" w:eastAsia="黑体"/>
          <w:sz w:val="28"/>
          <w:szCs w:val="28"/>
          <w:lang w:val="en-US" w:eastAsia="zh-CN"/>
        </w:rPr>
        <w:t>3.4.1</w:t>
      </w:r>
      <w:r>
        <w:rPr>
          <w:rFonts w:eastAsia="黑体"/>
          <w:sz w:val="28"/>
          <w:szCs w:val="28"/>
        </w:rPr>
        <w:t>.</w:t>
      </w:r>
      <w:r>
        <w:rPr>
          <w:rFonts w:hint="eastAsia" w:eastAsia="黑体"/>
          <w:sz w:val="28"/>
          <w:szCs w:val="28"/>
          <w:lang w:val="en-US" w:eastAsia="zh-CN"/>
        </w:rPr>
        <w:t>3</w:t>
      </w:r>
      <w:r>
        <w:rPr>
          <w:rFonts w:eastAsia="黑体"/>
          <w:sz w:val="28"/>
          <w:szCs w:val="28"/>
        </w:rPr>
        <w:t>工程</w:t>
      </w:r>
      <w:r>
        <w:rPr>
          <w:rFonts w:hint="eastAsia" w:eastAsia="黑体"/>
          <w:sz w:val="28"/>
          <w:szCs w:val="28"/>
          <w:lang w:eastAsia="zh-CN"/>
        </w:rPr>
        <w:t>建设内容</w:t>
      </w:r>
    </w:p>
    <w:p>
      <w:pPr>
        <w:ind w:firstLine="540"/>
        <w:rPr>
          <w:kern w:val="0"/>
          <w:lang w:bidi="ar"/>
        </w:rPr>
      </w:pPr>
      <w:r>
        <w:t>县城片区供水工</w:t>
      </w:r>
      <w:r>
        <w:rPr>
          <w:rFonts w:hint="eastAsia" w:ascii="Times New Roman" w:hAnsi="Times New Roman" w:eastAsia="宋体" w:cs="Times New Roman"/>
          <w:lang w:val="en-US" w:eastAsia="zh-CN"/>
        </w:rPr>
        <w:t>程</w:t>
      </w:r>
      <w:r>
        <w:rPr>
          <w:kern w:val="0"/>
          <w:lang w:bidi="ar"/>
        </w:rPr>
        <w:t>规划建设内容为新建取水工程、净水厂工程及输配水工程。取水工程含取水塔、工作桥等；净水处理厂工程包括配水井、反应沉淀池、滤池、清水池、加药加氯间、排水排泥池、脱水机房等。</w:t>
      </w:r>
    </w:p>
    <w:p>
      <w:pPr>
        <w:ind w:firstLine="540"/>
        <w:rPr>
          <w:kern w:val="0"/>
          <w:lang w:bidi="ar"/>
        </w:rPr>
      </w:pPr>
      <w:r>
        <w:rPr>
          <w:kern w:val="0"/>
          <w:lang w:bidi="ar"/>
        </w:rPr>
        <w:t>本规划取水工程、输水管网及配水主管网工程按远期规模设计，净水厂工程净水处理构筑物按近期规模期设计，其余均按远期设计。</w:t>
      </w:r>
    </w:p>
    <w:p>
      <w:pPr>
        <w:rPr>
          <w:rFonts w:eastAsia="黑体"/>
        </w:rPr>
      </w:pPr>
      <w:r>
        <w:rPr>
          <w:rFonts w:eastAsia="黑体"/>
          <w:snapToGrid w:val="0"/>
          <w:kern w:val="0"/>
        </w:rPr>
        <w:t>1</w:t>
      </w:r>
      <w:r>
        <w:rPr>
          <w:rFonts w:hint="eastAsia" w:eastAsia="黑体"/>
          <w:snapToGrid w:val="0"/>
          <w:kern w:val="0"/>
          <w:lang w:eastAsia="zh-CN"/>
        </w:rPr>
        <w:t>、</w:t>
      </w:r>
      <w:r>
        <w:rPr>
          <w:rFonts w:eastAsia="黑体"/>
          <w:snapToGrid w:val="0"/>
          <w:kern w:val="0"/>
        </w:rPr>
        <w:t>取水</w:t>
      </w:r>
      <w:r>
        <w:rPr>
          <w:rFonts w:eastAsia="黑体"/>
        </w:rPr>
        <w:t>工程</w:t>
      </w:r>
    </w:p>
    <w:p>
      <w:pPr>
        <w:ind w:firstLine="540"/>
      </w:pPr>
      <w:r>
        <w:t>取水水源为</w:t>
      </w:r>
      <w:r>
        <w:rPr>
          <w:rFonts w:hint="eastAsia" w:cs="Times New Roman"/>
          <w:lang w:val="en-US" w:eastAsia="zh-CN"/>
        </w:rPr>
        <w:t>马边彝族自治县</w:t>
      </w:r>
      <w:r>
        <w:t>拟建芦稿溪水库。采用竖井取水，竖井为C30钢筋混凝土结构，方形竖井结构长×宽=7.25m×6.0m，墙厚80cm。竖井设5处放水孔，放水孔结构尺寸为1.0m×1.0m。其中1#、3#放水孔与2#、4#放水孔采用同轴联动闸；放水底孔采用钢闸门，均采用螺杆式启闭机，启闭机型号为LQ-15。放水孔闸门外设拦污栅，拦污栅采用10mm厚扁钢，栅条宽度50mm，厚度10mm，间隔50mm布置。竖井底部输水管前设0.8m×0.8m放水孔，孔前设工作闸，闸门选用1.2m×1.2m钢闸门。竖井上部为启闭平台及管理房，平台高程为428.2m。竖井底部采用C30钢筋混凝土底板，厚1.15m。取水竖井总高17.45m，其中井室部分高12.85m，采用C30钢筋混凝土现浇；上部管理房高4.6m,边墙采用M10浆砌砖砌筑，顶板采用C30钢筋混凝土现浇。</w:t>
      </w:r>
    </w:p>
    <w:p>
      <w:pPr>
        <w:ind w:firstLine="540"/>
      </w:pPr>
      <w:r>
        <w:t>工作桥总长39m，桥面宽2m，桥身为C20钢筋砼简支式π形梁。桥面板厚0.15m，板下主梁横断面尺寸为0.75×0.3m。工作桥进口端与坝库岸连接，中间段利用排架支撑，出口端采用牛腿支撑。工作桥进口段设置梯步以便与上部公路形成连通，梯步踏步宽44cm，梯步高20cm，梯步采用C</w:t>
      </w:r>
      <w:r>
        <w:rPr>
          <w:vertAlign w:val="subscript"/>
        </w:rPr>
        <w:t>20</w:t>
      </w:r>
      <w:r>
        <w:t>砼浇筑。在工作桥与启闭机房之前设置钢梯连通，钢梯长6m，高4m，钢梯踏步宽30cm，踏步高20cm。</w:t>
      </w:r>
    </w:p>
    <w:p>
      <w:pPr>
        <w:rPr>
          <w:color w:val="FF0000"/>
        </w:rPr>
      </w:pPr>
      <w:r>
        <w:rPr>
          <w:rFonts w:eastAsia="黑体"/>
          <w:snapToGrid w:val="0"/>
          <w:kern w:val="0"/>
        </w:rPr>
        <w:t>2</w:t>
      </w:r>
      <w:r>
        <w:rPr>
          <w:rFonts w:hint="eastAsia" w:eastAsia="黑体"/>
          <w:snapToGrid w:val="0"/>
          <w:kern w:val="0"/>
          <w:lang w:eastAsia="zh-CN"/>
        </w:rPr>
        <w:t>、</w:t>
      </w:r>
      <w:r>
        <w:rPr>
          <w:rFonts w:eastAsia="黑体"/>
          <w:snapToGrid w:val="0"/>
          <w:kern w:val="0"/>
        </w:rPr>
        <w:t>输水</w:t>
      </w:r>
      <w:r>
        <w:rPr>
          <w:rFonts w:eastAsia="黑体"/>
        </w:rPr>
        <w:t>工程</w:t>
      </w:r>
    </w:p>
    <w:p>
      <w:pPr>
        <w:adjustRightInd w:val="0"/>
        <w:snapToGrid w:val="0"/>
        <w:spacing w:line="440" w:lineRule="exact"/>
        <w:ind w:firstLine="484" w:firstLineChars="200"/>
      </w:pPr>
      <w:r>
        <w:t>取水点距水厂9450m，输水管道沿山坡铺设，管材选取钢管进行输水。输水管道选取DN600管无缝钢管。</w:t>
      </w:r>
    </w:p>
    <w:p>
      <w:pPr>
        <w:rPr>
          <w:rFonts w:eastAsia="黑体"/>
          <w:snapToGrid w:val="0"/>
          <w:kern w:val="0"/>
        </w:rPr>
      </w:pPr>
      <w:r>
        <w:rPr>
          <w:rFonts w:eastAsia="黑体"/>
          <w:snapToGrid w:val="0"/>
          <w:kern w:val="0"/>
        </w:rPr>
        <w:t>3</w:t>
      </w:r>
      <w:r>
        <w:rPr>
          <w:rFonts w:hint="eastAsia" w:eastAsia="黑体"/>
          <w:snapToGrid w:val="0"/>
          <w:kern w:val="0"/>
          <w:lang w:eastAsia="zh-CN"/>
        </w:rPr>
        <w:t>、</w:t>
      </w:r>
      <w:r>
        <w:rPr>
          <w:rFonts w:eastAsia="黑体"/>
        </w:rPr>
        <w:t>净水厂工程</w:t>
      </w:r>
    </w:p>
    <w:p>
      <w:pPr>
        <w:ind w:firstLine="540"/>
      </w:pPr>
      <w:bookmarkStart w:id="61" w:name="_Toc513624275"/>
      <w:r>
        <w:t>本工程源水为水库水</w:t>
      </w:r>
      <w:r>
        <w:rPr>
          <w:rFonts w:hint="eastAsia" w:ascii="Times New Roman" w:hAnsi="Times New Roman" w:eastAsia="宋体" w:cs="Times New Roman"/>
          <w:lang w:val="en-US" w:eastAsia="zh-CN"/>
        </w:rPr>
        <w:t>，</w:t>
      </w:r>
      <w:r>
        <w:t>本工程拟采用常规净化工艺、过滤、消毒等工艺进行水质净化处理，使处理后的出厂水达到符合国家《生活饮用水卫生标准》（GB5749-</w:t>
      </w:r>
      <w:r>
        <w:rPr>
          <w:rFonts w:hint="eastAsia" w:ascii="Times New Roman" w:hAnsi="Times New Roman" w:eastAsia="宋体" w:cs="Times New Roman"/>
          <w:lang w:val="en-US" w:eastAsia="zh-CN"/>
        </w:rPr>
        <w:t>2006</w:t>
      </w:r>
      <w:r>
        <w:t>）要求。</w:t>
      </w:r>
    </w:p>
    <w:p>
      <w:pPr>
        <w:ind w:firstLine="540"/>
      </w:pPr>
      <w:r>
        <w:t xml:space="preserve"> </w:t>
      </w:r>
      <w:r>
        <w:rPr>
          <w:rFonts w:hint="eastAsia"/>
          <w:lang w:eastAsia="zh-CN"/>
        </w:rPr>
        <w:t>反应池采用</w:t>
      </w:r>
      <w:r>
        <w:t>网格絮凝池</w:t>
      </w:r>
      <w:r>
        <w:rPr>
          <w:rFonts w:hint="eastAsia"/>
          <w:lang w:eastAsia="zh-CN"/>
        </w:rPr>
        <w:t>，沉淀池采用斜管沉淀池，</w:t>
      </w:r>
      <w:r>
        <w:t>网格絮凝池及斜管预沉池合建。平面尺寸为L×B=17.5×10.35m，总高5.65m，钢筋混凝土结构。排泥方式采用穿孔排泥管排泥，V形槽边与水平成60°角，排泥管端安装排泥角阀和排泥管冲洗系统。</w:t>
      </w:r>
    </w:p>
    <w:p>
      <w:pPr>
        <w:ind w:firstLine="540"/>
        <w:rPr>
          <w:rFonts w:hint="eastAsia" w:eastAsia="宋体"/>
          <w:lang w:val="en-US" w:eastAsia="zh-CN"/>
        </w:rPr>
      </w:pPr>
      <w:r>
        <w:t>滤池采用运行自动化程度高、管理维护方便且不浪费水的单阀滤池。</w:t>
      </w:r>
      <w:r>
        <w:rPr>
          <w:color w:val="000000"/>
        </w:rPr>
        <w:t>平面尺寸 B×L=3.5m×3.5m</w:t>
      </w:r>
      <w:r>
        <w:rPr>
          <w:rFonts w:hint="eastAsia"/>
          <w:color w:val="000000"/>
          <w:lang w:eastAsia="zh-CN"/>
        </w:rPr>
        <w:t>，净高</w:t>
      </w:r>
      <w:r>
        <w:rPr>
          <w:rFonts w:hint="eastAsia"/>
          <w:color w:val="000000"/>
          <w:lang w:val="en-US" w:eastAsia="zh-CN"/>
        </w:rPr>
        <w:t>3.2m。</w:t>
      </w:r>
    </w:p>
    <w:p>
      <w:pPr>
        <w:rPr>
          <w:rFonts w:ascii="Times New Roman" w:hAnsi="Times New Roman" w:eastAsia="黑体" w:cs="Times New Roman"/>
        </w:rPr>
      </w:pPr>
      <w:r>
        <w:rPr>
          <w:rFonts w:hint="eastAsia" w:ascii="Times New Roman" w:hAnsi="Times New Roman" w:eastAsia="黑体" w:cs="Times New Roman"/>
          <w:lang w:val="en-US" w:eastAsia="zh-CN"/>
        </w:rPr>
        <w:t>4</w:t>
      </w:r>
      <w:r>
        <w:rPr>
          <w:rFonts w:hint="eastAsia" w:ascii="Times New Roman" w:hAnsi="Times New Roman" w:eastAsia="黑体" w:cs="Times New Roman"/>
          <w:lang w:eastAsia="zh-CN"/>
        </w:rPr>
        <w:t>、</w:t>
      </w:r>
      <w:r>
        <w:rPr>
          <w:rFonts w:ascii="Times New Roman" w:hAnsi="Times New Roman" w:eastAsia="黑体" w:cs="Times New Roman"/>
        </w:rPr>
        <w:t>清水池</w:t>
      </w:r>
    </w:p>
    <w:p>
      <w:pPr>
        <w:ind w:firstLine="540"/>
      </w:pPr>
      <w:r>
        <w:t>设清水池平面尺寸：L×B=34.5×19m，池深H=4.3m，有效水深3.8m，有效容积2500 m</w:t>
      </w:r>
      <w:r>
        <w:rPr>
          <w:vertAlign w:val="superscript"/>
        </w:rPr>
        <w:t>3</w:t>
      </w:r>
      <w:r>
        <w:t>。清水池采用钢筋混凝土结构。池内设导流墙，清水池还设有人孔、通气管、溢流管、集水坑、放空管、水位显示及报警系统等附属设施。</w:t>
      </w:r>
    </w:p>
    <w:p>
      <w:pPr>
        <w:rPr>
          <w:rFonts w:hint="eastAsia" w:ascii="Times New Roman" w:hAnsi="Times New Roman" w:eastAsia="黑体" w:cs="Times New Roman"/>
          <w:lang w:val="en-US" w:eastAsia="zh-CN"/>
        </w:rPr>
      </w:pPr>
      <w:r>
        <w:rPr>
          <w:rFonts w:hint="eastAsia" w:ascii="Times New Roman" w:hAnsi="Times New Roman" w:eastAsia="黑体" w:cs="Times New Roman"/>
          <w:lang w:val="en-US" w:eastAsia="zh-CN"/>
        </w:rPr>
        <w:t>5、加药加氯间</w:t>
      </w:r>
    </w:p>
    <w:p>
      <w:pPr>
        <w:ind w:firstLine="540"/>
      </w:pPr>
      <w:r>
        <w:t>·加药间向水中投加絮凝剂PAC（季节性投加PAM或HCA），加氯间向水中投加消毒剂二氧化氯。加药间和加氯间合建，为单层钢筋混凝土框架结构，平面尺寸：L×B=31.5×9m，高度H=4.5m。</w:t>
      </w:r>
    </w:p>
    <w:p>
      <w:pPr>
        <w:rPr>
          <w:rFonts w:hint="eastAsia" w:ascii="Times New Roman" w:hAnsi="Times New Roman" w:eastAsia="黑体" w:cs="Times New Roman"/>
          <w:lang w:val="en-US" w:eastAsia="zh-CN"/>
        </w:rPr>
      </w:pPr>
      <w:r>
        <w:rPr>
          <w:rFonts w:hint="eastAsia" w:ascii="Times New Roman" w:hAnsi="Times New Roman" w:eastAsia="黑体" w:cs="Times New Roman"/>
          <w:lang w:val="en-US" w:eastAsia="zh-CN"/>
        </w:rPr>
        <w:t>6、排水排泥池</w:t>
      </w:r>
    </w:p>
    <w:p>
      <w:pPr>
        <w:ind w:firstLine="540"/>
      </w:pPr>
      <w:r>
        <w:t>收集絮凝沉淀池排泥水，对水量及浓度起调节作用，池内设潜水排污泵，排泥水经提升后送至污泥浓缩池。池有效容积按300 m</w:t>
      </w:r>
      <w:r>
        <w:rPr>
          <w:vertAlign w:val="superscript"/>
        </w:rPr>
        <w:t>3</w:t>
      </w:r>
      <w:r>
        <w:t>，平面尺寸为18.8×14.0，有效水深4.0m，总深8.0m，钢筋砼结构。</w:t>
      </w:r>
    </w:p>
    <w:p>
      <w:pPr>
        <w:rPr>
          <w:rFonts w:hint="eastAsia" w:ascii="Times New Roman" w:hAnsi="Times New Roman" w:eastAsia="黑体" w:cs="Times New Roman"/>
          <w:lang w:val="en-US" w:eastAsia="zh-CN"/>
        </w:rPr>
      </w:pPr>
      <w:r>
        <w:rPr>
          <w:rFonts w:hint="eastAsia" w:ascii="Times New Roman" w:hAnsi="Times New Roman" w:eastAsia="黑体" w:cs="Times New Roman"/>
          <w:lang w:val="en-US" w:eastAsia="zh-CN"/>
        </w:rPr>
        <w:t>7、污泥浓缩池</w:t>
      </w:r>
    </w:p>
    <w:p>
      <w:pPr>
        <w:ind w:firstLine="540"/>
        <w:rPr>
          <w:color w:val="000000"/>
        </w:rPr>
      </w:pPr>
      <w:r>
        <w:rPr>
          <w:color w:val="000000"/>
        </w:rPr>
        <w:t>清浊分流，将含水率为99.5－99.0%的絮凝沉淀池排泥水进行浓缩，使底泥含水率达到98－97%，以满足脱水机对进泥水中固体含量的要求。</w:t>
      </w:r>
    </w:p>
    <w:p>
      <w:pPr>
        <w:ind w:firstLine="540"/>
        <w:rPr>
          <w:color w:val="000000"/>
        </w:rPr>
      </w:pPr>
      <w:r>
        <w:rPr>
          <w:color w:val="000000"/>
        </w:rPr>
        <w:t>浓缩池</w:t>
      </w:r>
      <w:r>
        <w:rPr>
          <w:rFonts w:hint="eastAsia"/>
          <w:color w:val="000000"/>
          <w:lang w:eastAsia="zh-CN"/>
        </w:rPr>
        <w:t>采用</w:t>
      </w:r>
      <w:r>
        <w:rPr>
          <w:color w:val="000000"/>
        </w:rPr>
        <w:t>方形钢筋混凝土结构，平面尺寸为13×13 m，池边水深H=3.80 m，超高0.50 m。浓缩池内设中心传动浓缩机。</w:t>
      </w:r>
    </w:p>
    <w:p>
      <w:pPr>
        <w:rPr>
          <w:rFonts w:hint="eastAsia" w:ascii="Times New Roman" w:hAnsi="Times New Roman" w:eastAsia="黑体" w:cs="Times New Roman"/>
          <w:lang w:val="en-US" w:eastAsia="zh-CN"/>
        </w:rPr>
      </w:pPr>
      <w:r>
        <w:rPr>
          <w:rFonts w:hint="eastAsia" w:ascii="Times New Roman" w:hAnsi="Times New Roman" w:eastAsia="黑体" w:cs="Times New Roman"/>
          <w:lang w:val="en-US" w:eastAsia="zh-CN"/>
        </w:rPr>
        <w:t>8、污泥脱水间</w:t>
      </w:r>
    </w:p>
    <w:p>
      <w:pPr>
        <w:ind w:firstLine="540"/>
        <w:rPr>
          <w:color w:val="000000"/>
        </w:rPr>
      </w:pPr>
      <w:r>
        <w:rPr>
          <w:color w:val="000000"/>
        </w:rPr>
        <w:t>脱水车间设自动</w:t>
      </w:r>
      <w:r>
        <w:rPr>
          <w:rFonts w:hint="eastAsia" w:ascii="Times New Roman" w:hAnsi="Times New Roman" w:eastAsia="宋体" w:cs="Times New Roman"/>
          <w:lang w:val="en-US" w:eastAsia="zh-CN"/>
        </w:rPr>
        <w:t>控制</w:t>
      </w:r>
      <w:r>
        <w:rPr>
          <w:color w:val="000000"/>
        </w:rPr>
        <w:t>、通风、起吊装置，脱水间内还设有堆泥量约1~2天的泥棚，供外运周转需要。脱水间为钢筋砼框架结构，单层建筑，层高6 m，平面尺寸为27.4×12m。</w:t>
      </w:r>
    </w:p>
    <w:p>
      <w:pPr>
        <w:rPr>
          <w:rFonts w:hint="eastAsia" w:ascii="Times New Roman" w:hAnsi="Times New Roman" w:eastAsia="黑体" w:cs="Times New Roman"/>
          <w:lang w:val="en-US" w:eastAsia="zh-CN"/>
        </w:rPr>
      </w:pPr>
      <w:r>
        <w:rPr>
          <w:rFonts w:hint="eastAsia" w:ascii="Times New Roman" w:hAnsi="Times New Roman" w:eastAsia="黑体" w:cs="Times New Roman"/>
          <w:lang w:val="en-US" w:eastAsia="zh-CN"/>
        </w:rPr>
        <w:t>9、附属建筑</w:t>
      </w:r>
    </w:p>
    <w:p>
      <w:pPr>
        <w:ind w:firstLine="540"/>
      </w:pPr>
      <w:r>
        <w:t>水厂内设有管理</w:t>
      </w:r>
      <w:r>
        <w:rPr>
          <w:rFonts w:hint="eastAsia" w:ascii="Times New Roman" w:hAnsi="Times New Roman" w:eastAsia="宋体" w:cs="Times New Roman"/>
          <w:lang w:val="en-US" w:eastAsia="zh-CN"/>
        </w:rPr>
        <w:t>综合楼</w:t>
      </w:r>
      <w:r>
        <w:t>，内设会议室、办公室、中控室、化验室、值班室等。建筑面积622m</w:t>
      </w:r>
      <w:r>
        <w:rPr>
          <w:vertAlign w:val="superscript"/>
        </w:rPr>
        <w:t>2</w:t>
      </w:r>
      <w:r>
        <w:t>。</w:t>
      </w:r>
    </w:p>
    <w:p>
      <w:pPr>
        <w:rPr>
          <w:rFonts w:hint="eastAsia" w:ascii="Times New Roman" w:hAnsi="Times New Roman" w:eastAsia="黑体" w:cs="Times New Roman"/>
          <w:lang w:val="en-US" w:eastAsia="zh-CN"/>
        </w:rPr>
      </w:pPr>
      <w:r>
        <w:rPr>
          <w:rFonts w:hint="eastAsia" w:ascii="Times New Roman" w:hAnsi="Times New Roman" w:eastAsia="黑体" w:cs="Times New Roman"/>
          <w:lang w:val="en-US" w:eastAsia="zh-CN"/>
        </w:rPr>
        <w:t>10、自动化控制系统</w:t>
      </w:r>
    </w:p>
    <w:p>
      <w:pPr>
        <w:ind w:firstLine="540"/>
      </w:pPr>
      <w:r>
        <w:t>系统设计遵循集中管理、分散控制、数据共享、先进性、实用性、可靠性、经济性、开放性的原则</w:t>
      </w:r>
      <w:r>
        <w:rPr>
          <w:rFonts w:hint="eastAsia"/>
          <w:lang w:eastAsia="zh-CN"/>
        </w:rPr>
        <w:t>，</w:t>
      </w:r>
      <w:r>
        <w:rPr>
          <w:rFonts w:hint="eastAsia" w:ascii="Times New Roman" w:hAnsi="Times New Roman" w:eastAsia="宋体" w:cs="Times New Roman"/>
          <w:lang w:val="en-US" w:eastAsia="zh-CN"/>
        </w:rPr>
        <w:t>满足</w:t>
      </w:r>
      <w:r>
        <w:t>供水工程生产管理和水处理工艺对自动化控制的要求。</w:t>
      </w:r>
      <w:r>
        <w:rPr>
          <w:color w:val="000000"/>
        </w:rPr>
        <w:t>采用</w:t>
      </w:r>
      <w:r>
        <w:t>成熟技术，产品设计选型符合国际或国家工业标准，可靠性高、适应能力强、扩展灵活、操作维护简便；系统平台软件选用稳定安全的主流操作系统，便于系统使用和维护；管理软件、监控软件、现场控制软件的编制均选用符合国际软件业标准的开发平台，同时考虑用户开发的方便性和易于扩展性；设备和软件的供应商能够长期提供技术支持和服务，备品备件能得到有力的保障。</w:t>
      </w:r>
    </w:p>
    <w:p>
      <w:pPr>
        <w:rPr>
          <w:rFonts w:hint="eastAsia" w:eastAsia="黑体"/>
          <w:lang w:eastAsia="zh-CN"/>
        </w:rPr>
      </w:pPr>
      <w:r>
        <w:rPr>
          <w:rFonts w:hint="eastAsia" w:eastAsia="黑体"/>
          <w:sz w:val="28"/>
          <w:szCs w:val="28"/>
          <w:lang w:val="en-US" w:eastAsia="zh-CN"/>
        </w:rPr>
        <w:t>4、</w:t>
      </w:r>
      <w:r>
        <w:rPr>
          <w:rFonts w:hint="eastAsia" w:eastAsia="黑体"/>
          <w:sz w:val="28"/>
          <w:szCs w:val="28"/>
          <w:lang w:eastAsia="zh-CN"/>
        </w:rPr>
        <w:t>供水管网工程</w:t>
      </w:r>
    </w:p>
    <w:p>
      <w:pPr>
        <w:ind w:firstLine="540"/>
      </w:pPr>
      <w:r>
        <w:t>本项目供给县城片区及近郊的民建镇、建设乡、劳动乡3个乡镇11个村4个社区，受益人口共计45000人。配水管道选用钢管和PVC-O管，总长度为82385m,其中钢管长度为24545m，PVC-O管长度为57860m。本次项目入户户数为12858户，每户考虑设置1个球阀DN20和1个水表DN20。</w:t>
      </w:r>
    </w:p>
    <w:p>
      <w:pPr>
        <w:rPr>
          <w:rFonts w:hint="eastAsia" w:ascii="Times New Roman" w:hAnsi="Times New Roman" w:eastAsia="黑体" w:cs="Times New Roman"/>
          <w:sz w:val="28"/>
          <w:szCs w:val="28"/>
          <w:lang w:val="en-US" w:eastAsia="zh-CN"/>
        </w:rPr>
      </w:pPr>
      <w:r>
        <w:rPr>
          <w:rFonts w:hint="eastAsia" w:ascii="Times New Roman" w:hAnsi="Times New Roman" w:eastAsia="黑体" w:cs="Times New Roman"/>
          <w:sz w:val="28"/>
          <w:szCs w:val="28"/>
          <w:lang w:val="en-US" w:eastAsia="zh-CN"/>
        </w:rPr>
        <w:t>5、县城区供水工程过渡方案</w:t>
      </w:r>
    </w:p>
    <w:p>
      <w:pPr>
        <w:ind w:firstLine="540"/>
      </w:pPr>
      <w:r>
        <w:rPr>
          <w:rFonts w:hint="eastAsia" w:ascii="Times New Roman" w:hAnsi="Times New Roman" w:cs="Times New Roman"/>
          <w:lang w:val="en-US" w:eastAsia="zh-CN"/>
        </w:rPr>
        <w:t>目前我县城区内有两座集中供水厂，分别为县城一、二自来水厂，制水规模分别为10000m³/d、20000m³/d。其供水水源分别位于高石头沟、芦稿溪沟，由于高石头水源地、芦稿溪水源地地质条件较复杂为同一水系且有交集，属于典型的卡斯特地貌，蓄水能力不强，有很大的渗水量，造成季节性的河流流量不稳定，根据实际测定，马边彝族自治县二水厂在最枯时期单日来水量（高石头、芦稿溪两个取水口合计）约5000m³，无法满足水厂20000m³/d供水量要求。由于我县芦稿溪水库正在开展前期工作，建设期为5年，在此过渡期间为保障县城用水户枯水季节的正常供水，经过多方案比较，选择“维修一水厂取水口、改造城区老管网”方案：一是对一水厂原有取水口进行改造，更换老化设备，取水规模1万m³/d，主要满足县城消防、环卫、绿化等基础设施用水，减少对城区供水压力；二是我县青龙水库项目即将于今年10月完工，原设计考虑有22万立方米应急供水能力，每日输水能力供应到一水厂可达0.5万m³/d以上，如果水库运行调度适当，可在枯水期连续供应约50天左右，这样可基本满足1.5万m³/d的应急供水缺口；三是结合我县即将实施的县城规模化供水保障工程项目，利用专项债券资金对县城区内的老旧管网进行改造降低管网漏损率，同时加强管网供水监测用水管理，以保障县城用水户枯水季节的正常供水。</w:t>
      </w:r>
    </w:p>
    <w:bookmarkEnd w:id="61"/>
    <w:p>
      <w:pPr>
        <w:pStyle w:val="5"/>
        <w:rPr>
          <w:rFonts w:hint="eastAsia" w:ascii="Times New Roman" w:hAnsi="Times New Roman" w:eastAsia="黑体" w:cs="Times New Roman"/>
          <w:sz w:val="28"/>
          <w:szCs w:val="28"/>
          <w:lang w:val="en-US" w:eastAsia="zh-CN"/>
        </w:rPr>
      </w:pPr>
      <w:bookmarkStart w:id="62" w:name="_Toc36029013"/>
      <w:r>
        <w:rPr>
          <w:rFonts w:hint="eastAsia" w:ascii="Times New Roman" w:hAnsi="Times New Roman" w:eastAsia="黑体" w:cs="Times New Roman"/>
          <w:sz w:val="28"/>
          <w:szCs w:val="28"/>
          <w:lang w:val="en-US" w:eastAsia="zh-CN"/>
        </w:rPr>
        <w:t>3.4.2大竹堡片区供水工程</w:t>
      </w:r>
      <w:bookmarkEnd w:id="62"/>
    </w:p>
    <w:p>
      <w:pPr>
        <w:rPr>
          <w:rFonts w:hint="eastAsia" w:ascii="Times New Roman" w:hAnsi="Times New Roman" w:eastAsia="黑体" w:cs="Times New Roman"/>
          <w:sz w:val="28"/>
          <w:szCs w:val="28"/>
          <w:lang w:val="en-US" w:eastAsia="zh-CN"/>
        </w:rPr>
      </w:pPr>
      <w:r>
        <w:rPr>
          <w:rFonts w:hint="eastAsia" w:ascii="Times New Roman" w:hAnsi="Times New Roman" w:eastAsia="黑体" w:cs="Times New Roman"/>
          <w:sz w:val="28"/>
          <w:szCs w:val="28"/>
          <w:lang w:val="en-US" w:eastAsia="zh-CN"/>
        </w:rPr>
        <w:t>3.4.2.1工程基本情况</w:t>
      </w:r>
    </w:p>
    <w:p>
      <w:pPr>
        <w:ind w:firstLine="540"/>
      </w:pPr>
      <w:r>
        <w:t>大竹堡片区内大竹堡乡、镇江庙乡及下溪乡现有4处供水工程，均属于小型供水厂（站），输水管网老化渗水严重，且该4处供水工程取水水源水量均不充足，为保证水源的可靠性和水量充足性，本次规划拟在</w:t>
      </w:r>
      <w:r>
        <w:rPr>
          <w:spacing w:val="10"/>
        </w:rPr>
        <w:t>大竹堡河上游一右支沟阴河取水，</w:t>
      </w:r>
      <w:r>
        <w:rPr>
          <w:bCs/>
        </w:rPr>
        <w:t>通过</w:t>
      </w:r>
      <w:r>
        <w:t>自流引水至大竹堡镇白岩湾村修建清水池，通过消毒后自压直供大竹堡乡、镇江庙乡、下溪镇3个乡镇原有的4处供水厂，补充原供水厂取水水源，解决原供水厂取水量不足的问题，同时本次清水池高程较高，可覆盖上述3个乡镇因高程不足无法供水的区域。</w:t>
      </w:r>
    </w:p>
    <w:p>
      <w:pPr>
        <w:ind w:firstLine="540"/>
        <w:rPr>
          <w:snapToGrid w:val="0"/>
          <w:kern w:val="0"/>
          <w:szCs w:val="20"/>
        </w:rPr>
      </w:pPr>
      <w:r>
        <w:t>大竹堡片区供水工程</w:t>
      </w:r>
      <w:r>
        <w:rPr>
          <w:kern w:val="0"/>
          <w:lang w:bidi="ar"/>
        </w:rPr>
        <w:t>设计供水规模2150</w:t>
      </w:r>
      <w:r>
        <w:t xml:space="preserve"> m</w:t>
      </w:r>
      <w:r>
        <w:rPr>
          <w:vertAlign w:val="superscript"/>
        </w:rPr>
        <w:t>3</w:t>
      </w:r>
      <w:r>
        <w:t>/d，</w:t>
      </w:r>
      <w:r>
        <w:rPr>
          <w:kern w:val="0"/>
          <w:lang w:bidi="ar"/>
        </w:rPr>
        <w:t>覆盖</w:t>
      </w:r>
      <w:r>
        <w:t>大竹堡乡、镇江庙乡、下溪镇3个乡镇7个村1个社区</w:t>
      </w:r>
      <w:r>
        <w:rPr>
          <w:kern w:val="0"/>
          <w:lang w:bidi="ar"/>
        </w:rPr>
        <w:t>1.2152万人。</w:t>
      </w:r>
    </w:p>
    <w:p>
      <w:pPr>
        <w:ind w:firstLine="540"/>
      </w:pPr>
      <w:r>
        <w:t>工程由取水工程、清水池工程、输配水管网及附属设施组成，供水工艺如下：</w:t>
      </w:r>
    </w:p>
    <w:p>
      <w:pPr>
        <w:ind w:firstLine="540"/>
      </w:pPr>
    </w:p>
    <w:p>
      <w:pPr>
        <w:ind w:firstLine="540"/>
      </w:pPr>
      <w:r>
        <mc:AlternateContent>
          <mc:Choice Requires="wps">
            <w:drawing>
              <wp:anchor distT="0" distB="0" distL="114300" distR="114300" simplePos="0" relativeHeight="251659264" behindDoc="0" locked="0" layoutInCell="1" allowOverlap="1">
                <wp:simplePos x="0" y="0"/>
                <wp:positionH relativeFrom="column">
                  <wp:posOffset>3940175</wp:posOffset>
                </wp:positionH>
                <wp:positionV relativeFrom="paragraph">
                  <wp:posOffset>176530</wp:posOffset>
                </wp:positionV>
                <wp:extent cx="8890" cy="219075"/>
                <wp:effectExtent l="45720" t="0" r="59690" b="9525"/>
                <wp:wrapNone/>
                <wp:docPr id="1" name="直线 531"/>
                <wp:cNvGraphicFramePr/>
                <a:graphic xmlns:a="http://schemas.openxmlformats.org/drawingml/2006/main">
                  <a:graphicData uri="http://schemas.microsoft.com/office/word/2010/wordprocessingShape">
                    <wps:wsp>
                      <wps:cNvCnPr/>
                      <wps:spPr>
                        <a:xfrm flipH="1">
                          <a:off x="0" y="0"/>
                          <a:ext cx="8890" cy="21907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531" o:spid="_x0000_s1026" o:spt="20" style="position:absolute;left:0pt;flip:x;margin-left:310.25pt;margin-top:13.9pt;height:17.25pt;width:0.7pt;z-index:251659264;mso-width-relative:page;mso-height-relative:page;" filled="f" stroked="t" coordsize="21600,21600" o:gfxdata="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Go1lB2AAAAAkBAAAPAAAAAAAAAAEAIAAAACIAAABkcnMvZG93bnJldi54bWxQ&#10;SwECFAAUAAAACACHTuJASC3Yd/cBAADqAwAADgAAAAAAAAABACAAAAAnAQAAZHJzL2Uyb0RvYy54&#10;bWxQSwUGAAAAAAYABgBZAQAAkAUAAAAA&#10;">
                <v:fill on="f" focussize="0,0"/>
                <v:stroke color="#000000" joinstyle="round" endarrow="open"/>
                <v:imagedata o:title=""/>
                <o:lock v:ext="edit" aspectratio="f"/>
              </v:line>
            </w:pict>
          </mc:Fallback>
        </mc:AlternateContent>
      </w:r>
      <w:r>
        <w:t>阴河→取水底格栏栅坝→沉砂池→输水管道→消毒→清水池→</w:t>
      </w:r>
      <w:r>
        <w:rPr>
          <w:szCs w:val="28"/>
        </w:rPr>
        <w:t>供水管网</w:t>
      </w:r>
      <w:r>
        <w:t>。</w:t>
      </w:r>
    </w:p>
    <w:p>
      <w:pPr>
        <w:ind w:firstLine="540"/>
      </w:pPr>
      <w:r>
        <w:t xml:space="preserve">                                           现有水厂</w:t>
      </w:r>
    </w:p>
    <w:p>
      <w:pPr>
        <w:rPr>
          <w:rFonts w:eastAsia="黑体"/>
        </w:rPr>
      </w:pPr>
      <w:r>
        <w:rPr>
          <w:rFonts w:hint="eastAsia" w:ascii="Times New Roman" w:hAnsi="Times New Roman" w:eastAsia="黑体" w:cs="Times New Roman"/>
          <w:sz w:val="28"/>
          <w:szCs w:val="28"/>
          <w:lang w:val="en-US" w:eastAsia="zh-CN"/>
        </w:rPr>
        <w:t>3.4.2.2</w:t>
      </w:r>
      <w:r>
        <w:rPr>
          <w:rFonts w:eastAsia="黑体"/>
          <w:sz w:val="28"/>
          <w:szCs w:val="28"/>
        </w:rPr>
        <w:t>供水规模</w:t>
      </w:r>
    </w:p>
    <w:p>
      <w:pPr>
        <w:ind w:firstLine="540"/>
      </w:pPr>
      <w:r>
        <w:rPr>
          <w:color w:val="000000"/>
        </w:rPr>
        <w:t>工程服务范围为大竹堡乡（白岩湾村、新山村、大竹堡村）、镇江庙乡（两河口村、石龙门村）、下溪镇（金马村、孙家山村、共和街社区），</w:t>
      </w:r>
      <w:r>
        <w:t>供水总人口12512人。</w:t>
      </w:r>
      <w:r>
        <w:rPr>
          <w:color w:val="000000"/>
        </w:rPr>
        <w:t>供水规模为2150m</w:t>
      </w:r>
      <w:r>
        <w:rPr>
          <w:color w:val="000000"/>
          <w:vertAlign w:val="superscript"/>
        </w:rPr>
        <w:t>3</w:t>
      </w:r>
      <w:r>
        <w:rPr>
          <w:color w:val="000000"/>
        </w:rPr>
        <w:t>/d，用水量52.32万m</w:t>
      </w:r>
      <w:r>
        <w:rPr>
          <w:color w:val="000000"/>
          <w:vertAlign w:val="superscript"/>
        </w:rPr>
        <w:t>3</w:t>
      </w:r>
      <w:r>
        <w:rPr>
          <w:color w:val="000000"/>
        </w:rPr>
        <w:t>/年，取水量54.93万m</w:t>
      </w:r>
      <w:r>
        <w:rPr>
          <w:color w:val="000000"/>
          <w:vertAlign w:val="superscript"/>
        </w:rPr>
        <w:t>3</w:t>
      </w:r>
      <w:r>
        <w:rPr>
          <w:color w:val="000000"/>
        </w:rPr>
        <w:t>/年。</w:t>
      </w:r>
    </w:p>
    <w:p>
      <w:pPr>
        <w:rPr>
          <w:rFonts w:hint="eastAsia" w:eastAsia="黑体"/>
          <w:lang w:val="en-US" w:eastAsia="zh-CN"/>
        </w:rPr>
      </w:pPr>
      <w:r>
        <w:rPr>
          <w:rFonts w:hint="eastAsia" w:ascii="Times New Roman" w:hAnsi="Times New Roman" w:eastAsia="黑体" w:cs="Times New Roman"/>
          <w:sz w:val="28"/>
          <w:szCs w:val="28"/>
          <w:lang w:val="en-US" w:eastAsia="zh-CN"/>
        </w:rPr>
        <w:t>3.4.2.3</w:t>
      </w:r>
      <w:r>
        <w:rPr>
          <w:rFonts w:eastAsia="黑体"/>
          <w:sz w:val="28"/>
          <w:szCs w:val="28"/>
        </w:rPr>
        <w:t>工程</w:t>
      </w:r>
      <w:r>
        <w:rPr>
          <w:rFonts w:hint="eastAsia" w:eastAsia="黑体"/>
          <w:sz w:val="28"/>
          <w:szCs w:val="28"/>
          <w:lang w:eastAsia="zh-CN"/>
        </w:rPr>
        <w:t>建设内容</w:t>
      </w:r>
    </w:p>
    <w:p>
      <w:pPr>
        <w:ind w:firstLine="540"/>
        <w:rPr>
          <w:kern w:val="0"/>
          <w:lang w:bidi="ar"/>
        </w:rPr>
      </w:pPr>
      <w:r>
        <w:t>大竹堡片区供水工程</w:t>
      </w:r>
      <w:r>
        <w:rPr>
          <w:rFonts w:hint="eastAsia" w:ascii="Times New Roman" w:hAnsi="Times New Roman" w:eastAsia="宋体" w:cs="Times New Roman"/>
          <w:lang w:val="en-US" w:eastAsia="zh-CN"/>
        </w:rPr>
        <w:t>建设</w:t>
      </w:r>
      <w:r>
        <w:rPr>
          <w:kern w:val="0"/>
          <w:lang w:bidi="ar"/>
        </w:rPr>
        <w:t>内容为新建一座取水低坝、一座沉砂池、一座清水池以及输配水管网。</w:t>
      </w:r>
    </w:p>
    <w:p>
      <w:pPr>
        <w:rPr>
          <w:rFonts w:eastAsia="黑体"/>
          <w:snapToGrid w:val="0"/>
          <w:kern w:val="0"/>
        </w:rPr>
      </w:pPr>
      <w:r>
        <w:rPr>
          <w:rFonts w:eastAsia="黑体"/>
          <w:snapToGrid w:val="0"/>
          <w:kern w:val="0"/>
        </w:rPr>
        <w:t>1</w:t>
      </w:r>
      <w:r>
        <w:rPr>
          <w:rFonts w:hint="eastAsia" w:eastAsia="黑体"/>
          <w:snapToGrid w:val="0"/>
          <w:kern w:val="0"/>
          <w:lang w:eastAsia="zh-CN"/>
        </w:rPr>
        <w:t>、</w:t>
      </w:r>
      <w:r>
        <w:rPr>
          <w:rFonts w:ascii="Times New Roman" w:hAnsi="Times New Roman" w:eastAsia="宋体" w:cs="Times New Roman"/>
        </w:rPr>
        <w:t>取水</w:t>
      </w:r>
      <w:r>
        <w:rPr>
          <w:rFonts w:eastAsia="黑体"/>
          <w:snapToGrid w:val="0"/>
          <w:kern w:val="0"/>
        </w:rPr>
        <w:t>工程</w:t>
      </w:r>
    </w:p>
    <w:p>
      <w:pPr>
        <w:ind w:firstLine="540"/>
      </w:pPr>
      <w:r>
        <w:t>本工程取水于马边河</w:t>
      </w:r>
      <w:r>
        <w:rPr>
          <w:rFonts w:hint="eastAsia" w:ascii="Times New Roman" w:hAnsi="Times New Roman" w:eastAsia="宋体" w:cs="Times New Roman"/>
          <w:lang w:val="en-US" w:eastAsia="zh-CN"/>
        </w:rPr>
        <w:t>二级</w:t>
      </w:r>
      <w:r>
        <w:t>支流阴河，取水点高程1120。采用低栏栅坝取水。坝高3.5m，坝长23m，坝顶宽2m，砼结构。坝前后高砼铺盖及护坦。进水栏栅单排布置，宽1.0m，长10m，栏栅下面为进水廊道，廊道末接dn200管至沉砂池。沉淀池宽4m长12m，砼结构。</w:t>
      </w:r>
    </w:p>
    <w:p>
      <w:pPr>
        <w:rPr>
          <w:color w:val="000000"/>
          <w:sz w:val="28"/>
        </w:rPr>
      </w:pPr>
      <w:r>
        <w:rPr>
          <w:rFonts w:eastAsia="黑体"/>
          <w:snapToGrid w:val="0"/>
          <w:kern w:val="0"/>
        </w:rPr>
        <w:t>2</w:t>
      </w:r>
      <w:r>
        <w:rPr>
          <w:rFonts w:hint="eastAsia" w:eastAsia="黑体"/>
          <w:snapToGrid w:val="0"/>
          <w:kern w:val="0"/>
          <w:lang w:eastAsia="zh-CN"/>
        </w:rPr>
        <w:t>、</w:t>
      </w:r>
      <w:r>
        <w:rPr>
          <w:rFonts w:eastAsia="黑体"/>
          <w:snapToGrid w:val="0"/>
          <w:kern w:val="0"/>
        </w:rPr>
        <w:t>输水管道</w:t>
      </w:r>
    </w:p>
    <w:p>
      <w:pPr>
        <w:ind w:firstLine="540"/>
      </w:pPr>
      <w:r>
        <w:t>大竹堡片区供水工程于马边河二级支流阴河取水，自流引水至大竹堡镇白岩湾村修建净水处理厂。其取水点距水厂1970m，输水管道选取1.6MPaPVC-O管dn200，有效内径184.6mm。</w:t>
      </w:r>
    </w:p>
    <w:p>
      <w:r>
        <w:rPr>
          <w:rFonts w:eastAsia="黑体"/>
          <w:snapToGrid w:val="0"/>
          <w:kern w:val="0"/>
        </w:rPr>
        <w:t>3</w:t>
      </w:r>
      <w:r>
        <w:rPr>
          <w:rFonts w:hint="eastAsia" w:eastAsia="黑体"/>
          <w:snapToGrid w:val="0"/>
          <w:kern w:val="0"/>
          <w:lang w:eastAsia="zh-CN"/>
        </w:rPr>
        <w:t>、</w:t>
      </w:r>
      <w:r>
        <w:rPr>
          <w:rFonts w:eastAsia="黑体"/>
          <w:snapToGrid w:val="0"/>
          <w:kern w:val="0"/>
        </w:rPr>
        <w:t>清水池</w:t>
      </w:r>
    </w:p>
    <w:p>
      <w:pPr>
        <w:ind w:firstLine="540"/>
      </w:pPr>
      <w:r>
        <w:rPr>
          <w:rFonts w:hint="eastAsia"/>
          <w:lang w:eastAsia="zh-CN"/>
        </w:rPr>
        <w:t>清水</w:t>
      </w:r>
      <w:r>
        <w:t>池有效容积500m</w:t>
      </w:r>
      <w:r>
        <w:rPr>
          <w:vertAlign w:val="superscript"/>
        </w:rPr>
        <w:t>3</w:t>
      </w:r>
      <w:r>
        <w:t>。池长24.4m，宽8m，有效水深2.7m，有效容积527m3。清水池采用钢筋混凝土结构。池内设导流墙，清水池还设有检修孔、通气管、溢流管、集水坑、放空管等附属设施。</w:t>
      </w:r>
    </w:p>
    <w:p>
      <w:pPr>
        <w:rPr>
          <w:rFonts w:hint="eastAsia" w:eastAsia="黑体"/>
          <w:lang w:eastAsia="zh-CN"/>
        </w:rPr>
      </w:pPr>
      <w:r>
        <w:rPr>
          <w:rFonts w:eastAsia="黑体"/>
          <w:snapToGrid w:val="0"/>
          <w:kern w:val="0"/>
        </w:rPr>
        <w:t>4</w:t>
      </w:r>
      <w:r>
        <w:rPr>
          <w:rFonts w:hint="eastAsia" w:eastAsia="黑体"/>
          <w:snapToGrid w:val="0"/>
          <w:kern w:val="0"/>
          <w:lang w:eastAsia="zh-CN"/>
        </w:rPr>
        <w:t>、</w:t>
      </w:r>
      <w:r>
        <w:rPr>
          <w:rFonts w:eastAsia="黑体"/>
          <w:snapToGrid w:val="0"/>
          <w:kern w:val="0"/>
        </w:rPr>
        <w:t>配水管</w:t>
      </w:r>
      <w:r>
        <w:rPr>
          <w:rFonts w:hint="eastAsia" w:eastAsia="黑体"/>
          <w:lang w:eastAsia="zh-CN"/>
        </w:rPr>
        <w:t>网</w:t>
      </w:r>
    </w:p>
    <w:p>
      <w:pPr>
        <w:ind w:firstLine="540"/>
      </w:pPr>
      <w:r>
        <w:t>配水管网采用树状布置方式。管道选用钢管、PVC-O管和AGR管，总长度为</w:t>
      </w:r>
      <w:r>
        <w:rPr>
          <w:rFonts w:hint="eastAsia"/>
        </w:rPr>
        <w:t>54470</w:t>
      </w:r>
      <w:r>
        <w:t>m</w:t>
      </w:r>
      <w:r>
        <w:rPr>
          <w:rFonts w:hint="eastAsia"/>
          <w:lang w:eastAsia="zh-CN"/>
        </w:rPr>
        <w:t>，</w:t>
      </w:r>
      <w:r>
        <w:t>其中钢管长度为22665m，PVC-O管长度为</w:t>
      </w:r>
      <w:r>
        <w:rPr>
          <w:rFonts w:hint="eastAsia"/>
        </w:rPr>
        <w:t>11020</w:t>
      </w:r>
      <w:r>
        <w:t>m，AGR管长度为</w:t>
      </w:r>
      <w:r>
        <w:rPr>
          <w:rFonts w:hint="eastAsia"/>
        </w:rPr>
        <w:t>20785</w:t>
      </w:r>
      <w:r>
        <w:t>m。入户户数为3472户，每户考虑</w:t>
      </w:r>
      <w:r>
        <w:rPr>
          <w:rFonts w:hint="eastAsia" w:ascii="Times New Roman" w:hAnsi="Times New Roman" w:eastAsia="宋体" w:cs="Times New Roman"/>
          <w:lang w:val="en-US" w:eastAsia="zh-CN"/>
        </w:rPr>
        <w:t>设置</w:t>
      </w:r>
      <w:r>
        <w:t>1个球阀DN20和1个水表DN20。</w:t>
      </w:r>
    </w:p>
    <w:p>
      <w:pPr>
        <w:pStyle w:val="5"/>
        <w:rPr>
          <w:rFonts w:ascii="Times New Roman" w:hAnsi="Times New Roman"/>
          <w:b w:val="0"/>
          <w:sz w:val="24"/>
          <w:szCs w:val="24"/>
        </w:rPr>
      </w:pPr>
      <w:bookmarkStart w:id="63" w:name="_Toc36029014"/>
      <w:r>
        <w:rPr>
          <w:rFonts w:hint="eastAsia" w:ascii="Times New Roman" w:hAnsi="Times New Roman"/>
          <w:b w:val="0"/>
          <w:color w:val="000000"/>
          <w:sz w:val="30"/>
          <w:szCs w:val="30"/>
          <w:lang w:val="en-US" w:eastAsia="zh-CN"/>
        </w:rPr>
        <w:t>3.4.3</w:t>
      </w:r>
      <w:r>
        <w:rPr>
          <w:rFonts w:ascii="Times New Roman" w:hAnsi="Times New Roman"/>
          <w:b w:val="0"/>
          <w:color w:val="000000"/>
          <w:sz w:val="30"/>
          <w:szCs w:val="30"/>
        </w:rPr>
        <w:t>雪口山片区供水工程</w:t>
      </w:r>
      <w:bookmarkEnd w:id="63"/>
    </w:p>
    <w:p>
      <w:pPr>
        <w:rPr>
          <w:rFonts w:hint="eastAsia" w:eastAsia="黑体"/>
          <w:sz w:val="28"/>
          <w:szCs w:val="28"/>
          <w:lang w:eastAsia="zh-CN"/>
        </w:rPr>
      </w:pPr>
      <w:r>
        <w:rPr>
          <w:rFonts w:hint="eastAsia" w:eastAsia="黑体"/>
          <w:sz w:val="28"/>
          <w:szCs w:val="28"/>
          <w:lang w:val="en-US" w:eastAsia="zh-CN"/>
        </w:rPr>
        <w:t>3.4.3.</w:t>
      </w:r>
      <w:r>
        <w:rPr>
          <w:rFonts w:eastAsia="黑体"/>
          <w:sz w:val="28"/>
          <w:szCs w:val="28"/>
        </w:rPr>
        <w:t>1</w:t>
      </w:r>
      <w:r>
        <w:rPr>
          <w:rFonts w:hint="eastAsia" w:eastAsia="黑体"/>
          <w:sz w:val="28"/>
          <w:szCs w:val="28"/>
          <w:lang w:eastAsia="zh-CN"/>
        </w:rPr>
        <w:t>工程基本情况</w:t>
      </w:r>
    </w:p>
    <w:p>
      <w:pPr>
        <w:ind w:firstLine="540"/>
      </w:pPr>
      <w:r>
        <w:t>雪口山片区内雪口山乡及下溪镇现有3处供水工程，均属于小型供水厂（站），输水管网老化渗水严重，且该3处供水工程取水水源水量均不充足，为保证水源的可靠性和水量充足性，本次规划拟在马边河左岸二级支流、雪口山河左岸一级支流</w:t>
      </w:r>
      <w:r>
        <w:rPr>
          <w:spacing w:val="10"/>
        </w:rPr>
        <w:t>龙池沟</w:t>
      </w:r>
      <w:r>
        <w:rPr>
          <w:rFonts w:hint="eastAsia"/>
          <w:lang w:eastAsia="zh-CN"/>
        </w:rPr>
        <w:t>或金玉河电站渠道左侧上端冒水处</w:t>
      </w:r>
      <w:r>
        <w:rPr>
          <w:spacing w:val="10"/>
        </w:rPr>
        <w:t>取水，</w:t>
      </w:r>
      <w:r>
        <w:rPr>
          <w:bCs/>
        </w:rPr>
        <w:t>通过</w:t>
      </w:r>
      <w:r>
        <w:t>自流引水至龙池沟后山坡修建清水池，通过消毒后自压直供雪口山乡及下溪镇现有3处供水厂</w:t>
      </w:r>
      <w:r>
        <w:rPr>
          <w:rFonts w:hint="eastAsia" w:ascii="Times New Roman" w:hAnsi="Times New Roman" w:eastAsia="宋体" w:cs="Times New Roman"/>
          <w:lang w:val="en-US" w:eastAsia="zh-CN"/>
        </w:rPr>
        <w:t>，补充原供水厂取水水源，解决原供水厂取水量不足的问题，同时本次清水池高程</w:t>
      </w:r>
      <w:r>
        <w:t>较高，可覆盖上述2个乡镇因高程不足无法供水的区域。</w:t>
      </w:r>
    </w:p>
    <w:p>
      <w:pPr>
        <w:adjustRightInd w:val="0"/>
        <w:snapToGrid w:val="0"/>
        <w:spacing w:line="500" w:lineRule="exact"/>
        <w:ind w:firstLine="484" w:firstLineChars="200"/>
      </w:pPr>
      <w:r>
        <w:t>工艺流程如下：</w:t>
      </w:r>
    </w:p>
    <w:p>
      <w:pPr>
        <w:ind w:firstLine="540"/>
      </w:pPr>
      <w:r>
        <mc:AlternateContent>
          <mc:Choice Requires="wps">
            <w:drawing>
              <wp:anchor distT="0" distB="0" distL="114300" distR="114300" simplePos="0" relativeHeight="251660288" behindDoc="0" locked="0" layoutInCell="1" allowOverlap="1">
                <wp:simplePos x="0" y="0"/>
                <wp:positionH relativeFrom="column">
                  <wp:posOffset>4178300</wp:posOffset>
                </wp:positionH>
                <wp:positionV relativeFrom="paragraph">
                  <wp:posOffset>176530</wp:posOffset>
                </wp:positionV>
                <wp:extent cx="8890" cy="219075"/>
                <wp:effectExtent l="45720" t="0" r="59690" b="9525"/>
                <wp:wrapNone/>
                <wp:docPr id="2" name="直线 532"/>
                <wp:cNvGraphicFramePr/>
                <a:graphic xmlns:a="http://schemas.openxmlformats.org/drawingml/2006/main">
                  <a:graphicData uri="http://schemas.microsoft.com/office/word/2010/wordprocessingShape">
                    <wps:wsp>
                      <wps:cNvCnPr/>
                      <wps:spPr>
                        <a:xfrm flipH="1">
                          <a:off x="0" y="0"/>
                          <a:ext cx="8890" cy="21907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532" o:spid="_x0000_s1026" o:spt="20" style="position:absolute;left:0pt;flip:x;margin-left:329pt;margin-top:13.9pt;height:17.25pt;width:0.7pt;z-index:251660288;mso-width-relative:page;mso-height-relative:page;" filled="f" stroked="t" coordsize="21600,21600" o:gfxdata="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qKi8SdkAAAAJAQAADwAAAAAAAAABACAAAAAiAAAAZHJzL2Rvd25yZXYueG1s&#10;UEsBAhQAFAAAAAgAh07iQPlu8+n3AQAA6gMAAA4AAAAAAAAAAQAgAAAAKAEAAGRycy9lMm9Eb2Mu&#10;eG1sUEsFBgAAAAAGAAYAWQEAAJEFAAAAAA==&#10;">
                <v:fill on="f" focussize="0,0"/>
                <v:stroke color="#000000" joinstyle="round" endarrow="open"/>
                <v:imagedata o:title=""/>
                <o:lock v:ext="edit" aspectratio="f"/>
              </v:line>
            </w:pict>
          </mc:Fallback>
        </mc:AlternateContent>
      </w:r>
      <w:r>
        <w:rPr>
          <w:rFonts w:hint="eastAsia"/>
        </w:rPr>
        <w:t>龙池沟</w:t>
      </w:r>
      <w:r>
        <w:t>→取水底格栏栅坝→沉砂池→输水管道→消毒→清水池→</w:t>
      </w:r>
      <w:r>
        <w:rPr>
          <w:szCs w:val="28"/>
        </w:rPr>
        <w:t>供水管网</w:t>
      </w:r>
      <w:r>
        <w:t>。</w:t>
      </w:r>
    </w:p>
    <w:p>
      <w:r>
        <w:t xml:space="preserve">                                               </w:t>
      </w:r>
      <w:r>
        <w:rPr>
          <w:rFonts w:hint="eastAsia"/>
          <w:lang w:val="en-US" w:eastAsia="zh-CN"/>
        </w:rPr>
        <w:t xml:space="preserve">  </w:t>
      </w:r>
      <w:r>
        <w:t xml:space="preserve"> 现有水厂</w:t>
      </w:r>
    </w:p>
    <w:p>
      <w:pPr>
        <w:rPr>
          <w:rFonts w:eastAsia="黑体"/>
        </w:rPr>
      </w:pPr>
      <w:r>
        <w:rPr>
          <w:rFonts w:hint="eastAsia" w:eastAsia="黑体"/>
          <w:sz w:val="28"/>
          <w:szCs w:val="28"/>
          <w:lang w:val="en-US" w:eastAsia="zh-CN"/>
        </w:rPr>
        <w:t>3.4.3.2</w:t>
      </w:r>
      <w:r>
        <w:rPr>
          <w:rFonts w:eastAsia="黑体"/>
          <w:sz w:val="28"/>
          <w:szCs w:val="28"/>
        </w:rPr>
        <w:t>供水规模</w:t>
      </w:r>
    </w:p>
    <w:p>
      <w:pPr>
        <w:ind w:firstLine="540"/>
      </w:pPr>
      <w:r>
        <w:t>雪口山片区供水工程</w:t>
      </w:r>
      <w:r>
        <w:rPr>
          <w:color w:val="000000"/>
        </w:rPr>
        <w:t>工程服务范围为</w:t>
      </w:r>
      <w:r>
        <w:rPr>
          <w:rFonts w:hint="eastAsia"/>
        </w:rPr>
        <w:t>雪口山乡（黎明村、羊店儿村、永兴村、谢家岩村、田儿塆村）、下溪镇（大池塘村、共和街社区、观音岩村）</w:t>
      </w:r>
      <w:r>
        <w:rPr>
          <w:rFonts w:hint="eastAsia"/>
          <w:lang w:eastAsia="zh-CN"/>
        </w:rPr>
        <w:t>，供水人口</w:t>
      </w:r>
      <w:r>
        <w:rPr>
          <w:rFonts w:hint="eastAsia"/>
          <w:lang w:val="en-US" w:eastAsia="zh-CN"/>
        </w:rPr>
        <w:t>1.04万人，</w:t>
      </w:r>
      <w:r>
        <w:rPr>
          <w:rFonts w:hint="eastAsia" w:ascii="Times New Roman" w:hAnsi="Times New Roman" w:eastAsia="宋体" w:cs="Times New Roman"/>
        </w:rPr>
        <w:t>供水</w:t>
      </w:r>
      <w:r>
        <w:t>规模为</w:t>
      </w:r>
      <w:r>
        <w:rPr>
          <w:rFonts w:hint="eastAsia" w:ascii="Times New Roman" w:hAnsi="Times New Roman" w:eastAsia="宋体" w:cs="Times New Roman"/>
          <w:lang w:val="en-US" w:eastAsia="zh-CN"/>
        </w:rPr>
        <w:t>1820m3</w:t>
      </w:r>
      <w:r>
        <w:t>/d，供水量44.29万m</w:t>
      </w:r>
      <w:r>
        <w:rPr>
          <w:vertAlign w:val="superscript"/>
        </w:rPr>
        <w:t>3</w:t>
      </w:r>
      <w:r>
        <w:t>/年，年取水量46.50万m</w:t>
      </w:r>
      <w:r>
        <w:rPr>
          <w:vertAlign w:val="superscript"/>
        </w:rPr>
        <w:t>3</w:t>
      </w:r>
      <w:r>
        <w:t>。</w:t>
      </w:r>
    </w:p>
    <w:p>
      <w:pPr>
        <w:rPr>
          <w:rFonts w:hint="eastAsia" w:eastAsia="黑体"/>
          <w:lang w:eastAsia="zh-CN"/>
        </w:rPr>
      </w:pPr>
      <w:r>
        <w:rPr>
          <w:rFonts w:hint="eastAsia" w:eastAsia="黑体"/>
          <w:sz w:val="28"/>
          <w:szCs w:val="28"/>
          <w:lang w:val="en-US" w:eastAsia="zh-CN"/>
        </w:rPr>
        <w:t>3.4.3.3</w:t>
      </w:r>
      <w:r>
        <w:rPr>
          <w:rFonts w:hint="eastAsia" w:eastAsia="黑体"/>
          <w:sz w:val="28"/>
          <w:szCs w:val="28"/>
          <w:lang w:eastAsia="zh-CN"/>
        </w:rPr>
        <w:t>工程建设内容</w:t>
      </w:r>
    </w:p>
    <w:p>
      <w:pPr>
        <w:ind w:firstLine="540"/>
        <w:rPr>
          <w:kern w:val="0"/>
          <w:lang w:bidi="ar"/>
        </w:rPr>
      </w:pPr>
      <w:r>
        <w:t>雪口山片区供水工程</w:t>
      </w:r>
      <w:r>
        <w:rPr>
          <w:kern w:val="0"/>
          <w:lang w:bidi="ar"/>
        </w:rPr>
        <w:t>建设内容为新建一座取水低坝、一座沉砂池、</w:t>
      </w:r>
      <w:r>
        <w:rPr>
          <w:rFonts w:hint="eastAsia"/>
          <w:kern w:val="0"/>
          <w:lang w:bidi="ar"/>
        </w:rPr>
        <w:t>两</w:t>
      </w:r>
      <w:r>
        <w:rPr>
          <w:kern w:val="0"/>
          <w:lang w:bidi="ar"/>
        </w:rPr>
        <w:t>座清水池及输配水管网。</w:t>
      </w:r>
    </w:p>
    <w:p>
      <w:pPr>
        <w:rPr>
          <w:rFonts w:eastAsia="黑体"/>
          <w:snapToGrid w:val="0"/>
          <w:kern w:val="0"/>
        </w:rPr>
      </w:pPr>
      <w:r>
        <w:rPr>
          <w:rFonts w:eastAsia="黑体"/>
          <w:snapToGrid w:val="0"/>
          <w:kern w:val="0"/>
        </w:rPr>
        <w:t>1</w:t>
      </w:r>
      <w:r>
        <w:rPr>
          <w:rFonts w:hint="eastAsia" w:eastAsia="黑体"/>
          <w:snapToGrid w:val="0"/>
          <w:kern w:val="0"/>
          <w:lang w:eastAsia="zh-CN"/>
        </w:rPr>
        <w:t>、</w:t>
      </w:r>
      <w:r>
        <w:rPr>
          <w:rFonts w:eastAsia="黑体"/>
          <w:snapToGrid w:val="0"/>
          <w:kern w:val="0"/>
        </w:rPr>
        <w:t>取水工程</w:t>
      </w:r>
    </w:p>
    <w:p>
      <w:pPr>
        <w:ind w:firstLine="540"/>
        <w:rPr>
          <w:highlight w:val="yellow"/>
        </w:rPr>
      </w:pPr>
      <w:r>
        <w:t>本方案</w:t>
      </w:r>
      <w:r>
        <w:rPr>
          <w:rFonts w:ascii="Times New Roman" w:hAnsi="Times New Roman" w:eastAsia="宋体" w:cs="Times New Roman"/>
        </w:rPr>
        <w:t>工程</w:t>
      </w:r>
      <w:r>
        <w:t>取水点位于龙池沟高程1050m处，采用底栏栅坝取水。龙池沟底栏栅坝，坝长23，坝宽2.0，顶</w:t>
      </w:r>
      <w:r>
        <w:rPr>
          <w:rFonts w:hint="eastAsia" w:ascii="Times New Roman" w:hAnsi="Times New Roman" w:eastAsia="宋体" w:cs="Times New Roman"/>
          <w:lang w:val="en-US" w:eastAsia="zh-CN"/>
        </w:rPr>
        <w:t>高程</w:t>
      </w:r>
      <w:r>
        <w:t>1050，沉淀池宽5.2m长8m。</w:t>
      </w:r>
    </w:p>
    <w:p>
      <w:pPr>
        <w:rPr>
          <w:color w:val="FF0000"/>
          <w:sz w:val="28"/>
        </w:rPr>
      </w:pPr>
      <w:r>
        <w:rPr>
          <w:rFonts w:eastAsia="黑体"/>
          <w:snapToGrid w:val="0"/>
          <w:kern w:val="0"/>
        </w:rPr>
        <w:t>2</w:t>
      </w:r>
      <w:r>
        <w:rPr>
          <w:rFonts w:hint="eastAsia" w:eastAsia="黑体"/>
          <w:snapToGrid w:val="0"/>
          <w:kern w:val="0"/>
          <w:lang w:eastAsia="zh-CN"/>
        </w:rPr>
        <w:t>、</w:t>
      </w:r>
      <w:r>
        <w:rPr>
          <w:rFonts w:eastAsia="黑体"/>
          <w:snapToGrid w:val="0"/>
          <w:kern w:val="0"/>
        </w:rPr>
        <w:t>输水管道</w:t>
      </w:r>
    </w:p>
    <w:p>
      <w:pPr>
        <w:ind w:firstLine="540"/>
      </w:pPr>
      <w:r>
        <w:t>取水点距水厂405m，</w:t>
      </w:r>
      <w:r>
        <w:rPr>
          <w:rFonts w:hint="eastAsia" w:ascii="Times New Roman" w:hAnsi="Times New Roman" w:eastAsia="宋体" w:cs="Times New Roman"/>
          <w:lang w:val="en-US" w:eastAsia="zh-CN"/>
        </w:rPr>
        <w:t>输水管</w:t>
      </w:r>
      <w:r>
        <w:t>道选取1.6MPadn315mmpvc-0管。</w:t>
      </w:r>
    </w:p>
    <w:p>
      <w:pPr>
        <w:rPr>
          <w:b/>
        </w:rPr>
      </w:pPr>
      <w:r>
        <w:rPr>
          <w:rFonts w:eastAsia="黑体"/>
          <w:snapToGrid w:val="0"/>
          <w:kern w:val="0"/>
        </w:rPr>
        <w:t>3</w:t>
      </w:r>
      <w:r>
        <w:rPr>
          <w:rFonts w:hint="eastAsia" w:eastAsia="黑体"/>
          <w:snapToGrid w:val="0"/>
          <w:kern w:val="0"/>
          <w:lang w:eastAsia="zh-CN"/>
        </w:rPr>
        <w:t>、</w:t>
      </w:r>
      <w:r>
        <w:rPr>
          <w:rFonts w:ascii="Times New Roman" w:hAnsi="Times New Roman" w:eastAsia="黑体" w:cs="Times New Roman"/>
          <w:snapToGrid w:val="0"/>
          <w:kern w:val="0"/>
        </w:rPr>
        <w:t>清水池</w:t>
      </w:r>
    </w:p>
    <w:p>
      <w:pPr>
        <w:ind w:firstLine="540"/>
        <w:rPr>
          <w:rFonts w:hint="eastAsia"/>
        </w:rPr>
      </w:pPr>
      <w:r>
        <w:t>考虑枯期水源点水量</w:t>
      </w:r>
      <w:r>
        <w:rPr>
          <w:rFonts w:hint="eastAsia"/>
        </w:rPr>
        <w:t>不充裕</w:t>
      </w:r>
      <w:r>
        <w:t>，在龙池沟取水点附近修建清水池蓄水调节水量。</w:t>
      </w:r>
      <w:r>
        <w:rPr>
          <w:rFonts w:hint="eastAsia"/>
        </w:rPr>
        <w:t>龙池沟厂区设置2座圆形</w:t>
      </w:r>
      <w:r>
        <w:rPr>
          <w:rFonts w:hint="eastAsia" w:ascii="Times New Roman" w:hAnsi="Times New Roman" w:eastAsia="宋体" w:cs="Times New Roman"/>
          <w:lang w:val="en-US" w:eastAsia="zh-CN"/>
        </w:rPr>
        <w:t>清水池</w:t>
      </w:r>
      <w:r>
        <w:rPr>
          <w:rFonts w:hint="eastAsia"/>
        </w:rPr>
        <w:t>，内径18m ,池深H=3.0m，有效水深2.7m，有效容积500 m3。清水池采用钢筋混凝土结构。池内设导流墙，清水池还设有人孔、通气管、溢流管、集水坑、放空管等附属设施。</w:t>
      </w:r>
    </w:p>
    <w:p>
      <w:pPr>
        <w:rPr>
          <w:rFonts w:eastAsia="黑体"/>
        </w:rPr>
      </w:pPr>
      <w:r>
        <w:rPr>
          <w:rFonts w:eastAsia="黑体"/>
          <w:snapToGrid w:val="0"/>
          <w:kern w:val="0"/>
        </w:rPr>
        <w:t>4</w:t>
      </w:r>
      <w:r>
        <w:rPr>
          <w:rFonts w:hint="eastAsia" w:eastAsia="黑体"/>
          <w:snapToGrid w:val="0"/>
          <w:kern w:val="0"/>
          <w:lang w:eastAsia="zh-CN"/>
        </w:rPr>
        <w:t>、</w:t>
      </w:r>
      <w:r>
        <w:rPr>
          <w:rFonts w:eastAsia="黑体"/>
          <w:snapToGrid w:val="0"/>
          <w:kern w:val="0"/>
        </w:rPr>
        <w:t>配水干管</w:t>
      </w:r>
    </w:p>
    <w:p>
      <w:pPr>
        <w:ind w:firstLine="540"/>
      </w:pPr>
      <w:r>
        <w:rPr>
          <w:rFonts w:hint="eastAsia" w:ascii="宋体" w:hAnsi="宋体"/>
        </w:rPr>
        <w:t>本项目</w:t>
      </w:r>
      <w:r>
        <w:t>配水管网采用树状布置方式。配水管道选用</w:t>
      </w:r>
      <w:r>
        <w:rPr>
          <w:rFonts w:hint="eastAsia"/>
        </w:rPr>
        <w:t>AGR管和PVC-O</w:t>
      </w:r>
      <w:r>
        <w:t>管，总长度为</w:t>
      </w:r>
      <w:r>
        <w:rPr>
          <w:rFonts w:hint="eastAsia"/>
        </w:rPr>
        <w:t>45190</w:t>
      </w:r>
      <w:r>
        <w:t>m</w:t>
      </w:r>
      <w:r>
        <w:rPr>
          <w:rFonts w:hint="eastAsia"/>
        </w:rPr>
        <w:t>，其中PVC-0管长度为11287m，AGR管长度为33903m</w:t>
      </w:r>
      <w:r>
        <w:t>。入户户数为</w:t>
      </w:r>
      <w:r>
        <w:rPr>
          <w:rFonts w:hint="eastAsia"/>
        </w:rPr>
        <w:t>2967</w:t>
      </w:r>
      <w:r>
        <w:t>户，每户考虑设置1个球阀DN20和1个水表DN20。</w:t>
      </w:r>
    </w:p>
    <w:p>
      <w:pPr>
        <w:pStyle w:val="5"/>
        <w:rPr>
          <w:rFonts w:ascii="Times New Roman" w:hAnsi="Times New Roman"/>
          <w:b w:val="0"/>
          <w:sz w:val="24"/>
          <w:szCs w:val="24"/>
        </w:rPr>
      </w:pPr>
      <w:bookmarkStart w:id="64" w:name="_Toc36029015"/>
      <w:r>
        <w:rPr>
          <w:rFonts w:hint="eastAsia" w:ascii="Times New Roman" w:hAnsi="Times New Roman"/>
          <w:b w:val="0"/>
          <w:color w:val="000000"/>
          <w:sz w:val="30"/>
          <w:szCs w:val="30"/>
          <w:lang w:val="en-US" w:eastAsia="zh-CN"/>
        </w:rPr>
        <w:t>3.4.4</w:t>
      </w:r>
      <w:r>
        <w:rPr>
          <w:rFonts w:ascii="Times New Roman" w:hAnsi="Times New Roman"/>
          <w:b w:val="0"/>
          <w:color w:val="000000"/>
          <w:sz w:val="30"/>
          <w:szCs w:val="30"/>
        </w:rPr>
        <w:t>荣丁片区供水工程</w:t>
      </w:r>
      <w:bookmarkEnd w:id="64"/>
    </w:p>
    <w:p>
      <w:pPr>
        <w:rPr>
          <w:rFonts w:eastAsia="黑体"/>
          <w:sz w:val="28"/>
          <w:szCs w:val="28"/>
        </w:rPr>
      </w:pPr>
      <w:r>
        <w:rPr>
          <w:rFonts w:hint="eastAsia" w:eastAsia="黑体"/>
          <w:sz w:val="28"/>
          <w:szCs w:val="28"/>
          <w:lang w:val="en-US" w:eastAsia="zh-CN"/>
        </w:rPr>
        <w:t>3.</w:t>
      </w:r>
      <w:r>
        <w:rPr>
          <w:rFonts w:eastAsia="黑体"/>
          <w:sz w:val="28"/>
          <w:szCs w:val="28"/>
        </w:rPr>
        <w:t>4.</w:t>
      </w:r>
      <w:r>
        <w:rPr>
          <w:rFonts w:hint="eastAsia" w:eastAsia="黑体"/>
          <w:sz w:val="28"/>
          <w:szCs w:val="28"/>
          <w:lang w:val="en-US" w:eastAsia="zh-CN"/>
        </w:rPr>
        <w:t>4.1</w:t>
      </w:r>
      <w:r>
        <w:rPr>
          <w:rFonts w:hint="eastAsia" w:eastAsia="黑体"/>
          <w:sz w:val="28"/>
          <w:szCs w:val="28"/>
          <w:lang w:eastAsia="zh-CN"/>
        </w:rPr>
        <w:t>工程基本情况</w:t>
      </w:r>
    </w:p>
    <w:p>
      <w:pPr>
        <w:ind w:firstLine="540"/>
      </w:pPr>
      <w:r>
        <w:rPr>
          <w:rFonts w:hint="eastAsia"/>
        </w:rPr>
        <w:t>荣丁镇</w:t>
      </w:r>
      <w:r>
        <w:t>现有</w:t>
      </w:r>
      <w:r>
        <w:rPr>
          <w:rFonts w:hint="eastAsia"/>
        </w:rPr>
        <w:t>1</w:t>
      </w:r>
      <w:r>
        <w:t>处供水工程，属于小型供水厂（站），输水管网老化渗水严重，且该供水工程取水水源水量不充足，为保证水源的可靠性和水量充足性，本次规划拟在马槽沟和老王坪沟水源点</w:t>
      </w:r>
      <w:r>
        <w:rPr>
          <w:rFonts w:hint="eastAsia"/>
        </w:rPr>
        <w:t>分别</w:t>
      </w:r>
      <w:r>
        <w:rPr>
          <w:spacing w:val="10"/>
        </w:rPr>
        <w:t>取水，</w:t>
      </w:r>
      <w:r>
        <w:rPr>
          <w:bCs/>
        </w:rPr>
        <w:t>通过</w:t>
      </w:r>
      <w:r>
        <w:t>自流引水至马槽沟和老王坪沟</w:t>
      </w:r>
      <w:r>
        <w:rPr>
          <w:rFonts w:hint="eastAsia"/>
        </w:rPr>
        <w:t>取水点下游点</w:t>
      </w:r>
      <w:r>
        <w:t>修建清水池，通过消毒后自压直供原有供水厂，补充原供水厂取水水源，解决原供水厂取水量不足的问题，同时本次清水池高程较高，可覆盖</w:t>
      </w:r>
      <w:r>
        <w:rPr>
          <w:rFonts w:hint="eastAsia"/>
        </w:rPr>
        <w:t>荣丁</w:t>
      </w:r>
      <w:r>
        <w:t>镇</w:t>
      </w:r>
      <w:r>
        <w:rPr>
          <w:rFonts w:hint="eastAsia"/>
        </w:rPr>
        <w:t>水厂</w:t>
      </w:r>
      <w:r>
        <w:t>因高程不足无法供水的区域。</w:t>
      </w:r>
    </w:p>
    <w:p>
      <w:pPr>
        <w:adjustRightInd w:val="0"/>
        <w:snapToGrid w:val="0"/>
        <w:spacing w:line="500" w:lineRule="exact"/>
        <w:ind w:firstLine="484" w:firstLineChars="200"/>
      </w:pPr>
      <w:r>
        <w:t>工艺流程如下：</w:t>
      </w:r>
    </w:p>
    <w:p>
      <w:pPr>
        <w:ind w:firstLine="540"/>
      </w:pPr>
      <w:r>
        <mc:AlternateContent>
          <mc:Choice Requires="wps">
            <w:drawing>
              <wp:anchor distT="0" distB="0" distL="114300" distR="114300" simplePos="0" relativeHeight="251661312" behindDoc="0" locked="0" layoutInCell="1" allowOverlap="1">
                <wp:simplePos x="0" y="0"/>
                <wp:positionH relativeFrom="column">
                  <wp:posOffset>4606925</wp:posOffset>
                </wp:positionH>
                <wp:positionV relativeFrom="paragraph">
                  <wp:posOffset>157480</wp:posOffset>
                </wp:positionV>
                <wp:extent cx="8890" cy="209550"/>
                <wp:effectExtent l="45720" t="0" r="59690" b="0"/>
                <wp:wrapNone/>
                <wp:docPr id="3" name="直线 533"/>
                <wp:cNvGraphicFramePr/>
                <a:graphic xmlns:a="http://schemas.openxmlformats.org/drawingml/2006/main">
                  <a:graphicData uri="http://schemas.microsoft.com/office/word/2010/wordprocessingShape">
                    <wps:wsp>
                      <wps:cNvCnPr/>
                      <wps:spPr>
                        <a:xfrm flipH="1">
                          <a:off x="0" y="0"/>
                          <a:ext cx="8890" cy="20955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533" o:spid="_x0000_s1026" o:spt="20" style="position:absolute;left:0pt;flip:x;margin-left:362.75pt;margin-top:12.4pt;height:16.5pt;width:0.7pt;z-index:251661312;mso-width-relative:page;mso-height-relative:page;" filled="f" stroked="t" coordsize="21600,21600" o:gfxdata="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3zRbw2AAAAAkBAAAPAAAAAAAAAAEAIAAAACIAAABkcnMvZG93bnJldi54&#10;bWxQSwECFAAUAAAACACHTuJAbI3b+voBAADqAwAADgAAAAAAAAABACAAAAAnAQAAZHJzL2Uyb0Rv&#10;Yy54bWxQSwUGAAAAAAYABgBZAQAAkwUAAAAA&#10;">
                <v:fill on="f" focussize="0,0"/>
                <v:stroke color="#000000" joinstyle="round" endarrow="open"/>
                <v:imagedata o:title=""/>
                <o:lock v:ext="edit" aspectratio="f"/>
              </v:line>
            </w:pict>
          </mc:Fallback>
        </mc:AlternateContent>
      </w:r>
      <w:r>
        <w:t>马槽沟</w:t>
      </w:r>
      <w:r>
        <w:rPr>
          <w:rFonts w:hint="eastAsia"/>
        </w:rPr>
        <w:t>/</w:t>
      </w:r>
      <w:r>
        <w:t>老王坪沟→取水坝→沉砂池→输水管道→消毒→清水池→</w:t>
      </w:r>
      <w:r>
        <w:rPr>
          <w:szCs w:val="28"/>
        </w:rPr>
        <w:t>供水管网</w:t>
      </w:r>
      <w:r>
        <w:t>。</w:t>
      </w:r>
    </w:p>
    <w:p>
      <w:pPr>
        <w:ind w:firstLine="540"/>
      </w:pPr>
      <w:r>
        <w:t xml:space="preserve">                                         </w:t>
      </w:r>
      <w:r>
        <w:rPr>
          <w:rFonts w:hint="eastAsia"/>
        </w:rPr>
        <w:t xml:space="preserve">            现</w:t>
      </w:r>
      <w:r>
        <w:t>有水厂</w:t>
      </w:r>
    </w:p>
    <w:p>
      <w:pPr>
        <w:rPr>
          <w:rFonts w:eastAsia="黑体"/>
        </w:rPr>
      </w:pPr>
      <w:r>
        <w:rPr>
          <w:rFonts w:hint="eastAsia" w:eastAsia="黑体"/>
          <w:sz w:val="28"/>
          <w:szCs w:val="28"/>
          <w:lang w:val="en-US" w:eastAsia="zh-CN"/>
        </w:rPr>
        <w:t>3.4.4</w:t>
      </w:r>
      <w:r>
        <w:rPr>
          <w:rFonts w:eastAsia="黑体"/>
          <w:sz w:val="28"/>
          <w:szCs w:val="28"/>
        </w:rPr>
        <w:t>.2供水规模</w:t>
      </w:r>
    </w:p>
    <w:p>
      <w:pPr>
        <w:ind w:firstLine="540"/>
      </w:pPr>
      <w:r>
        <w:t>荣丁片区供水工程</w:t>
      </w:r>
      <w:r>
        <w:rPr>
          <w:rFonts w:hint="eastAsia" w:ascii="Times New Roman" w:hAnsi="Times New Roman" w:eastAsia="宋体" w:cs="Times New Roman"/>
          <w:lang w:val="en-US" w:eastAsia="zh-CN"/>
        </w:rPr>
        <w:t>供水</w:t>
      </w:r>
      <w:r>
        <w:rPr>
          <w:kern w:val="0"/>
        </w:rPr>
        <w:t>范围为</w:t>
      </w:r>
      <w:r>
        <w:t>荣丁镇解放街社区（含新华村）、裕坪村、新桥村以及后池村，</w:t>
      </w:r>
      <w:r>
        <w:rPr>
          <w:rFonts w:hint="eastAsia"/>
          <w:lang w:eastAsia="zh-CN"/>
        </w:rPr>
        <w:t>供水人口</w:t>
      </w:r>
      <w:r>
        <w:t>10101人。供水规模为1640m</w:t>
      </w:r>
      <w:r>
        <w:rPr>
          <w:vertAlign w:val="superscript"/>
        </w:rPr>
        <w:t>3</w:t>
      </w:r>
      <w:r>
        <w:t>/d，供水量39.91万m</w:t>
      </w:r>
      <w:r>
        <w:rPr>
          <w:vertAlign w:val="superscript"/>
        </w:rPr>
        <w:t>3</w:t>
      </w:r>
      <w:r>
        <w:t>/年，年取水量41.90万m</w:t>
      </w:r>
      <w:r>
        <w:rPr>
          <w:vertAlign w:val="superscript"/>
        </w:rPr>
        <w:t>3</w:t>
      </w:r>
      <w:r>
        <w:t xml:space="preserve">。 </w:t>
      </w:r>
    </w:p>
    <w:p>
      <w:pPr>
        <w:rPr>
          <w:rFonts w:eastAsia="黑体"/>
        </w:rPr>
      </w:pPr>
      <w:r>
        <w:rPr>
          <w:rFonts w:hint="eastAsia" w:eastAsia="黑体"/>
          <w:sz w:val="28"/>
          <w:szCs w:val="28"/>
          <w:lang w:val="en-US" w:eastAsia="zh-CN"/>
        </w:rPr>
        <w:t>3.4.4.3</w:t>
      </w:r>
      <w:r>
        <w:rPr>
          <w:rFonts w:hint="eastAsia" w:eastAsia="黑体"/>
          <w:sz w:val="28"/>
          <w:szCs w:val="28"/>
          <w:lang w:eastAsia="zh-CN"/>
        </w:rPr>
        <w:t>工程建设内容</w:t>
      </w:r>
    </w:p>
    <w:p>
      <w:pPr>
        <w:ind w:firstLine="540"/>
        <w:rPr>
          <w:color w:val="FF0000"/>
          <w:kern w:val="0"/>
          <w:lang w:bidi="ar"/>
        </w:rPr>
      </w:pPr>
      <w:r>
        <w:t>荣丁片区供水工程</w:t>
      </w:r>
      <w:r>
        <w:rPr>
          <w:rFonts w:hint="eastAsia" w:ascii="Times New Roman" w:hAnsi="Times New Roman" w:eastAsia="宋体" w:cs="Times New Roman"/>
          <w:lang w:val="en-US" w:eastAsia="zh-CN"/>
        </w:rPr>
        <w:t>建设</w:t>
      </w:r>
      <w:r>
        <w:rPr>
          <w:kern w:val="0"/>
          <w:lang w:bidi="ar"/>
        </w:rPr>
        <w:t>内容为新建两座取水低坝、两座沉砂池、</w:t>
      </w:r>
      <w:r>
        <w:rPr>
          <w:rFonts w:hint="eastAsia"/>
          <w:kern w:val="0"/>
          <w:lang w:bidi="ar"/>
        </w:rPr>
        <w:t>两座清水池</w:t>
      </w:r>
      <w:r>
        <w:rPr>
          <w:kern w:val="0"/>
          <w:lang w:bidi="ar"/>
        </w:rPr>
        <w:t>及输配水</w:t>
      </w:r>
      <w:r>
        <w:rPr>
          <w:rFonts w:hint="eastAsia"/>
          <w:kern w:val="0"/>
          <w:lang w:bidi="ar"/>
        </w:rPr>
        <w:t>管网</w:t>
      </w:r>
      <w:r>
        <w:rPr>
          <w:kern w:val="0"/>
          <w:lang w:bidi="ar"/>
        </w:rPr>
        <w:t>。</w:t>
      </w:r>
    </w:p>
    <w:p>
      <w:pPr>
        <w:rPr>
          <w:rFonts w:eastAsia="黑体"/>
          <w:snapToGrid w:val="0"/>
          <w:kern w:val="0"/>
        </w:rPr>
      </w:pPr>
      <w:r>
        <w:rPr>
          <w:rFonts w:eastAsia="黑体"/>
          <w:snapToGrid w:val="0"/>
          <w:kern w:val="0"/>
        </w:rPr>
        <w:t>1</w:t>
      </w:r>
      <w:r>
        <w:rPr>
          <w:rFonts w:hint="eastAsia" w:eastAsia="黑体"/>
          <w:snapToGrid w:val="0"/>
          <w:kern w:val="0"/>
          <w:lang w:eastAsia="zh-CN"/>
        </w:rPr>
        <w:t>、</w:t>
      </w:r>
      <w:r>
        <w:rPr>
          <w:rFonts w:eastAsia="黑体"/>
          <w:snapToGrid w:val="0"/>
          <w:kern w:val="0"/>
        </w:rPr>
        <w:t>取水</w:t>
      </w:r>
      <w:r>
        <w:rPr>
          <w:rFonts w:ascii="Times New Roman" w:hAnsi="Times New Roman" w:eastAsia="黑体" w:cs="Times New Roman"/>
          <w:snapToGrid w:val="0"/>
          <w:kern w:val="0"/>
        </w:rPr>
        <w:t>工程</w:t>
      </w:r>
    </w:p>
    <w:p>
      <w:pPr>
        <w:ind w:firstLine="540"/>
      </w:pPr>
      <w:r>
        <w:t>本方案工程取水点位有两处，均采用底格栏栅坝取水。马槽沟底格栏栅坝，坝长23m，坝宽2.0m，顶</w:t>
      </w:r>
      <w:r>
        <w:rPr>
          <w:rFonts w:hint="eastAsia" w:ascii="Times New Roman" w:hAnsi="Times New Roman" w:eastAsia="宋体" w:cs="Times New Roman"/>
          <w:lang w:val="en-US" w:eastAsia="zh-CN"/>
        </w:rPr>
        <w:t>高程</w:t>
      </w:r>
      <w:r>
        <w:t>985m，沉淀池宽5.2m,长8m。老王坪沟底格栏栅坝，坝长21m，坝宽2.0m，顶高程1040m，沉淀池宽5.2m,长8m。</w:t>
      </w:r>
    </w:p>
    <w:p>
      <w:pPr>
        <w:rPr>
          <w:sz w:val="28"/>
        </w:rPr>
      </w:pPr>
      <w:r>
        <w:rPr>
          <w:rFonts w:eastAsia="黑体"/>
          <w:snapToGrid w:val="0"/>
          <w:kern w:val="0"/>
        </w:rPr>
        <w:t>2</w:t>
      </w:r>
      <w:r>
        <w:rPr>
          <w:rFonts w:hint="eastAsia" w:eastAsia="黑体"/>
          <w:snapToGrid w:val="0"/>
          <w:kern w:val="0"/>
          <w:lang w:eastAsia="zh-CN"/>
        </w:rPr>
        <w:t>、</w:t>
      </w:r>
      <w:r>
        <w:rPr>
          <w:rFonts w:eastAsia="黑体"/>
          <w:snapToGrid w:val="0"/>
          <w:kern w:val="0"/>
        </w:rPr>
        <w:t>输水管道</w:t>
      </w:r>
    </w:p>
    <w:p>
      <w:pPr>
        <w:ind w:firstLine="540"/>
        <w:rPr>
          <w:rFonts w:hint="eastAsia" w:eastAsia="宋体"/>
          <w:lang w:eastAsia="zh-CN"/>
        </w:rPr>
      </w:pPr>
      <w:r>
        <w:t>马槽沟取水点距水厂1762m，输水管道选取1.6MPadn200mmPVC-0管</w:t>
      </w:r>
      <w:r>
        <w:rPr>
          <w:rFonts w:hint="eastAsia"/>
          <w:lang w:eastAsia="zh-CN"/>
        </w:rPr>
        <w:t>。</w:t>
      </w:r>
    </w:p>
    <w:p>
      <w:pPr>
        <w:rPr>
          <w:b/>
        </w:rPr>
      </w:pPr>
      <w:r>
        <w:rPr>
          <w:rFonts w:eastAsia="黑体"/>
          <w:snapToGrid w:val="0"/>
          <w:kern w:val="0"/>
        </w:rPr>
        <w:t>3</w:t>
      </w:r>
      <w:r>
        <w:rPr>
          <w:rFonts w:hint="eastAsia" w:eastAsia="黑体"/>
          <w:snapToGrid w:val="0"/>
          <w:kern w:val="0"/>
          <w:lang w:eastAsia="zh-CN"/>
        </w:rPr>
        <w:t>、</w:t>
      </w:r>
      <w:r>
        <w:rPr>
          <w:rFonts w:ascii="Times New Roman" w:hAnsi="Times New Roman" w:eastAsia="黑体" w:cs="Times New Roman"/>
          <w:snapToGrid w:val="0"/>
          <w:kern w:val="0"/>
        </w:rPr>
        <w:t>清水池</w:t>
      </w:r>
    </w:p>
    <w:p>
      <w:pPr>
        <w:ind w:firstLine="540"/>
      </w:pPr>
      <w:r>
        <w:rPr>
          <w:rFonts w:hint="eastAsia"/>
        </w:rPr>
        <w:t>因荣丁镇现已有水厂，水厂水质处理设施完备，同时考虑枯期两处水源点水量不足，分别在老王坪沟和马槽沟取水点附近修建清水池蓄水调节水量。</w:t>
      </w:r>
      <w:r>
        <w:rPr>
          <w:rFonts w:hint="eastAsia"/>
          <w:lang w:eastAsia="zh-CN"/>
        </w:rPr>
        <w:t>有效容积均为</w:t>
      </w:r>
      <w:r>
        <w:rPr>
          <w:rFonts w:hint="eastAsia"/>
        </w:rPr>
        <w:t>500m</w:t>
      </w:r>
      <w:r>
        <w:rPr>
          <w:rFonts w:hint="eastAsia"/>
          <w:vertAlign w:val="superscript"/>
        </w:rPr>
        <w:t>3</w:t>
      </w:r>
      <w:r>
        <w:t>。</w:t>
      </w:r>
      <w:r>
        <w:rPr>
          <w:rFonts w:hint="eastAsia"/>
        </w:rPr>
        <w:t xml:space="preserve">内径16m </w:t>
      </w:r>
      <w:r>
        <w:rPr>
          <w:rFonts w:hint="eastAsia"/>
          <w:lang w:eastAsia="zh-CN"/>
        </w:rPr>
        <w:t>，</w:t>
      </w:r>
      <w:r>
        <w:rPr>
          <w:rFonts w:hint="eastAsia"/>
        </w:rPr>
        <w:t>池深H=3.0m，有效水深2.7m，有效容积500 m</w:t>
      </w:r>
      <w:r>
        <w:rPr>
          <w:rFonts w:hint="eastAsia"/>
          <w:vertAlign w:val="superscript"/>
        </w:rPr>
        <w:t>3</w:t>
      </w:r>
      <w:r>
        <w:rPr>
          <w:rFonts w:hint="eastAsia"/>
        </w:rPr>
        <w:t>。</w:t>
      </w:r>
      <w:r>
        <w:t>清水池采用钢筋混凝土结构。池内设导流墙，清水池还设有人孔、通气管、溢流管、集水坑、放空管等附属设施。</w:t>
      </w:r>
    </w:p>
    <w:p>
      <w:pPr>
        <w:rPr>
          <w:rFonts w:eastAsia="黑体"/>
        </w:rPr>
      </w:pPr>
      <w:r>
        <w:rPr>
          <w:rFonts w:eastAsia="黑体"/>
          <w:snapToGrid w:val="0"/>
          <w:kern w:val="0"/>
        </w:rPr>
        <w:t>4</w:t>
      </w:r>
      <w:r>
        <w:rPr>
          <w:rFonts w:hint="eastAsia" w:eastAsia="黑体"/>
          <w:snapToGrid w:val="0"/>
          <w:kern w:val="0"/>
          <w:lang w:eastAsia="zh-CN"/>
        </w:rPr>
        <w:t>、</w:t>
      </w:r>
      <w:r>
        <w:rPr>
          <w:rFonts w:eastAsia="黑体"/>
          <w:snapToGrid w:val="0"/>
          <w:kern w:val="0"/>
        </w:rPr>
        <w:t>配水干管</w:t>
      </w:r>
    </w:p>
    <w:p>
      <w:pPr>
        <w:ind w:firstLine="540"/>
      </w:pPr>
      <w:r>
        <w:t>配水管道选用PVC-O管和AGR管，总长度为</w:t>
      </w:r>
      <w:r>
        <w:rPr>
          <w:rFonts w:hint="eastAsia"/>
        </w:rPr>
        <w:t>37123</w:t>
      </w:r>
      <w:r>
        <w:t>m,其中PVC-0管长度为19</w:t>
      </w:r>
      <w:r>
        <w:rPr>
          <w:rFonts w:hint="eastAsia"/>
        </w:rPr>
        <w:t>180</w:t>
      </w:r>
      <w:r>
        <w:t>m，AGR管长度为</w:t>
      </w:r>
      <w:r>
        <w:rPr>
          <w:rFonts w:hint="eastAsia"/>
        </w:rPr>
        <w:t>17943</w:t>
      </w:r>
      <w:r>
        <w:t>m。入户户数为</w:t>
      </w:r>
      <w:r>
        <w:rPr>
          <w:rFonts w:hint="eastAsia"/>
        </w:rPr>
        <w:t>2676</w:t>
      </w:r>
      <w:r>
        <w:t>户，每户考虑设置1个球阀DN20和1个水表DN20。</w:t>
      </w:r>
    </w:p>
    <w:p>
      <w:pPr>
        <w:pStyle w:val="5"/>
        <w:rPr>
          <w:rFonts w:ascii="Times New Roman" w:hAnsi="Times New Roman"/>
          <w:b w:val="0"/>
          <w:sz w:val="24"/>
          <w:szCs w:val="24"/>
        </w:rPr>
      </w:pPr>
      <w:r>
        <w:rPr>
          <w:rFonts w:hint="eastAsia" w:ascii="Times New Roman" w:hAnsi="Times New Roman"/>
          <w:b w:val="0"/>
          <w:color w:val="000000"/>
          <w:sz w:val="30"/>
          <w:szCs w:val="30"/>
          <w:lang w:val="en-US" w:eastAsia="zh-CN"/>
        </w:rPr>
        <w:t>3.4.5民主工业园区</w:t>
      </w:r>
      <w:r>
        <w:rPr>
          <w:rFonts w:ascii="Times New Roman" w:hAnsi="Times New Roman"/>
          <w:b w:val="0"/>
          <w:color w:val="000000"/>
          <w:sz w:val="30"/>
          <w:szCs w:val="30"/>
        </w:rPr>
        <w:t>供水工程</w:t>
      </w:r>
    </w:p>
    <w:p>
      <w:pPr>
        <w:rPr>
          <w:rFonts w:eastAsia="黑体"/>
          <w:sz w:val="28"/>
          <w:szCs w:val="28"/>
        </w:rPr>
      </w:pPr>
      <w:r>
        <w:rPr>
          <w:rFonts w:hint="eastAsia" w:eastAsia="黑体"/>
          <w:sz w:val="28"/>
          <w:szCs w:val="28"/>
          <w:lang w:val="en-US" w:eastAsia="zh-CN"/>
        </w:rPr>
        <w:t>3.</w:t>
      </w:r>
      <w:r>
        <w:rPr>
          <w:rFonts w:eastAsia="黑体"/>
          <w:sz w:val="28"/>
          <w:szCs w:val="28"/>
        </w:rPr>
        <w:t>4</w:t>
      </w:r>
      <w:r>
        <w:rPr>
          <w:rFonts w:hint="eastAsia" w:eastAsia="黑体"/>
          <w:sz w:val="28"/>
          <w:szCs w:val="28"/>
          <w:lang w:val="en-US" w:eastAsia="zh-CN"/>
        </w:rPr>
        <w:t>.5.1</w:t>
      </w:r>
      <w:r>
        <w:rPr>
          <w:rFonts w:hint="eastAsia" w:eastAsia="黑体"/>
          <w:sz w:val="28"/>
          <w:szCs w:val="28"/>
          <w:lang w:eastAsia="zh-CN"/>
        </w:rPr>
        <w:t>工程基本情况</w:t>
      </w:r>
    </w:p>
    <w:p>
      <w:pPr>
        <w:ind w:firstLine="540"/>
        <w:rPr>
          <w:rFonts w:hint="eastAsia" w:ascii="宋体"/>
          <w:color w:val="000000"/>
        </w:rPr>
      </w:pPr>
      <w:r>
        <w:rPr>
          <w:rFonts w:hint="eastAsia"/>
        </w:rPr>
        <w:t>马边民主</w:t>
      </w:r>
      <w:r>
        <w:t>工业区</w:t>
      </w:r>
      <w:r>
        <w:rPr>
          <w:rFonts w:hint="eastAsia"/>
        </w:rPr>
        <w:t>供水工程</w:t>
      </w:r>
      <w:r>
        <w:t>项目</w:t>
      </w:r>
      <w:r>
        <w:rPr>
          <w:rFonts w:hint="eastAsia"/>
        </w:rPr>
        <w:t>供水规模7500m</w:t>
      </w:r>
      <w:r>
        <w:rPr>
          <w:rFonts w:hint="eastAsia"/>
          <w:vertAlign w:val="superscript"/>
        </w:rPr>
        <w:t>3</w:t>
      </w:r>
      <w:r>
        <w:rPr>
          <w:rFonts w:hint="eastAsia"/>
        </w:rPr>
        <w:t>/d</w:t>
      </w:r>
      <w:r>
        <w:rPr>
          <w:rFonts w:hint="eastAsia" w:ascii="宋体"/>
          <w:color w:val="000000"/>
        </w:rPr>
        <w:t>。工程从</w:t>
      </w:r>
      <w:r>
        <w:rPr>
          <w:rFonts w:hint="eastAsia"/>
          <w:color w:val="000000"/>
        </w:rPr>
        <w:t>方家沟及戴家沟取水，通过提水及自流方式输水至水处理厂区，净水处理后供水至工业区用于生活及生产用水。</w:t>
      </w:r>
      <w:r>
        <w:rPr>
          <w:rFonts w:hint="eastAsia"/>
          <w:lang w:eastAsia="zh-CN"/>
        </w:rPr>
        <w:t>可解决园区及周边群众</w:t>
      </w:r>
      <w:r>
        <w:rPr>
          <w:rFonts w:hint="eastAsia"/>
          <w:lang w:val="en-US" w:eastAsia="zh-CN"/>
        </w:rPr>
        <w:t>3000人的生活用水</w:t>
      </w:r>
    </w:p>
    <w:p>
      <w:pPr>
        <w:ind w:firstLine="540"/>
      </w:pPr>
      <w:r>
        <w:rPr>
          <w:rFonts w:hint="eastAsia"/>
          <w:color w:val="000000"/>
        </w:rPr>
        <w:t>取水方案采取方家沟及戴家沟联合供水方式，</w:t>
      </w:r>
      <w:r>
        <w:rPr>
          <w:rFonts w:hint="eastAsia"/>
        </w:rPr>
        <w:t>从戴家沟上游6条支沟、方家沟</w:t>
      </w:r>
      <w:r>
        <w:rPr>
          <w:rFonts w:hint="eastAsia"/>
          <w:lang w:val="en-US" w:eastAsia="zh-CN"/>
        </w:rPr>
        <w:t>5</w:t>
      </w:r>
      <w:r>
        <w:rPr>
          <w:rFonts w:hint="eastAsia"/>
        </w:rPr>
        <w:t>条支沟及方家沟干流筑坝取水。</w:t>
      </w:r>
    </w:p>
    <w:p>
      <w:pPr>
        <w:rPr>
          <w:rFonts w:eastAsia="黑体"/>
        </w:rPr>
      </w:pPr>
      <w:r>
        <w:rPr>
          <w:rFonts w:hint="eastAsia" w:eastAsia="黑体"/>
          <w:sz w:val="28"/>
          <w:szCs w:val="28"/>
          <w:lang w:val="en-US" w:eastAsia="zh-CN"/>
        </w:rPr>
        <w:t>3.4.5.2</w:t>
      </w:r>
      <w:r>
        <w:rPr>
          <w:rFonts w:hint="eastAsia" w:eastAsia="黑体"/>
          <w:sz w:val="28"/>
          <w:szCs w:val="28"/>
          <w:lang w:eastAsia="zh-CN"/>
        </w:rPr>
        <w:t>工程建设内容</w:t>
      </w:r>
    </w:p>
    <w:p>
      <w:pPr>
        <w:ind w:firstLine="540"/>
        <w:rPr>
          <w:rFonts w:hint="eastAsia" w:eastAsia="华文中宋"/>
          <w:b/>
          <w:sz w:val="28"/>
          <w:szCs w:val="28"/>
        </w:rPr>
      </w:pPr>
      <w:r>
        <w:rPr>
          <w:rFonts w:hint="eastAsia"/>
        </w:rPr>
        <w:t>本工程主要构（建）筑物由11座取水坝、11座沉砂池（渠）、2座提水泵站、1座调节水池（200m</w:t>
      </w:r>
      <w:r>
        <w:rPr>
          <w:rFonts w:hint="eastAsia"/>
          <w:vertAlign w:val="superscript"/>
        </w:rPr>
        <w:t>3</w:t>
      </w:r>
      <w:r>
        <w:rPr>
          <w:rFonts w:hint="eastAsia"/>
        </w:rPr>
        <w:t>）、1座清水池（200m</w:t>
      </w:r>
      <w:r>
        <w:rPr>
          <w:rFonts w:hint="eastAsia"/>
          <w:vertAlign w:val="superscript"/>
        </w:rPr>
        <w:t>3</w:t>
      </w:r>
      <w:r>
        <w:rPr>
          <w:rFonts w:hint="eastAsia"/>
        </w:rPr>
        <w:t>）、1座蓄水池（2000m</w:t>
      </w:r>
      <w:r>
        <w:rPr>
          <w:rFonts w:hint="eastAsia"/>
          <w:vertAlign w:val="superscript"/>
        </w:rPr>
        <w:t>3</w:t>
      </w:r>
      <w:r>
        <w:rPr>
          <w:rFonts w:hint="eastAsia"/>
        </w:rPr>
        <w:t>）、1套超滤净水设备、1座反应沉淀池、1座送水泵房、1座管理房及10.5km输水管道组成。</w:t>
      </w:r>
    </w:p>
    <w:p>
      <w:pPr>
        <w:rPr>
          <w:rFonts w:eastAsia="黑体"/>
          <w:snapToGrid w:val="0"/>
          <w:kern w:val="0"/>
        </w:rPr>
      </w:pPr>
      <w:r>
        <w:rPr>
          <w:rFonts w:eastAsia="黑体"/>
          <w:snapToGrid w:val="0"/>
          <w:kern w:val="0"/>
        </w:rPr>
        <w:t>1</w:t>
      </w:r>
      <w:r>
        <w:rPr>
          <w:rFonts w:hint="eastAsia" w:eastAsia="黑体"/>
          <w:snapToGrid w:val="0"/>
          <w:kern w:val="0"/>
          <w:lang w:eastAsia="zh-CN"/>
        </w:rPr>
        <w:t>、</w:t>
      </w:r>
      <w:r>
        <w:rPr>
          <w:rFonts w:eastAsia="黑体"/>
          <w:snapToGrid w:val="0"/>
          <w:kern w:val="0"/>
        </w:rPr>
        <w:t>取水</w:t>
      </w:r>
      <w:r>
        <w:rPr>
          <w:rFonts w:ascii="Times New Roman" w:hAnsi="Times New Roman" w:eastAsia="黑体" w:cs="Times New Roman"/>
          <w:snapToGrid w:val="0"/>
          <w:kern w:val="0"/>
        </w:rPr>
        <w:t>工程</w:t>
      </w:r>
    </w:p>
    <w:p>
      <w:pPr>
        <w:ind w:firstLine="540"/>
        <w:rPr>
          <w:color w:val="000000"/>
        </w:rPr>
      </w:pPr>
      <w:r>
        <w:rPr>
          <w:color w:val="000000"/>
        </w:rPr>
        <w:t>取水工程主要建筑物由取</w:t>
      </w:r>
      <w:r>
        <w:rPr>
          <w:rFonts w:hint="eastAsia" w:ascii="Times New Roman" w:hAnsi="Times New Roman" w:eastAsia="宋体" w:cs="Times New Roman"/>
          <w:lang w:val="en-US" w:eastAsia="zh-CN"/>
        </w:rPr>
        <w:t>水坝</w:t>
      </w:r>
      <w:r>
        <w:rPr>
          <w:color w:val="000000"/>
        </w:rPr>
        <w:t>和沉砂</w:t>
      </w:r>
      <w:r>
        <w:rPr>
          <w:rFonts w:hint="eastAsia"/>
          <w:color w:val="000000"/>
        </w:rPr>
        <w:t>池</w:t>
      </w:r>
      <w:r>
        <w:rPr>
          <w:color w:val="000000"/>
        </w:rPr>
        <w:t>组成。根据山区河流坡降大、砂石多的特点，本次取水坝采用底栏栅坝型式取水，水流经过坝体时通过栅条进入取水廊道，廊道水位到达引水管时水流通过引水管流至沉砂</w:t>
      </w:r>
      <w:r>
        <w:rPr>
          <w:rFonts w:hint="eastAsia"/>
          <w:color w:val="000000"/>
        </w:rPr>
        <w:t>池</w:t>
      </w:r>
      <w:r>
        <w:rPr>
          <w:color w:val="000000"/>
        </w:rPr>
        <w:t>，沉砂</w:t>
      </w:r>
      <w:r>
        <w:rPr>
          <w:rFonts w:hint="eastAsia"/>
          <w:color w:val="000000"/>
        </w:rPr>
        <w:t>池</w:t>
      </w:r>
      <w:r>
        <w:rPr>
          <w:color w:val="000000"/>
        </w:rPr>
        <w:t>沉砂后进入末端清水池，与上游坝体来水汇合后进入输水管。</w:t>
      </w:r>
    </w:p>
    <w:p>
      <w:pPr>
        <w:ind w:firstLine="540"/>
        <w:rPr>
          <w:color w:val="000000"/>
        </w:rPr>
      </w:pPr>
      <w:r>
        <w:rPr>
          <w:rFonts w:hint="eastAsia"/>
          <w:color w:val="000000"/>
        </w:rPr>
        <w:t>戴家沟</w:t>
      </w:r>
      <w:r>
        <w:rPr>
          <w:color w:val="000000"/>
        </w:rPr>
        <w:t>取水从6#沟筑底栏栅坝取水后通过沉砂</w:t>
      </w:r>
      <w:r>
        <w:rPr>
          <w:rFonts w:hint="eastAsia"/>
          <w:color w:val="000000"/>
        </w:rPr>
        <w:t>池</w:t>
      </w:r>
      <w:r>
        <w:rPr>
          <w:color w:val="000000"/>
        </w:rPr>
        <w:t>沉沙后进入输水管道，输水管沿等高线缓慢降至5#</w:t>
      </w:r>
      <w:r>
        <w:rPr>
          <w:rFonts w:hint="eastAsia" w:ascii="宋体"/>
          <w:color w:val="000000"/>
        </w:rPr>
        <w:t>溪沟</w:t>
      </w:r>
      <w:r>
        <w:rPr>
          <w:color w:val="000000"/>
        </w:rPr>
        <w:t>，汇入5#取水坝后沉砂池末端的</w:t>
      </w:r>
      <w:r>
        <w:rPr>
          <w:rFonts w:hint="eastAsia"/>
          <w:color w:val="000000"/>
        </w:rPr>
        <w:t>清水区</w:t>
      </w:r>
      <w:r>
        <w:rPr>
          <w:color w:val="000000"/>
        </w:rPr>
        <w:t>，与5#溪沟的引水一并汇入输水管道，再依次汇入4#、3#、2#</w:t>
      </w:r>
      <w:r>
        <w:rPr>
          <w:rFonts w:hint="eastAsia"/>
          <w:color w:val="000000"/>
        </w:rPr>
        <w:t>清水区</w:t>
      </w:r>
      <w:r>
        <w:rPr>
          <w:color w:val="000000"/>
        </w:rPr>
        <w:t>后通过输水管引水至</w:t>
      </w:r>
      <w:r>
        <w:rPr>
          <w:rFonts w:hint="eastAsia"/>
          <w:color w:val="000000"/>
        </w:rPr>
        <w:t>厂区</w:t>
      </w:r>
      <w:r>
        <w:rPr>
          <w:color w:val="000000"/>
        </w:rPr>
        <w:t>蓄水池。1#溪沟</w:t>
      </w:r>
      <w:r>
        <w:rPr>
          <w:rFonts w:hint="eastAsia" w:ascii="宋体"/>
          <w:color w:val="000000"/>
        </w:rPr>
        <w:t>位于</w:t>
      </w:r>
      <w:r>
        <w:rPr>
          <w:rFonts w:hint="eastAsia"/>
          <w:color w:val="000000"/>
        </w:rPr>
        <w:t>厂区</w:t>
      </w:r>
      <w:r>
        <w:rPr>
          <w:color w:val="000000"/>
        </w:rPr>
        <w:t>东北部，采用独立的输水管道进行输水。</w:t>
      </w:r>
    </w:p>
    <w:p>
      <w:pPr>
        <w:ind w:firstLine="540"/>
        <w:rPr>
          <w:color w:val="000000"/>
        </w:rPr>
      </w:pPr>
      <w:r>
        <w:rPr>
          <w:rFonts w:hint="eastAsia"/>
        </w:rPr>
        <w:t>方家沟从10#及11#坝自流引水至9#坝，从8#坝自流引水至7#坝；在9#坝沉砂池后的清水池</w:t>
      </w:r>
      <w:r>
        <w:rPr>
          <w:rFonts w:hint="eastAsia" w:ascii="Times New Roman" w:hAnsi="Times New Roman" w:eastAsia="宋体" w:cs="Times New Roman"/>
          <w:lang w:val="en-US" w:eastAsia="zh-CN"/>
        </w:rPr>
        <w:t>提水</w:t>
      </w:r>
      <w:r>
        <w:rPr>
          <w:rFonts w:hint="eastAsia"/>
        </w:rPr>
        <w:t>加压至7#坝清水池，再通过提水泵加压至分水岭上顶上的调节水池，通过调节水池自流引水至本项目厂区蓄水池。</w:t>
      </w:r>
    </w:p>
    <w:p>
      <w:pPr>
        <w:rPr>
          <w:sz w:val="28"/>
        </w:rPr>
      </w:pPr>
      <w:r>
        <w:rPr>
          <w:rFonts w:eastAsia="黑体"/>
          <w:snapToGrid w:val="0"/>
          <w:kern w:val="0"/>
        </w:rPr>
        <w:t>2</w:t>
      </w:r>
      <w:r>
        <w:rPr>
          <w:rFonts w:hint="eastAsia" w:eastAsia="黑体"/>
          <w:snapToGrid w:val="0"/>
          <w:kern w:val="0"/>
          <w:lang w:eastAsia="zh-CN"/>
        </w:rPr>
        <w:t>、</w:t>
      </w:r>
      <w:r>
        <w:rPr>
          <w:rFonts w:ascii="Times New Roman" w:hAnsi="Times New Roman" w:eastAsia="黑体" w:cs="Times New Roman"/>
          <w:snapToGrid w:val="0"/>
          <w:kern w:val="0"/>
        </w:rPr>
        <w:t>输水管</w:t>
      </w:r>
      <w:r>
        <w:rPr>
          <w:rFonts w:eastAsia="黑体"/>
          <w:snapToGrid w:val="0"/>
          <w:kern w:val="0"/>
        </w:rPr>
        <w:t>道</w:t>
      </w:r>
    </w:p>
    <w:p>
      <w:pPr>
        <w:ind w:firstLine="540"/>
        <w:rPr>
          <w:rFonts w:hint="eastAsia" w:eastAsia="宋体"/>
          <w:lang w:val="en-US" w:eastAsia="zh-CN"/>
        </w:rPr>
      </w:pPr>
      <w:r>
        <w:t>输水管道</w:t>
      </w:r>
      <w:r>
        <w:rPr>
          <w:rFonts w:hint="eastAsia"/>
        </w:rPr>
        <w:t>除1#坝至水处理厂区因地形稍简单采用PVC</w:t>
      </w:r>
      <w:r>
        <w:t>-</w:t>
      </w:r>
      <w:r>
        <w:rPr>
          <w:rFonts w:hint="eastAsia"/>
        </w:rPr>
        <w:t>O外，其余管道均采用内外涂塑钢管</w:t>
      </w:r>
      <w:r>
        <w:t>进行输水</w:t>
      </w:r>
      <w:r>
        <w:rPr>
          <w:rFonts w:hint="eastAsia"/>
        </w:rPr>
        <w:t>。</w:t>
      </w:r>
      <w:r>
        <w:rPr>
          <w:rFonts w:hint="eastAsia"/>
          <w:lang w:eastAsia="zh-CN"/>
        </w:rPr>
        <w:t>管道总长</w:t>
      </w:r>
      <w:r>
        <w:rPr>
          <w:rFonts w:hint="eastAsia"/>
          <w:lang w:val="en-US" w:eastAsia="zh-CN"/>
        </w:rPr>
        <w:t>10.54km，其中</w:t>
      </w:r>
      <w:r>
        <w:rPr>
          <w:rFonts w:hint="eastAsia"/>
        </w:rPr>
        <w:t>内外涂塑复合钢管</w:t>
      </w:r>
      <w:r>
        <w:rPr>
          <w:rFonts w:hint="eastAsia"/>
          <w:lang w:val="en-US" w:eastAsia="zh-CN"/>
        </w:rPr>
        <w:t>9.94m，</w:t>
      </w:r>
      <w:r>
        <w:rPr>
          <w:rFonts w:hint="eastAsia"/>
        </w:rPr>
        <w:t>PVC</w:t>
      </w:r>
      <w:r>
        <w:t>-</w:t>
      </w:r>
      <w:r>
        <w:rPr>
          <w:rFonts w:hint="eastAsia"/>
        </w:rPr>
        <w:t>O</w:t>
      </w:r>
      <w:r>
        <w:rPr>
          <w:rFonts w:hint="eastAsia"/>
          <w:lang w:eastAsia="zh-CN"/>
        </w:rPr>
        <w:t>管</w:t>
      </w:r>
      <w:r>
        <w:rPr>
          <w:rFonts w:hint="eastAsia"/>
          <w:lang w:val="en-US" w:eastAsia="zh-CN"/>
        </w:rPr>
        <w:t>0.6km。</w:t>
      </w:r>
    </w:p>
    <w:p>
      <w:pPr>
        <w:rPr>
          <w:b/>
        </w:rPr>
      </w:pPr>
      <w:r>
        <w:rPr>
          <w:rFonts w:eastAsia="黑体"/>
          <w:snapToGrid w:val="0"/>
          <w:kern w:val="0"/>
        </w:rPr>
        <w:t>3</w:t>
      </w:r>
      <w:r>
        <w:rPr>
          <w:rFonts w:hint="eastAsia" w:eastAsia="黑体"/>
          <w:snapToGrid w:val="0"/>
          <w:kern w:val="0"/>
          <w:lang w:eastAsia="zh-CN"/>
        </w:rPr>
        <w:t>、</w:t>
      </w:r>
      <w:r>
        <w:rPr>
          <w:rFonts w:hint="eastAsia" w:eastAsia="黑体"/>
          <w:snapToGrid w:val="0"/>
          <w:kern w:val="0"/>
          <w:lang w:val="en-US" w:eastAsia="zh-CN"/>
        </w:rPr>
        <w:t>调节</w:t>
      </w:r>
      <w:r>
        <w:rPr>
          <w:rFonts w:ascii="Times New Roman" w:hAnsi="Times New Roman" w:eastAsia="黑体" w:cs="Times New Roman"/>
          <w:snapToGrid w:val="0"/>
          <w:kern w:val="0"/>
        </w:rPr>
        <w:t>水池</w:t>
      </w:r>
    </w:p>
    <w:p>
      <w:pPr>
        <w:ind w:firstLine="540"/>
        <w:rPr>
          <w:rFonts w:hint="eastAsia"/>
        </w:rPr>
      </w:pPr>
      <w:r>
        <w:rPr>
          <w:rFonts w:hint="eastAsia"/>
        </w:rPr>
        <w:t>因方家沟与本项目厂区及工业区之间有一道分水岭，为节省运行成本，拟在分水岭处修建一座调节</w:t>
      </w:r>
      <w:r>
        <w:rPr>
          <w:rFonts w:hint="eastAsia" w:ascii="Times New Roman" w:hAnsi="Times New Roman" w:eastAsia="宋体" w:cs="Times New Roman"/>
          <w:lang w:val="en-US" w:eastAsia="zh-CN"/>
        </w:rPr>
        <w:t>水池</w:t>
      </w:r>
      <w:r>
        <w:rPr>
          <w:rFonts w:hint="eastAsia"/>
        </w:rPr>
        <w:t>对方家沟加压的水进行暂存及调节，调节后通过自流输水至净水处理厂区。调节水池容积按</w:t>
      </w:r>
      <w:r>
        <w:t>2</w:t>
      </w:r>
      <w:r>
        <w:rPr>
          <w:rFonts w:hint="eastAsia"/>
        </w:rPr>
        <w:t>00m</w:t>
      </w:r>
      <w:r>
        <w:rPr>
          <w:rFonts w:hint="eastAsia"/>
          <w:vertAlign w:val="superscript"/>
        </w:rPr>
        <w:t>3</w:t>
      </w:r>
      <w:r>
        <w:rPr>
          <w:rFonts w:hint="eastAsia"/>
        </w:rPr>
        <w:t>进行设计，采用圆形断面，内径9.6</w:t>
      </w:r>
      <w:r>
        <w:t>m</w:t>
      </w:r>
      <w:r>
        <w:rPr>
          <w:rFonts w:hint="eastAsia"/>
        </w:rPr>
        <w:t>，池深H=3.1</w:t>
      </w:r>
      <w:r>
        <w:t>m</w:t>
      </w:r>
      <w:r>
        <w:rPr>
          <w:rFonts w:hint="eastAsia"/>
        </w:rPr>
        <w:t>，有效水深2.8</w:t>
      </w:r>
      <w:r>
        <w:t>m</w:t>
      </w:r>
      <w:r>
        <w:rPr>
          <w:rFonts w:hint="eastAsia"/>
        </w:rPr>
        <w:t>，有效容积203</w:t>
      </w:r>
      <w:r>
        <w:t xml:space="preserve"> m</w:t>
      </w:r>
      <w:r>
        <w:rPr>
          <w:rFonts w:hint="eastAsia"/>
          <w:vertAlign w:val="superscript"/>
        </w:rPr>
        <w:t>3</w:t>
      </w:r>
      <w:r>
        <w:rPr>
          <w:rFonts w:hint="eastAsia"/>
        </w:rPr>
        <w:t>。调节水池采用钢筋混凝土结构。池内设人孔、通气管、溢流管、集水坑、放空管等附属设施。</w:t>
      </w:r>
    </w:p>
    <w:p>
      <w:pPr>
        <w:rPr>
          <w:rFonts w:hint="default" w:eastAsia="黑体"/>
          <w:lang w:val="en-US" w:eastAsia="zh-CN"/>
        </w:rPr>
      </w:pPr>
      <w:r>
        <w:rPr>
          <w:rFonts w:eastAsia="黑体"/>
          <w:snapToGrid w:val="0"/>
          <w:kern w:val="0"/>
        </w:rPr>
        <w:t>4</w:t>
      </w:r>
      <w:r>
        <w:rPr>
          <w:rFonts w:hint="eastAsia" w:eastAsia="黑体"/>
          <w:snapToGrid w:val="0"/>
          <w:kern w:val="0"/>
          <w:lang w:eastAsia="zh-CN"/>
        </w:rPr>
        <w:t>、</w:t>
      </w:r>
      <w:r>
        <w:rPr>
          <w:rFonts w:hint="eastAsia" w:eastAsia="黑体"/>
          <w:snapToGrid w:val="0"/>
          <w:kern w:val="0"/>
          <w:lang w:val="en-US" w:eastAsia="zh-CN"/>
        </w:rPr>
        <w:t>净水</w:t>
      </w:r>
      <w:r>
        <w:rPr>
          <w:rFonts w:hint="eastAsia" w:ascii="Times New Roman" w:hAnsi="Times New Roman" w:eastAsia="黑体" w:cs="Times New Roman"/>
          <w:snapToGrid w:val="0"/>
          <w:kern w:val="0"/>
          <w:lang w:val="en-US" w:eastAsia="zh-CN"/>
        </w:rPr>
        <w:t>处理厂</w:t>
      </w:r>
    </w:p>
    <w:p>
      <w:pPr>
        <w:ind w:firstLine="540"/>
      </w:pPr>
      <w:r>
        <w:rPr>
          <w:rFonts w:hint="eastAsia"/>
        </w:rPr>
        <w:t>因生活用水及工业生产用水水质要求不同，本工程净水处理分生活用水净化处理及工业用水净水处理。针对该水质较好的情况，生活用水净水处理</w:t>
      </w:r>
      <w:r>
        <w:t>拟采用超滤净水系统进行</w:t>
      </w:r>
      <w:r>
        <w:rPr>
          <w:rFonts w:hint="eastAsia"/>
        </w:rPr>
        <w:t>水质</w:t>
      </w:r>
      <w:r>
        <w:t>净化处理，</w:t>
      </w:r>
      <w:r>
        <w:rPr>
          <w:rFonts w:hint="eastAsia"/>
        </w:rPr>
        <w:t>处理后的水经过消毒后进入清水池。工业用水采用絮凝沉淀处理工艺，处理后的水进入蓄水池。</w:t>
      </w:r>
    </w:p>
    <w:p>
      <w:pPr>
        <w:ind w:firstLine="484" w:firstLineChars="200"/>
        <w:rPr>
          <w:rFonts w:hint="default" w:eastAsia="宋体"/>
          <w:b/>
          <w:lang w:val="en-US" w:eastAsia="zh-CN"/>
        </w:rPr>
      </w:pPr>
      <w:r>
        <w:rPr>
          <w:rFonts w:hint="eastAsia"/>
          <w:b/>
          <w:lang w:val="en-US" w:eastAsia="zh-CN"/>
        </w:rPr>
        <w:t>反应沉淀池</w:t>
      </w:r>
    </w:p>
    <w:p>
      <w:pPr>
        <w:ind w:firstLine="540"/>
        <w:rPr>
          <w:rFonts w:hint="eastAsia"/>
        </w:rPr>
      </w:pPr>
      <w:r>
        <w:rPr>
          <w:rFonts w:hint="eastAsia"/>
        </w:rPr>
        <w:t>反应设计采用网格絮凝池，沉淀采用异向流斜管沉淀池</w:t>
      </w:r>
      <w:r>
        <w:rPr>
          <w:rFonts w:hint="eastAsia" w:ascii="宋体" w:hAnsi="宋体"/>
        </w:rPr>
        <w:t>。</w:t>
      </w:r>
      <w:r>
        <w:rPr>
          <w:rFonts w:hint="eastAsia"/>
        </w:rPr>
        <w:t>网格絮凝池及斜管沉淀池合建。平面尺寸为L×B=13.5×9.6</w:t>
      </w:r>
      <w:r>
        <w:t>m</w:t>
      </w:r>
      <w:r>
        <w:rPr>
          <w:rFonts w:hint="eastAsia"/>
        </w:rPr>
        <w:t>，总高5.47</w:t>
      </w:r>
      <w:r>
        <w:t>m</w:t>
      </w:r>
      <w:r>
        <w:rPr>
          <w:rFonts w:hint="eastAsia"/>
        </w:rPr>
        <w:t>，钢筋混凝土结构。排泥方式采用排泥斗排泥，斗底采用排泥管排泥至池外排水渠，</w:t>
      </w:r>
      <w:r>
        <w:t>排泥管</w:t>
      </w:r>
      <w:r>
        <w:rPr>
          <w:rFonts w:hint="eastAsia"/>
        </w:rPr>
        <w:t>末端</w:t>
      </w:r>
      <w:r>
        <w:t>安装排泥</w:t>
      </w:r>
      <w:r>
        <w:rPr>
          <w:rFonts w:hint="eastAsia"/>
        </w:rPr>
        <w:t>快开闸阀</w:t>
      </w:r>
      <w:r>
        <w:t>。</w:t>
      </w:r>
    </w:p>
    <w:p>
      <w:pPr>
        <w:ind w:firstLine="484" w:firstLineChars="200"/>
        <w:rPr>
          <w:rFonts w:hint="eastAsia"/>
          <w:b/>
        </w:rPr>
      </w:pPr>
      <w:r>
        <w:rPr>
          <w:rFonts w:hint="eastAsia"/>
          <w:b/>
        </w:rPr>
        <w:t>清水池</w:t>
      </w:r>
    </w:p>
    <w:p>
      <w:pPr>
        <w:ind w:firstLine="540"/>
        <w:rPr>
          <w:rFonts w:hint="eastAsia"/>
        </w:rPr>
      </w:pPr>
      <w:r>
        <w:rPr>
          <w:rFonts w:hint="eastAsia"/>
        </w:rPr>
        <w:t>平面尺寸：L×B=12.3×6.8</w:t>
      </w:r>
      <w:r>
        <w:t>m</w:t>
      </w:r>
      <w:r>
        <w:rPr>
          <w:rFonts w:hint="eastAsia"/>
        </w:rPr>
        <w:t>，池深H=2.7</w:t>
      </w:r>
      <w:r>
        <w:t>m</w:t>
      </w:r>
      <w:r>
        <w:rPr>
          <w:rFonts w:hint="eastAsia"/>
        </w:rPr>
        <w:t>，有效水深2.3</w:t>
      </w:r>
      <w:r>
        <w:t>m</w:t>
      </w:r>
      <w:r>
        <w:rPr>
          <w:rFonts w:hint="eastAsia"/>
        </w:rPr>
        <w:t>，有效容积192</w:t>
      </w:r>
      <w:r>
        <w:t xml:space="preserve"> m</w:t>
      </w:r>
      <w:r>
        <w:rPr>
          <w:rFonts w:hint="eastAsia"/>
          <w:vertAlign w:val="superscript"/>
        </w:rPr>
        <w:t>3</w:t>
      </w:r>
      <w:r>
        <w:rPr>
          <w:rFonts w:hint="eastAsia"/>
        </w:rPr>
        <w:t>。清水池采用钢筋混凝土</w:t>
      </w:r>
      <w:r>
        <w:rPr>
          <w:rFonts w:hint="eastAsia" w:ascii="Times New Roman" w:hAnsi="Times New Roman" w:eastAsia="宋体" w:cs="Times New Roman"/>
          <w:lang w:val="en-US" w:eastAsia="zh-CN"/>
        </w:rPr>
        <w:t>结构</w:t>
      </w:r>
      <w:r>
        <w:rPr>
          <w:rFonts w:hint="eastAsia"/>
        </w:rPr>
        <w:t>。池内设导流墙，清水池还设有人孔、通气管、溢流管、集水坑、放空管等附属设施。</w:t>
      </w:r>
    </w:p>
    <w:p>
      <w:pPr>
        <w:ind w:firstLine="484" w:firstLineChars="200"/>
        <w:rPr>
          <w:rFonts w:hint="eastAsia"/>
          <w:b/>
        </w:rPr>
      </w:pPr>
      <w:r>
        <w:rPr>
          <w:rFonts w:hint="eastAsia"/>
          <w:b/>
        </w:rPr>
        <w:t>蓄水池</w:t>
      </w:r>
    </w:p>
    <w:p>
      <w:pPr>
        <w:ind w:firstLine="540"/>
        <w:rPr>
          <w:rFonts w:hint="eastAsia"/>
          <w:sz w:val="24"/>
          <w:szCs w:val="24"/>
        </w:rPr>
      </w:pPr>
      <w:r>
        <w:rPr>
          <w:rFonts w:hint="eastAsia"/>
          <w:sz w:val="24"/>
          <w:szCs w:val="24"/>
        </w:rPr>
        <w:t>平面尺寸：L×B=25×25</w:t>
      </w:r>
      <w:r>
        <w:rPr>
          <w:sz w:val="24"/>
          <w:szCs w:val="24"/>
        </w:rPr>
        <w:t>m</w:t>
      </w:r>
      <w:r>
        <w:rPr>
          <w:rFonts w:hint="eastAsia"/>
          <w:sz w:val="24"/>
          <w:szCs w:val="24"/>
        </w:rPr>
        <w:t>，池深H=3.5</w:t>
      </w:r>
      <w:r>
        <w:rPr>
          <w:sz w:val="24"/>
          <w:szCs w:val="24"/>
        </w:rPr>
        <w:t>m</w:t>
      </w:r>
      <w:r>
        <w:rPr>
          <w:rFonts w:hint="eastAsia"/>
          <w:sz w:val="24"/>
          <w:szCs w:val="24"/>
        </w:rPr>
        <w:t>，有效水深3.2</w:t>
      </w:r>
      <w:r>
        <w:rPr>
          <w:sz w:val="24"/>
          <w:szCs w:val="24"/>
        </w:rPr>
        <w:t>m</w:t>
      </w:r>
      <w:r>
        <w:rPr>
          <w:rFonts w:hint="eastAsia"/>
          <w:sz w:val="24"/>
          <w:szCs w:val="24"/>
        </w:rPr>
        <w:t>，有效容积2000</w:t>
      </w:r>
      <w:r>
        <w:rPr>
          <w:sz w:val="24"/>
          <w:szCs w:val="24"/>
        </w:rPr>
        <w:t xml:space="preserve"> m</w:t>
      </w:r>
      <w:r>
        <w:rPr>
          <w:rFonts w:hint="eastAsia"/>
          <w:sz w:val="24"/>
          <w:szCs w:val="24"/>
          <w:vertAlign w:val="superscript"/>
        </w:rPr>
        <w:t>3</w:t>
      </w:r>
      <w:r>
        <w:rPr>
          <w:rFonts w:hint="eastAsia"/>
          <w:sz w:val="24"/>
          <w:szCs w:val="24"/>
        </w:rPr>
        <w:t>。蓄水池采用钢筋混凝土结构。池内设导流墙，清水池还设有人孔、通气管、溢流管、集水坑、放空管等附属设施。</w:t>
      </w:r>
    </w:p>
    <w:p>
      <w:pPr>
        <w:ind w:firstLine="484" w:firstLineChars="200"/>
        <w:rPr>
          <w:rFonts w:hint="eastAsia"/>
          <w:b/>
        </w:rPr>
      </w:pPr>
      <w:r>
        <w:rPr>
          <w:rFonts w:hint="eastAsia"/>
          <w:b/>
        </w:rPr>
        <w:t>送水泵房</w:t>
      </w:r>
    </w:p>
    <w:p>
      <w:pPr>
        <w:ind w:firstLine="540"/>
        <w:rPr>
          <w:rFonts w:hint="eastAsia"/>
          <w:sz w:val="24"/>
          <w:szCs w:val="24"/>
        </w:rPr>
      </w:pPr>
      <w:r>
        <w:rPr>
          <w:rFonts w:hint="eastAsia"/>
        </w:rPr>
        <w:t>因工业用水区域部分位于厂区高程以上，部分位于厂区高程之下，因此，工业用水采用自流及加压送水两部分，加压部分需修建送水泵房进行加压处理。根据工业区工业用水需求，需</w:t>
      </w:r>
      <w:r>
        <w:rPr>
          <w:rFonts w:hint="eastAsia" w:ascii="Times New Roman" w:hAnsi="Times New Roman" w:eastAsia="宋体" w:cs="Times New Roman"/>
          <w:lang w:val="en-US" w:eastAsia="zh-CN"/>
        </w:rPr>
        <w:t>加压</w:t>
      </w:r>
      <w:r>
        <w:rPr>
          <w:rFonts w:hint="eastAsia"/>
        </w:rPr>
        <w:t>处理的流量为5</w:t>
      </w:r>
      <w:r>
        <w:t>500m3/d</w:t>
      </w:r>
      <w:r>
        <w:rPr>
          <w:rFonts w:hint="eastAsia"/>
        </w:rPr>
        <w:t>，即2</w:t>
      </w:r>
      <w:r>
        <w:t>30 m3/h</w:t>
      </w:r>
      <w:r>
        <w:rPr>
          <w:rFonts w:hint="eastAsia"/>
          <w:lang w:eastAsia="zh-CN"/>
        </w:rPr>
        <w:t>，</w:t>
      </w:r>
      <w:r>
        <w:rPr>
          <w:rFonts w:hint="eastAsia"/>
          <w:lang w:val="en-US" w:eastAsia="zh-CN"/>
        </w:rPr>
        <w:t>扬程</w:t>
      </w:r>
      <w:r>
        <w:t>167</w:t>
      </w:r>
      <w:r>
        <w:rPr>
          <w:rFonts w:hint="eastAsia"/>
        </w:rPr>
        <w:t>m。</w:t>
      </w:r>
      <w:r>
        <w:rPr>
          <w:rFonts w:hint="eastAsia"/>
          <w:sz w:val="24"/>
          <w:szCs w:val="24"/>
        </w:rPr>
        <w:t>为方便取水，送水</w:t>
      </w:r>
      <w:r>
        <w:rPr>
          <w:sz w:val="24"/>
          <w:szCs w:val="24"/>
        </w:rPr>
        <w:t>泵房布置于</w:t>
      </w:r>
      <w:r>
        <w:rPr>
          <w:rFonts w:hint="eastAsia"/>
          <w:sz w:val="24"/>
          <w:szCs w:val="24"/>
        </w:rPr>
        <w:t>蓄水池出水侧，内设悬挂式电动起重机、水泵控制柜、配电柜、压力表等设备，房屋</w:t>
      </w:r>
      <w:r>
        <w:rPr>
          <w:sz w:val="24"/>
          <w:szCs w:val="24"/>
        </w:rPr>
        <w:t>采用M7.5浆砌砖砌筑，面积</w:t>
      </w:r>
      <w:r>
        <w:rPr>
          <w:rFonts w:hint="eastAsia"/>
          <w:sz w:val="24"/>
          <w:szCs w:val="24"/>
        </w:rPr>
        <w:t>50</w:t>
      </w:r>
      <w:r>
        <w:rPr>
          <w:sz w:val="24"/>
          <w:szCs w:val="24"/>
        </w:rPr>
        <w:t>m</w:t>
      </w:r>
      <w:r>
        <w:rPr>
          <w:sz w:val="24"/>
          <w:szCs w:val="24"/>
          <w:vertAlign w:val="superscript"/>
        </w:rPr>
        <w:t>2</w:t>
      </w:r>
      <w:r>
        <w:rPr>
          <w:sz w:val="24"/>
          <w:szCs w:val="24"/>
        </w:rPr>
        <w:t>。</w:t>
      </w:r>
    </w:p>
    <w:p>
      <w:pPr>
        <w:pStyle w:val="5"/>
        <w:rPr>
          <w:rFonts w:ascii="Times New Roman" w:hAnsi="Times New Roman"/>
          <w:b w:val="0"/>
          <w:sz w:val="24"/>
          <w:szCs w:val="24"/>
        </w:rPr>
      </w:pPr>
      <w:r>
        <w:rPr>
          <w:rFonts w:hint="eastAsia" w:ascii="Times New Roman" w:hAnsi="Times New Roman"/>
          <w:b w:val="0"/>
          <w:color w:val="000000"/>
          <w:sz w:val="30"/>
          <w:szCs w:val="30"/>
          <w:lang w:val="en-US" w:eastAsia="zh-CN"/>
        </w:rPr>
        <w:t>3.4.6苏坝</w:t>
      </w:r>
      <w:r>
        <w:rPr>
          <w:rFonts w:ascii="Times New Roman" w:hAnsi="Times New Roman"/>
          <w:b w:val="0"/>
          <w:color w:val="000000"/>
          <w:sz w:val="30"/>
          <w:szCs w:val="30"/>
        </w:rPr>
        <w:t>片区供水工程</w:t>
      </w:r>
    </w:p>
    <w:p>
      <w:pPr>
        <w:rPr>
          <w:rFonts w:eastAsia="黑体"/>
          <w:sz w:val="28"/>
          <w:szCs w:val="28"/>
        </w:rPr>
      </w:pPr>
      <w:r>
        <w:rPr>
          <w:rFonts w:hint="eastAsia" w:eastAsia="黑体"/>
          <w:sz w:val="28"/>
          <w:szCs w:val="28"/>
          <w:lang w:val="en-US" w:eastAsia="zh-CN"/>
        </w:rPr>
        <w:t>3.</w:t>
      </w:r>
      <w:r>
        <w:rPr>
          <w:rFonts w:eastAsia="黑体"/>
          <w:sz w:val="28"/>
          <w:szCs w:val="28"/>
        </w:rPr>
        <w:t>4.</w:t>
      </w:r>
      <w:r>
        <w:rPr>
          <w:rFonts w:hint="eastAsia" w:eastAsia="黑体"/>
          <w:sz w:val="28"/>
          <w:szCs w:val="28"/>
          <w:lang w:val="en-US" w:eastAsia="zh-CN"/>
        </w:rPr>
        <w:t>6.1</w:t>
      </w:r>
      <w:r>
        <w:rPr>
          <w:rFonts w:hint="eastAsia" w:eastAsia="黑体"/>
          <w:sz w:val="28"/>
          <w:szCs w:val="28"/>
          <w:lang w:eastAsia="zh-CN"/>
        </w:rPr>
        <w:t>工程基本情况</w:t>
      </w:r>
    </w:p>
    <w:p>
      <w:pPr>
        <w:ind w:firstLine="540"/>
      </w:pPr>
      <w:r>
        <w:rPr>
          <w:rFonts w:hint="eastAsia"/>
          <w:lang w:val="en-US" w:eastAsia="zh-CN"/>
        </w:rPr>
        <w:t>苏坝镇</w:t>
      </w:r>
      <w:r>
        <w:t>现有</w:t>
      </w:r>
      <w:r>
        <w:rPr>
          <w:rFonts w:hint="eastAsia"/>
        </w:rPr>
        <w:t>1</w:t>
      </w:r>
      <w:r>
        <w:t>处供水工程，属于小型供水厂（站），输水管网老化渗水严重，且该供水工程取水水源水量不充足，为保证水源的可靠性和水量充足性，本次规划拟在</w:t>
      </w:r>
      <w:r>
        <w:rPr>
          <w:rFonts w:hint="eastAsia"/>
          <w:lang w:val="en-US" w:eastAsia="zh-CN"/>
        </w:rPr>
        <w:t>苏坝镇</w:t>
      </w:r>
      <w:r>
        <w:rPr>
          <w:rFonts w:hint="eastAsia"/>
          <w:lang w:eastAsia="zh-CN"/>
        </w:rPr>
        <w:t>袁家溪村</w:t>
      </w:r>
      <w:r>
        <w:rPr>
          <w:rFonts w:hint="eastAsia"/>
          <w:lang w:val="en-US" w:eastAsia="zh-CN"/>
        </w:rPr>
        <w:t>老林</w:t>
      </w:r>
      <w:r>
        <w:t>水源点</w:t>
      </w:r>
      <w:r>
        <w:rPr>
          <w:rFonts w:hint="eastAsia"/>
        </w:rPr>
        <w:t>分别</w:t>
      </w:r>
      <w:r>
        <w:rPr>
          <w:spacing w:val="10"/>
        </w:rPr>
        <w:t>取水，</w:t>
      </w:r>
      <w:r>
        <w:rPr>
          <w:bCs/>
        </w:rPr>
        <w:t>通过</w:t>
      </w:r>
      <w:r>
        <w:t>自流引水至</w:t>
      </w:r>
      <w:r>
        <w:rPr>
          <w:rFonts w:hint="eastAsia"/>
          <w:lang w:val="en-US" w:eastAsia="zh-CN"/>
        </w:rPr>
        <w:t>苏坝镇上游</w:t>
      </w:r>
      <w:r>
        <w:t>修建清水池，通过消毒后自压直供原有供水厂，补充原供水厂取水水源，解决原供水厂取水量不足的问题，同时本次清水池高程较高，可覆盖</w:t>
      </w:r>
      <w:r>
        <w:rPr>
          <w:rFonts w:hint="eastAsia"/>
          <w:lang w:val="en-US" w:eastAsia="zh-CN"/>
        </w:rPr>
        <w:t>苏坝</w:t>
      </w:r>
      <w:r>
        <w:t>镇</w:t>
      </w:r>
      <w:r>
        <w:rPr>
          <w:rFonts w:hint="eastAsia"/>
        </w:rPr>
        <w:t>水厂</w:t>
      </w:r>
      <w:r>
        <w:t>因高程不足无法供水的区域。</w:t>
      </w:r>
    </w:p>
    <w:p>
      <w:pPr>
        <w:rPr>
          <w:rFonts w:eastAsia="黑体"/>
          <w:color w:val="auto"/>
        </w:rPr>
      </w:pPr>
      <w:r>
        <w:rPr>
          <w:rFonts w:hint="eastAsia" w:eastAsia="黑体"/>
          <w:color w:val="auto"/>
          <w:sz w:val="28"/>
          <w:szCs w:val="28"/>
          <w:lang w:val="en-US" w:eastAsia="zh-CN"/>
        </w:rPr>
        <w:t>3.4.6</w:t>
      </w:r>
      <w:r>
        <w:rPr>
          <w:rFonts w:eastAsia="黑体"/>
          <w:color w:val="auto"/>
          <w:sz w:val="28"/>
          <w:szCs w:val="28"/>
        </w:rPr>
        <w:t>.2供水规模</w:t>
      </w:r>
    </w:p>
    <w:p>
      <w:pPr>
        <w:ind w:firstLine="540"/>
        <w:rPr>
          <w:color w:val="auto"/>
        </w:rPr>
      </w:pPr>
      <w:r>
        <w:rPr>
          <w:rFonts w:hint="eastAsia"/>
          <w:color w:val="auto"/>
          <w:lang w:val="en-US" w:eastAsia="zh-CN"/>
        </w:rPr>
        <w:t>苏坝</w:t>
      </w:r>
      <w:r>
        <w:rPr>
          <w:color w:val="auto"/>
        </w:rPr>
        <w:t>片区供水工程</w:t>
      </w:r>
      <w:r>
        <w:rPr>
          <w:color w:val="auto"/>
          <w:kern w:val="0"/>
        </w:rPr>
        <w:t>供水范围为</w:t>
      </w:r>
      <w:r>
        <w:rPr>
          <w:rFonts w:hint="eastAsia"/>
          <w:color w:val="auto"/>
        </w:rPr>
        <w:t>袁家溪村、越胜村、苏坝场镇、周边社区及村庄</w:t>
      </w:r>
      <w:r>
        <w:rPr>
          <w:color w:val="auto"/>
        </w:rPr>
        <w:t>，共计</w:t>
      </w:r>
      <w:r>
        <w:rPr>
          <w:rFonts w:hint="eastAsia"/>
          <w:color w:val="auto"/>
          <w:lang w:val="en-US" w:eastAsia="zh-CN"/>
        </w:rPr>
        <w:t>11500</w:t>
      </w:r>
      <w:r>
        <w:rPr>
          <w:color w:val="auto"/>
        </w:rPr>
        <w:t>人的饮水问题。</w:t>
      </w:r>
      <w:r>
        <w:rPr>
          <w:rFonts w:hint="eastAsia" w:ascii="Times New Roman" w:hAnsi="Times New Roman" w:eastAsia="宋体" w:cs="Times New Roman"/>
          <w:lang w:val="en-US" w:eastAsia="zh-CN"/>
        </w:rPr>
        <w:t>供水</w:t>
      </w:r>
      <w:r>
        <w:rPr>
          <w:color w:val="auto"/>
        </w:rPr>
        <w:t>规模</w:t>
      </w:r>
      <w:r>
        <w:rPr>
          <w:rFonts w:hint="eastAsia"/>
          <w:color w:val="auto"/>
          <w:lang w:val="en-US" w:eastAsia="zh-CN"/>
        </w:rPr>
        <w:t>2000</w:t>
      </w:r>
      <w:r>
        <w:rPr>
          <w:color w:val="auto"/>
        </w:rPr>
        <w:t>m</w:t>
      </w:r>
      <w:r>
        <w:rPr>
          <w:color w:val="auto"/>
          <w:vertAlign w:val="superscript"/>
        </w:rPr>
        <w:t>3</w:t>
      </w:r>
      <w:r>
        <w:rPr>
          <w:color w:val="auto"/>
        </w:rPr>
        <w:t>/d。</w:t>
      </w:r>
    </w:p>
    <w:p>
      <w:pPr>
        <w:rPr>
          <w:rFonts w:eastAsia="黑体"/>
        </w:rPr>
      </w:pPr>
      <w:r>
        <w:rPr>
          <w:rFonts w:hint="eastAsia" w:eastAsia="黑体"/>
          <w:sz w:val="28"/>
          <w:szCs w:val="28"/>
          <w:lang w:val="en-US" w:eastAsia="zh-CN"/>
        </w:rPr>
        <w:t>3.4.6.3</w:t>
      </w:r>
      <w:r>
        <w:rPr>
          <w:rFonts w:hint="eastAsia" w:eastAsia="黑体"/>
          <w:sz w:val="28"/>
          <w:szCs w:val="28"/>
          <w:lang w:eastAsia="zh-CN"/>
        </w:rPr>
        <w:t>工程建设内容</w:t>
      </w:r>
    </w:p>
    <w:p>
      <w:pPr>
        <w:ind w:firstLine="540"/>
        <w:rPr>
          <w:color w:val="FF0000"/>
          <w:kern w:val="0"/>
          <w:lang w:bidi="ar"/>
        </w:rPr>
      </w:pPr>
      <w:r>
        <w:rPr>
          <w:rFonts w:hint="eastAsia"/>
          <w:lang w:val="en-US" w:eastAsia="zh-CN"/>
        </w:rPr>
        <w:t>苏坝</w:t>
      </w:r>
      <w:r>
        <w:t>片区供水工程</w:t>
      </w:r>
      <w:r>
        <w:rPr>
          <w:kern w:val="0"/>
          <w:lang w:bidi="ar"/>
        </w:rPr>
        <w:t>建设内容为新建</w:t>
      </w:r>
      <w:r>
        <w:rPr>
          <w:rFonts w:hint="eastAsia"/>
          <w:kern w:val="0"/>
          <w:lang w:val="en-US" w:eastAsia="zh-CN" w:bidi="ar"/>
        </w:rPr>
        <w:t>五</w:t>
      </w:r>
      <w:r>
        <w:rPr>
          <w:kern w:val="0"/>
          <w:lang w:bidi="ar"/>
        </w:rPr>
        <w:t>座取水低坝、</w:t>
      </w:r>
      <w:r>
        <w:rPr>
          <w:rFonts w:hint="eastAsia"/>
          <w:kern w:val="0"/>
          <w:lang w:val="en-US" w:eastAsia="zh-CN" w:bidi="ar"/>
        </w:rPr>
        <w:t>五</w:t>
      </w:r>
      <w:r>
        <w:rPr>
          <w:kern w:val="0"/>
          <w:lang w:bidi="ar"/>
        </w:rPr>
        <w:t>座沉砂池、</w:t>
      </w:r>
      <w:r>
        <w:rPr>
          <w:rFonts w:hint="eastAsia"/>
          <w:kern w:val="0"/>
          <w:lang w:val="en-US" w:eastAsia="zh-CN" w:bidi="ar"/>
        </w:rPr>
        <w:t>一</w:t>
      </w:r>
      <w:r>
        <w:rPr>
          <w:rFonts w:hint="eastAsia"/>
          <w:kern w:val="0"/>
          <w:lang w:bidi="ar"/>
        </w:rPr>
        <w:t>座清水池</w:t>
      </w:r>
      <w:r>
        <w:rPr>
          <w:kern w:val="0"/>
          <w:lang w:bidi="ar"/>
        </w:rPr>
        <w:t>及输配水</w:t>
      </w:r>
      <w:r>
        <w:rPr>
          <w:rFonts w:hint="eastAsia"/>
          <w:kern w:val="0"/>
          <w:lang w:bidi="ar"/>
        </w:rPr>
        <w:t>管网</w:t>
      </w:r>
      <w:r>
        <w:rPr>
          <w:kern w:val="0"/>
          <w:lang w:bidi="ar"/>
        </w:rPr>
        <w:t>。</w:t>
      </w:r>
    </w:p>
    <w:p>
      <w:pPr>
        <w:rPr>
          <w:rFonts w:eastAsia="黑体"/>
          <w:snapToGrid w:val="0"/>
          <w:kern w:val="0"/>
        </w:rPr>
      </w:pPr>
      <w:r>
        <w:rPr>
          <w:rFonts w:eastAsia="黑体"/>
          <w:snapToGrid w:val="0"/>
          <w:kern w:val="0"/>
        </w:rPr>
        <w:t>1</w:t>
      </w:r>
      <w:r>
        <w:rPr>
          <w:rFonts w:hint="eastAsia" w:eastAsia="黑体"/>
          <w:snapToGrid w:val="0"/>
          <w:kern w:val="0"/>
          <w:lang w:eastAsia="zh-CN"/>
        </w:rPr>
        <w:t>、</w:t>
      </w:r>
      <w:r>
        <w:rPr>
          <w:rFonts w:eastAsia="黑体"/>
          <w:snapToGrid w:val="0"/>
          <w:kern w:val="0"/>
        </w:rPr>
        <w:t>取水</w:t>
      </w:r>
      <w:r>
        <w:rPr>
          <w:rFonts w:ascii="Times New Roman" w:hAnsi="Times New Roman" w:eastAsia="黑体" w:cs="Times New Roman"/>
          <w:snapToGrid w:val="0"/>
          <w:kern w:val="0"/>
        </w:rPr>
        <w:t>工程</w:t>
      </w:r>
    </w:p>
    <w:p>
      <w:pPr>
        <w:ind w:firstLine="540"/>
      </w:pPr>
      <w:r>
        <w:t>本方案工程取水点位有</w:t>
      </w:r>
      <w:r>
        <w:rPr>
          <w:rFonts w:hint="eastAsia"/>
          <w:lang w:val="en-US" w:eastAsia="zh-CN"/>
        </w:rPr>
        <w:t>五</w:t>
      </w:r>
      <w:r>
        <w:t>处</w:t>
      </w:r>
      <w:r>
        <w:rPr>
          <w:rFonts w:hint="eastAsia"/>
          <w:lang w:eastAsia="zh-CN"/>
        </w:rPr>
        <w:t>，</w:t>
      </w:r>
      <w:r>
        <w:rPr>
          <w:color w:val="000000"/>
        </w:rPr>
        <w:t>取水工程主要建筑物由取水坝和沉砂</w:t>
      </w:r>
      <w:r>
        <w:rPr>
          <w:rFonts w:hint="eastAsia"/>
          <w:color w:val="000000"/>
        </w:rPr>
        <w:t>池</w:t>
      </w:r>
      <w:r>
        <w:rPr>
          <w:color w:val="000000"/>
        </w:rPr>
        <w:t>组成。根据山区河流坡降大、砂石多的特点，本次取水坝采用底栏栅坝型式取水，水流经过坝体时通过栅条进入取水廊道，廊道水位到达引水管时水流通过引水管流至沉砂</w:t>
      </w:r>
      <w:r>
        <w:rPr>
          <w:rFonts w:hint="eastAsia"/>
          <w:color w:val="000000"/>
        </w:rPr>
        <w:t>池</w:t>
      </w:r>
      <w:r>
        <w:rPr>
          <w:color w:val="000000"/>
        </w:rPr>
        <w:t>，沉砂</w:t>
      </w:r>
      <w:r>
        <w:rPr>
          <w:rFonts w:hint="eastAsia"/>
          <w:color w:val="000000"/>
        </w:rPr>
        <w:t>池</w:t>
      </w:r>
      <w:r>
        <w:rPr>
          <w:color w:val="000000"/>
        </w:rPr>
        <w:t>沉砂后进入末端清水池，与上游坝体来水汇合后进入输水管。</w:t>
      </w:r>
    </w:p>
    <w:p>
      <w:pPr>
        <w:rPr>
          <w:sz w:val="28"/>
        </w:rPr>
      </w:pPr>
      <w:r>
        <w:rPr>
          <w:rFonts w:eastAsia="黑体"/>
          <w:snapToGrid w:val="0"/>
          <w:kern w:val="0"/>
        </w:rPr>
        <w:t>2</w:t>
      </w:r>
      <w:r>
        <w:rPr>
          <w:rFonts w:hint="eastAsia" w:eastAsia="黑体"/>
          <w:snapToGrid w:val="0"/>
          <w:kern w:val="0"/>
          <w:lang w:eastAsia="zh-CN"/>
        </w:rPr>
        <w:t>、</w:t>
      </w:r>
      <w:r>
        <w:rPr>
          <w:rFonts w:eastAsia="黑体"/>
          <w:snapToGrid w:val="0"/>
          <w:kern w:val="0"/>
        </w:rPr>
        <w:t>输水管道</w:t>
      </w:r>
    </w:p>
    <w:p>
      <w:pPr>
        <w:ind w:firstLine="540"/>
      </w:pPr>
      <w:r>
        <w:rPr>
          <w:rFonts w:hint="eastAsia"/>
          <w:lang w:val="en-US" w:eastAsia="zh-CN"/>
        </w:rPr>
        <w:t>输水管长2600</w:t>
      </w:r>
      <w:r>
        <w:t>m，输水管道沿山坡铺设，管材选取pvc-0管进行输水，压力等级1.6MPa。</w:t>
      </w:r>
    </w:p>
    <w:p>
      <w:pPr>
        <w:rPr>
          <w:b/>
        </w:rPr>
      </w:pPr>
      <w:r>
        <w:rPr>
          <w:rFonts w:eastAsia="黑体"/>
          <w:snapToGrid w:val="0"/>
          <w:kern w:val="0"/>
        </w:rPr>
        <w:t>3</w:t>
      </w:r>
      <w:r>
        <w:rPr>
          <w:rFonts w:hint="eastAsia" w:eastAsia="黑体"/>
          <w:snapToGrid w:val="0"/>
          <w:kern w:val="0"/>
          <w:lang w:eastAsia="zh-CN"/>
        </w:rPr>
        <w:t>、</w:t>
      </w:r>
      <w:r>
        <w:rPr>
          <w:rFonts w:eastAsia="黑体"/>
          <w:snapToGrid w:val="0"/>
          <w:kern w:val="0"/>
        </w:rPr>
        <w:t>清水池</w:t>
      </w:r>
    </w:p>
    <w:p>
      <w:pPr>
        <w:ind w:firstLine="540"/>
      </w:pPr>
      <w:r>
        <w:rPr>
          <w:rFonts w:hint="eastAsia"/>
        </w:rPr>
        <w:t>因</w:t>
      </w:r>
      <w:r>
        <w:rPr>
          <w:rFonts w:hint="eastAsia"/>
          <w:lang w:val="en-US" w:eastAsia="zh-CN"/>
        </w:rPr>
        <w:t>苏坝</w:t>
      </w:r>
      <w:r>
        <w:rPr>
          <w:rFonts w:hint="eastAsia"/>
        </w:rPr>
        <w:t>镇现已有水厂，水厂水质处理设施完备，同时考虑枯期水源点水量不足，在</w:t>
      </w:r>
      <w:r>
        <w:rPr>
          <w:rFonts w:hint="eastAsia"/>
          <w:lang w:val="en-US" w:eastAsia="zh-CN"/>
        </w:rPr>
        <w:t>苏坝镇上游</w:t>
      </w:r>
      <w:r>
        <w:rPr>
          <w:rFonts w:hint="eastAsia"/>
        </w:rPr>
        <w:t>修建清水池调节水量。清水池内径16m ,池深H=3.0m，有效水深2.7m，有效容积500 m</w:t>
      </w:r>
      <w:r>
        <w:rPr>
          <w:rFonts w:hint="eastAsia"/>
          <w:vertAlign w:val="superscript"/>
        </w:rPr>
        <w:t>3</w:t>
      </w:r>
      <w:r>
        <w:rPr>
          <w:rFonts w:hint="eastAsia"/>
        </w:rPr>
        <w:t>。</w:t>
      </w:r>
      <w:r>
        <w:t>清水池</w:t>
      </w:r>
      <w:r>
        <w:rPr>
          <w:rFonts w:hint="eastAsia" w:ascii="Times New Roman" w:hAnsi="Times New Roman" w:eastAsia="宋体" w:cs="Times New Roman"/>
          <w:lang w:val="en-US" w:eastAsia="zh-CN"/>
        </w:rPr>
        <w:t>采用</w:t>
      </w:r>
      <w:r>
        <w:t>钢筋混凝土结构。池内设导流墙，清水池还设有人孔、通气管、溢流管、集水坑、放空管等附属设施。</w:t>
      </w:r>
    </w:p>
    <w:p>
      <w:pPr>
        <w:rPr>
          <w:rFonts w:eastAsia="黑体"/>
        </w:rPr>
      </w:pPr>
      <w:r>
        <w:rPr>
          <w:rFonts w:eastAsia="黑体"/>
          <w:snapToGrid w:val="0"/>
          <w:kern w:val="0"/>
        </w:rPr>
        <w:t>4</w:t>
      </w:r>
      <w:r>
        <w:rPr>
          <w:rFonts w:hint="eastAsia" w:eastAsia="黑体"/>
          <w:snapToGrid w:val="0"/>
          <w:kern w:val="0"/>
          <w:lang w:eastAsia="zh-CN"/>
        </w:rPr>
        <w:t>、</w:t>
      </w:r>
      <w:r>
        <w:rPr>
          <w:rFonts w:eastAsia="黑体"/>
          <w:snapToGrid w:val="0"/>
          <w:kern w:val="0"/>
        </w:rPr>
        <w:t>配水干管</w:t>
      </w:r>
    </w:p>
    <w:p>
      <w:pPr>
        <w:ind w:firstLine="540"/>
      </w:pPr>
      <w:r>
        <w:t>配水管网采用树状布置方式</w:t>
      </w:r>
      <w:r>
        <w:rPr>
          <w:rFonts w:hint="eastAsia"/>
          <w:lang w:eastAsia="zh-CN"/>
        </w:rPr>
        <w:t>，</w:t>
      </w:r>
      <w:r>
        <w:t>管道选用PVC-O管和AGR管，总长度为</w:t>
      </w:r>
      <w:r>
        <w:rPr>
          <w:rFonts w:hint="eastAsia"/>
          <w:lang w:val="en-US" w:eastAsia="zh-CN"/>
        </w:rPr>
        <w:t>33452</w:t>
      </w:r>
      <w:r>
        <w:t>m。本次项目入户户数为</w:t>
      </w:r>
      <w:r>
        <w:rPr>
          <w:rFonts w:hint="eastAsia"/>
        </w:rPr>
        <w:t>2676</w:t>
      </w:r>
      <w:r>
        <w:t>户，每户考虑设置1个球阀DN20和1个水表DN20。</w:t>
      </w:r>
    </w:p>
    <w:p>
      <w:pPr>
        <w:pStyle w:val="5"/>
        <w:rPr>
          <w:rFonts w:hint="eastAsia" w:eastAsia="黑体"/>
          <w:b w:val="0"/>
          <w:bCs w:val="0"/>
          <w:sz w:val="28"/>
          <w:szCs w:val="28"/>
          <w:lang w:eastAsia="zh-CN"/>
        </w:rPr>
      </w:pPr>
      <w:r>
        <w:rPr>
          <w:rFonts w:hint="eastAsia" w:eastAsia="黑体"/>
          <w:b w:val="0"/>
          <w:bCs w:val="0"/>
          <w:sz w:val="28"/>
          <w:szCs w:val="28"/>
          <w:lang w:val="en-US" w:eastAsia="zh-CN"/>
        </w:rPr>
        <w:t>3.4</w:t>
      </w:r>
      <w:r>
        <w:rPr>
          <w:rFonts w:eastAsia="黑体"/>
          <w:b w:val="0"/>
          <w:bCs w:val="0"/>
          <w:sz w:val="28"/>
          <w:szCs w:val="28"/>
        </w:rPr>
        <w:t>.</w:t>
      </w:r>
      <w:r>
        <w:rPr>
          <w:rFonts w:hint="eastAsia"/>
          <w:b w:val="0"/>
          <w:bCs w:val="0"/>
          <w:sz w:val="28"/>
          <w:szCs w:val="28"/>
          <w:lang w:val="en-US" w:eastAsia="zh-CN"/>
        </w:rPr>
        <w:t>7</w:t>
      </w:r>
      <w:r>
        <w:rPr>
          <w:rFonts w:hint="eastAsia"/>
          <w:b w:val="0"/>
          <w:bCs w:val="0"/>
          <w:sz w:val="28"/>
          <w:szCs w:val="28"/>
          <w:lang w:eastAsia="zh-CN"/>
        </w:rPr>
        <w:t>水美新村建设</w:t>
      </w:r>
    </w:p>
    <w:p>
      <w:pPr>
        <w:ind w:firstLine="540"/>
        <w:rPr>
          <w:rFonts w:ascii="Times New Roman" w:hAnsi="Times New Roman" w:eastAsia="宋体" w:cs="Times New Roman"/>
        </w:rPr>
      </w:pPr>
      <w:r>
        <w:rPr>
          <w:rFonts w:hint="eastAsia" w:ascii="Times New Roman" w:hAnsi="Times New Roman" w:eastAsia="宋体" w:cs="Times New Roman"/>
        </w:rPr>
        <w:t>1.</w:t>
      </w:r>
      <w:r>
        <w:rPr>
          <w:rFonts w:ascii="Times New Roman" w:hAnsi="Times New Roman" w:eastAsia="宋体" w:cs="Times New Roman"/>
        </w:rPr>
        <w:t>基本情况</w:t>
      </w:r>
    </w:p>
    <w:p>
      <w:pPr>
        <w:ind w:firstLine="540"/>
        <w:rPr>
          <w:rFonts w:ascii="Times New Roman" w:hAnsi="Times New Roman" w:eastAsia="宋体" w:cs="Times New Roman"/>
        </w:rPr>
      </w:pPr>
      <w:r>
        <w:rPr>
          <w:rFonts w:hint="eastAsia" w:ascii="Times New Roman" w:hAnsi="Times New Roman" w:eastAsia="宋体" w:cs="Times New Roman"/>
        </w:rPr>
        <w:t>乐山市马边彝族自治县位于四川盆地西南边缘的小凉山区，全区幅员面积</w:t>
      </w:r>
      <w:r>
        <w:rPr>
          <w:rFonts w:hint="eastAsia" w:cs="Times New Roman"/>
          <w:lang w:val="en-US" w:eastAsia="zh-CN"/>
        </w:rPr>
        <w:t>2292.71</w:t>
      </w:r>
      <w:r>
        <w:rPr>
          <w:rFonts w:hint="eastAsia" w:ascii="Times New Roman" w:hAnsi="Times New Roman" w:eastAsia="宋体" w:cs="Times New Roman"/>
        </w:rPr>
        <w:t>km2，有</w:t>
      </w:r>
      <w:r>
        <w:rPr>
          <w:rFonts w:ascii="Times New Roman" w:hAnsi="Times New Roman" w:eastAsia="宋体" w:cs="Times New Roman"/>
        </w:rPr>
        <w:t>民建镇</w:t>
      </w:r>
      <w:r>
        <w:rPr>
          <w:rFonts w:hint="eastAsia" w:ascii="Times New Roman" w:hAnsi="Times New Roman" w:eastAsia="宋体" w:cs="Times New Roman"/>
        </w:rPr>
        <w:t>，</w:t>
      </w:r>
      <w:r>
        <w:rPr>
          <w:rFonts w:ascii="Times New Roman" w:hAnsi="Times New Roman" w:eastAsia="宋体" w:cs="Times New Roman"/>
        </w:rPr>
        <w:t>荣丁镇</w:t>
      </w:r>
      <w:r>
        <w:rPr>
          <w:rFonts w:hint="eastAsia" w:ascii="Times New Roman" w:hAnsi="Times New Roman" w:eastAsia="宋体" w:cs="Times New Roman"/>
        </w:rPr>
        <w:t>，苏坝镇，下溪镇，烟峰镇，劳动</w:t>
      </w:r>
      <w:r>
        <w:rPr>
          <w:rFonts w:hint="eastAsia" w:cs="Times New Roman"/>
          <w:lang w:eastAsia="zh-CN"/>
        </w:rPr>
        <w:t>镇</w:t>
      </w:r>
      <w:r>
        <w:rPr>
          <w:rFonts w:hint="eastAsia" w:ascii="Times New Roman" w:hAnsi="Times New Roman" w:eastAsia="宋体" w:cs="Times New Roman"/>
        </w:rPr>
        <w:t>，建设</w:t>
      </w:r>
      <w:r>
        <w:rPr>
          <w:rFonts w:hint="eastAsia" w:cs="Times New Roman"/>
          <w:lang w:eastAsia="zh-CN"/>
        </w:rPr>
        <w:t>镇</w:t>
      </w:r>
      <w:r>
        <w:rPr>
          <w:rFonts w:hint="eastAsia" w:ascii="Times New Roman" w:hAnsi="Times New Roman" w:eastAsia="宋体" w:cs="Times New Roman"/>
        </w:rPr>
        <w:t>，荍坝</w:t>
      </w:r>
      <w:r>
        <w:rPr>
          <w:rFonts w:hint="eastAsia" w:cs="Times New Roman"/>
          <w:lang w:eastAsia="zh-CN"/>
        </w:rPr>
        <w:t>镇</w:t>
      </w:r>
      <w:r>
        <w:rPr>
          <w:rFonts w:hint="eastAsia" w:ascii="Times New Roman" w:hAnsi="Times New Roman" w:eastAsia="宋体" w:cs="Times New Roman"/>
        </w:rPr>
        <w:t>，雪口山</w:t>
      </w:r>
      <w:r>
        <w:rPr>
          <w:rFonts w:hint="eastAsia" w:cs="Times New Roman"/>
          <w:lang w:eastAsia="zh-CN"/>
        </w:rPr>
        <w:t>镇</w:t>
      </w:r>
      <w:r>
        <w:rPr>
          <w:rFonts w:hint="eastAsia" w:ascii="Times New Roman" w:hAnsi="Times New Roman" w:eastAsia="宋体" w:cs="Times New Roman"/>
        </w:rPr>
        <w:t>，民主</w:t>
      </w:r>
      <w:r>
        <w:rPr>
          <w:rFonts w:hint="eastAsia" w:cs="Times New Roman"/>
          <w:lang w:eastAsia="zh-CN"/>
        </w:rPr>
        <w:t>镇</w:t>
      </w:r>
      <w:r>
        <w:rPr>
          <w:rFonts w:hint="eastAsia" w:ascii="Times New Roman" w:hAnsi="Times New Roman" w:eastAsia="宋体" w:cs="Times New Roman"/>
        </w:rPr>
        <w:t>，高卓营</w:t>
      </w:r>
      <w:r>
        <w:rPr>
          <w:rFonts w:hint="eastAsia" w:cs="Times New Roman"/>
          <w:lang w:eastAsia="zh-CN"/>
        </w:rPr>
        <w:t>乡</w:t>
      </w:r>
      <w:r>
        <w:rPr>
          <w:rFonts w:hint="eastAsia" w:ascii="Times New Roman" w:hAnsi="Times New Roman" w:eastAsia="宋体" w:cs="Times New Roman"/>
        </w:rPr>
        <w:t>，三河口</w:t>
      </w:r>
      <w:r>
        <w:rPr>
          <w:rFonts w:hint="eastAsia" w:cs="Times New Roman"/>
          <w:lang w:eastAsia="zh-CN"/>
        </w:rPr>
        <w:t>镇</w:t>
      </w:r>
      <w:r>
        <w:rPr>
          <w:rFonts w:hint="eastAsia" w:ascii="Times New Roman" w:hAnsi="Times New Roman" w:eastAsia="宋体" w:cs="Times New Roman"/>
        </w:rPr>
        <w:t>，梅</w:t>
      </w:r>
      <w:r>
        <w:rPr>
          <w:rFonts w:hint="eastAsia" w:cs="Times New Roman"/>
          <w:lang w:eastAsia="zh-CN"/>
        </w:rPr>
        <w:t>林镇</w:t>
      </w:r>
      <w:r>
        <w:rPr>
          <w:rFonts w:hint="eastAsia" w:ascii="Times New Roman" w:hAnsi="Times New Roman" w:eastAsia="宋体" w:cs="Times New Roman"/>
        </w:rPr>
        <w:t>，永红乡共</w:t>
      </w:r>
      <w:r>
        <w:rPr>
          <w:rFonts w:hint="eastAsia" w:cs="Times New Roman"/>
          <w:lang w:val="en-US" w:eastAsia="zh-CN"/>
        </w:rPr>
        <w:t>12</w:t>
      </w:r>
      <w:r>
        <w:rPr>
          <w:rFonts w:hint="eastAsia" w:ascii="Times New Roman" w:hAnsi="Times New Roman" w:eastAsia="宋体" w:cs="Times New Roman"/>
        </w:rPr>
        <w:t xml:space="preserve">个镇、 </w:t>
      </w:r>
      <w:r>
        <w:rPr>
          <w:rFonts w:hint="eastAsia" w:cs="Times New Roman"/>
          <w:lang w:val="en-US" w:eastAsia="zh-CN"/>
        </w:rPr>
        <w:t>3</w:t>
      </w:r>
      <w:r>
        <w:rPr>
          <w:rFonts w:hint="eastAsia" w:ascii="Times New Roman" w:hAnsi="Times New Roman" w:eastAsia="宋体" w:cs="Times New Roman"/>
        </w:rPr>
        <w:t>个乡，1</w:t>
      </w:r>
      <w:r>
        <w:rPr>
          <w:rFonts w:hint="eastAsia" w:cs="Times New Roman"/>
          <w:lang w:val="en-US" w:eastAsia="zh-CN"/>
        </w:rPr>
        <w:t>1</w:t>
      </w:r>
      <w:r>
        <w:rPr>
          <w:rFonts w:hint="eastAsia" w:ascii="Times New Roman" w:hAnsi="Times New Roman" w:eastAsia="宋体" w:cs="Times New Roman"/>
        </w:rPr>
        <w:t>3个行政村、社区居委会。现已对庄家坝村、兴隆村、光辉村、凤凰村、柏香村、珍珠桥村、茶叶村、大池塘村、两河口村、福来村、永兴村、大田村、</w:t>
      </w:r>
      <w:r>
        <w:rPr>
          <w:rFonts w:ascii="Times New Roman" w:hAnsi="Times New Roman" w:eastAsia="宋体" w:cs="Times New Roman"/>
        </w:rPr>
        <w:t>龙沱村</w:t>
      </w:r>
      <w:r>
        <w:rPr>
          <w:rFonts w:hint="eastAsia" w:ascii="Times New Roman" w:hAnsi="Times New Roman" w:eastAsia="宋体" w:cs="Times New Roman"/>
        </w:rPr>
        <w:t>、13个村完成了的水美新村的建设。</w:t>
      </w:r>
    </w:p>
    <w:p>
      <w:pPr>
        <w:ind w:firstLine="540"/>
        <w:rPr>
          <w:rFonts w:ascii="Times New Roman" w:hAnsi="Times New Roman" w:eastAsia="宋体" w:cs="Times New Roman"/>
        </w:rPr>
      </w:pPr>
      <w:r>
        <w:rPr>
          <w:rFonts w:hint="eastAsia" w:ascii="Times New Roman" w:hAnsi="Times New Roman" w:eastAsia="宋体" w:cs="Times New Roman"/>
        </w:rPr>
        <w:t>2. 建设</w:t>
      </w:r>
      <w:r>
        <w:rPr>
          <w:rFonts w:hint="eastAsia" w:ascii="Times New Roman" w:hAnsi="Times New Roman" w:eastAsia="宋体" w:cs="Times New Roman"/>
          <w:lang w:val="en-US" w:eastAsia="zh-CN"/>
        </w:rPr>
        <w:t>内容</w:t>
      </w:r>
    </w:p>
    <w:p>
      <w:pPr>
        <w:ind w:firstLine="540"/>
        <w:rPr>
          <w:rFonts w:ascii="Times New Roman" w:hAnsi="Times New Roman" w:eastAsia="宋体" w:cs="Times New Roman"/>
        </w:rPr>
      </w:pPr>
      <w:r>
        <w:rPr>
          <w:rFonts w:hint="eastAsia" w:ascii="Times New Roman" w:hAnsi="Times New Roman" w:eastAsia="宋体" w:cs="Times New Roman"/>
        </w:rPr>
        <w:t>（1）坚持产业</w:t>
      </w:r>
      <w:r>
        <w:rPr>
          <w:rFonts w:hint="eastAsia" w:ascii="Times New Roman" w:hAnsi="Times New Roman" w:eastAsia="宋体" w:cs="Times New Roman"/>
          <w:lang w:val="en-US" w:eastAsia="zh-CN"/>
        </w:rPr>
        <w:t>发展</w:t>
      </w:r>
      <w:r>
        <w:rPr>
          <w:rFonts w:hint="eastAsia" w:ascii="Times New Roman" w:hAnsi="Times New Roman" w:eastAsia="宋体" w:cs="Times New Roman"/>
        </w:rPr>
        <w:t>和水资源配套并重的思想</w:t>
      </w:r>
    </w:p>
    <w:p>
      <w:pPr>
        <w:ind w:firstLine="540"/>
        <w:rPr>
          <w:rFonts w:ascii="Times New Roman" w:hAnsi="Times New Roman" w:eastAsia="宋体" w:cs="Times New Roman"/>
        </w:rPr>
      </w:pPr>
      <w:r>
        <w:rPr>
          <w:rFonts w:hint="eastAsia" w:ascii="Times New Roman" w:hAnsi="Times New Roman" w:eastAsia="宋体" w:cs="Times New Roman"/>
        </w:rPr>
        <w:t>突出以“引”为要，打通农业供水瓶颈，大力发展产业，努力提升灌溉水利用系数，强化渠道硬化和节水配套设施的安装。</w:t>
      </w:r>
    </w:p>
    <w:p>
      <w:pPr>
        <w:ind w:firstLine="540"/>
        <w:rPr>
          <w:rFonts w:ascii="Times New Roman" w:hAnsi="Times New Roman" w:eastAsia="宋体" w:cs="Times New Roman"/>
        </w:rPr>
      </w:pPr>
      <w:r>
        <w:rPr>
          <w:rFonts w:hint="eastAsia" w:ascii="Times New Roman" w:hAnsi="Times New Roman" w:eastAsia="宋体" w:cs="Times New Roman"/>
        </w:rPr>
        <w:t>（2）围绕“生活</w:t>
      </w:r>
      <w:r>
        <w:rPr>
          <w:rFonts w:hint="eastAsia" w:ascii="Times New Roman" w:hAnsi="Times New Roman" w:eastAsia="宋体" w:cs="Times New Roman"/>
          <w:lang w:val="en-US" w:eastAsia="zh-CN"/>
        </w:rPr>
        <w:t>富裕</w:t>
      </w:r>
      <w:r>
        <w:rPr>
          <w:rFonts w:hint="eastAsia" w:ascii="Times New Roman" w:hAnsi="Times New Roman" w:eastAsia="宋体" w:cs="Times New Roman"/>
        </w:rPr>
        <w:t>”要求，提升生活水、生活气供给保障。</w:t>
      </w:r>
    </w:p>
    <w:p>
      <w:pPr>
        <w:ind w:firstLine="540"/>
        <w:rPr>
          <w:rFonts w:ascii="Times New Roman" w:hAnsi="Times New Roman" w:eastAsia="宋体" w:cs="Times New Roman"/>
        </w:rPr>
      </w:pPr>
      <w:r>
        <w:rPr>
          <w:rFonts w:hint="eastAsia" w:ascii="Times New Roman" w:hAnsi="Times New Roman" w:eastAsia="宋体" w:cs="Times New Roman"/>
        </w:rPr>
        <w:t>大力实施农村饮水安全巩固提升工程。把提高已成工程保障能力作为主攻方向，采取“以大带小、以城带乡，以大并小、小小联合”的方式，对现有工程进行升级改造，进一步整合小型分散工程，做到“能延则延、能并则并、能扩则扩”，提升村内供水保障能力和供给率。</w:t>
      </w:r>
    </w:p>
    <w:p>
      <w:pPr>
        <w:ind w:firstLine="540"/>
        <w:rPr>
          <w:rFonts w:ascii="Times New Roman" w:hAnsi="Times New Roman" w:eastAsia="宋体" w:cs="Times New Roman"/>
        </w:rPr>
      </w:pPr>
      <w:r>
        <w:rPr>
          <w:rFonts w:hint="eastAsia" w:ascii="Times New Roman" w:hAnsi="Times New Roman" w:eastAsia="宋体" w:cs="Times New Roman"/>
        </w:rPr>
        <w:t>（3）围绕“乡风文明”要求，彰显蜀水文化底蕴。</w:t>
      </w:r>
    </w:p>
    <w:p>
      <w:pPr>
        <w:ind w:firstLine="540"/>
        <w:rPr>
          <w:rFonts w:ascii="Times New Roman" w:hAnsi="Times New Roman" w:eastAsia="宋体" w:cs="Times New Roman"/>
        </w:rPr>
      </w:pPr>
      <w:r>
        <w:rPr>
          <w:rFonts w:hint="eastAsia" w:ascii="Times New Roman" w:hAnsi="Times New Roman" w:eastAsia="宋体" w:cs="Times New Roman"/>
        </w:rPr>
        <w:t>以美丽宜居乡村建设为依托，提升蜀水文化水平。充分依托传统村落，把水文化景观建设与交通等有机结合起来，合理规划、综合打造，建设傍水而美的美丽宜居新村，发展靠水而兴的</w:t>
      </w:r>
      <w:r>
        <w:rPr>
          <w:rFonts w:hint="eastAsia" w:ascii="Times New Roman" w:hAnsi="Times New Roman" w:eastAsia="宋体" w:cs="Times New Roman"/>
          <w:lang w:val="en-US" w:eastAsia="zh-CN"/>
        </w:rPr>
        <w:t>乡村</w:t>
      </w:r>
      <w:r>
        <w:rPr>
          <w:rFonts w:hint="eastAsia" w:ascii="Times New Roman" w:hAnsi="Times New Roman" w:eastAsia="宋体" w:cs="Times New Roman"/>
        </w:rPr>
        <w:t>休闲旅游、生态旅游、康养观光产</w:t>
      </w:r>
      <w:bookmarkStart w:id="65" w:name="_Toc285012738"/>
      <w:r>
        <w:rPr>
          <w:rFonts w:hint="eastAsia" w:ascii="Times New Roman" w:hAnsi="Times New Roman" w:eastAsia="宋体" w:cs="Times New Roman"/>
        </w:rPr>
        <w:t>业。</w:t>
      </w:r>
      <w:bookmarkEnd w:id="65"/>
    </w:p>
    <w:p>
      <w:pPr>
        <w:ind w:firstLine="540"/>
        <w:rPr>
          <w:rFonts w:hint="eastAsia" w:ascii="Times New Roman" w:hAnsi="Times New Roman" w:eastAsia="宋体" w:cs="Times New Roman"/>
        </w:rPr>
      </w:pPr>
      <w:r>
        <w:rPr>
          <w:rFonts w:hint="eastAsia" w:ascii="Times New Roman" w:hAnsi="Times New Roman" w:eastAsia="宋体" w:cs="Times New Roman"/>
        </w:rPr>
        <w:t>在建设标准上，“水美新村”建设要着力构建节水配水管理体系、设施生态网络体系、河湖保护体系、水旱灾害防治体系、现代水利制度体系和蜀水文化体系的“六水美村”网络体系，各项指标应达到《四川省水美新村建设指标体系》的标准要求。在发展</w:t>
      </w:r>
      <w:r>
        <w:rPr>
          <w:rFonts w:hint="eastAsia" w:ascii="Times New Roman" w:hAnsi="Times New Roman" w:eastAsia="宋体" w:cs="Times New Roman"/>
          <w:lang w:val="en-US" w:eastAsia="zh-CN"/>
        </w:rPr>
        <w:t>目标</w:t>
      </w:r>
      <w:r>
        <w:rPr>
          <w:rFonts w:hint="eastAsia" w:ascii="Times New Roman" w:hAnsi="Times New Roman" w:eastAsia="宋体" w:cs="Times New Roman"/>
        </w:rPr>
        <w:t>上，</w:t>
      </w:r>
      <w:r>
        <w:rPr>
          <w:rFonts w:hint="eastAsia" w:ascii="Times New Roman" w:hAnsi="Times New Roman" w:eastAsia="宋体" w:cs="Times New Roman"/>
          <w:lang w:val="en-US" w:eastAsia="zh-CN"/>
        </w:rPr>
        <w:t>与</w:t>
      </w:r>
      <w:r>
        <w:rPr>
          <w:rFonts w:hint="eastAsia" w:ascii="Times New Roman" w:hAnsi="Times New Roman" w:eastAsia="宋体" w:cs="Times New Roman"/>
        </w:rPr>
        <w:t>乡村振兴战略总体规划相协调，分阶段分步骤开展建设工作，2021到2025年年底新建龙秧坪村、小谷溪村、西城社区、新华村、黎明村、桃溪村、先家普村共7个水美新村，覆盖人口14915人。</w:t>
      </w:r>
    </w:p>
    <w:p>
      <w:pPr>
        <w:pStyle w:val="5"/>
        <w:rPr>
          <w:rFonts w:hint="eastAsia" w:ascii="Times New Roman" w:hAnsi="Times New Roman"/>
          <w:b w:val="0"/>
          <w:color w:val="auto"/>
          <w:sz w:val="30"/>
          <w:szCs w:val="30"/>
          <w:lang w:val="en-US" w:eastAsia="zh-CN"/>
        </w:rPr>
      </w:pPr>
      <w:r>
        <w:rPr>
          <w:rFonts w:hint="eastAsia" w:ascii="Times New Roman" w:hAnsi="Times New Roman"/>
          <w:b w:val="0"/>
          <w:color w:val="auto"/>
          <w:sz w:val="30"/>
          <w:szCs w:val="30"/>
          <w:lang w:val="en-US" w:eastAsia="zh-CN"/>
        </w:rPr>
        <w:t>3</w:t>
      </w:r>
      <w:r>
        <w:rPr>
          <w:rFonts w:ascii="Times New Roman" w:hAnsi="Times New Roman"/>
          <w:b w:val="0"/>
          <w:color w:val="auto"/>
          <w:sz w:val="30"/>
          <w:szCs w:val="30"/>
        </w:rPr>
        <w:t>.</w:t>
      </w:r>
      <w:r>
        <w:rPr>
          <w:rFonts w:hint="eastAsia" w:ascii="Times New Roman" w:hAnsi="Times New Roman"/>
          <w:b w:val="0"/>
          <w:color w:val="auto"/>
          <w:sz w:val="30"/>
          <w:szCs w:val="30"/>
          <w:lang w:val="en-US" w:eastAsia="zh-CN"/>
        </w:rPr>
        <w:t>5建设管理</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新农水工程工作专业性强，涉及面宽，工作量大，面临许多新情况和新问题。为切实加强领导，成立</w:t>
      </w:r>
      <w:r>
        <w:rPr>
          <w:rFonts w:hint="eastAsia" w:ascii="宋体" w:hAnsi="宋体" w:cs="宋体"/>
          <w:color w:val="auto"/>
          <w:sz w:val="24"/>
          <w:szCs w:val="24"/>
          <w:lang w:val="en-US" w:eastAsia="zh-CN"/>
        </w:rPr>
        <w:t>马边彝族自治县</w:t>
      </w:r>
      <w:r>
        <w:rPr>
          <w:rFonts w:hint="eastAsia" w:ascii="宋体" w:hAnsi="宋体" w:eastAsia="宋体" w:cs="宋体"/>
          <w:color w:val="auto"/>
          <w:sz w:val="24"/>
          <w:szCs w:val="24"/>
          <w:lang w:val="en-US" w:eastAsia="zh-CN"/>
        </w:rPr>
        <w:t xml:space="preserve">“十四五”新农水建设领导小组，由县政府主要领导任组长，县政府分管领导和牵头部门主要负责人为副组长，县财政、规划建设、卫生、国土、环保等相关部门主要负责人为成员，负责项目规划建设协调工作。  </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工程质量好坏，直接关系到群众的切身利益，关系到党和政府的形象，应进一步强化项目管理，把好工程建设的四个关口。</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一是把好材料、设备的关口。项目水泥、钢材、各种管道、提水设备等，这些主要材料设备应当采用公开招标集中采购。坚决杜绝不符合工程要求的材料设备进入工程，防止不法厂家坑农害农的事件发生。在施工安装前一定要对产品质量进行检验，确保工程质量。</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二是要把好施工队伍的选择关。要实行项目法人责任制和招投标制，选择有经验、有实力的专业队伍施工。</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三是要把好工程建设期间的质量监督关。项目实施工程监理制，规范化管理工程建设。</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四是要严格把好工程验收关。项目建设过程中要分阶段定期检查，对检查不合格的项目，要立即采取措施整改。项目完成后，有关县、乡要组织进行严格验收，决不能让不合格的工程投入运行。</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为确保工程建设顺利实施，还必须制定严格的资金管理办法，确保资金安全，保证专款专用。各渠道筹集的工程建设资金，要由专门部门专项管理，统筹安排，专户立账，实行报帐制和公示制，定期对资金使用情况进行全面审核。工程预付款的支付必须严格按照施工进度所完成的工程量拨付。项目验收合格后，由政府审计部门进行审计，除了实行报账制外，还要增加资金管理和使用透明度，实行账务公开，接受社会和群众的监督。</w:t>
      </w:r>
    </w:p>
    <w:p>
      <w:pPr>
        <w:pStyle w:val="5"/>
        <w:rPr>
          <w:rFonts w:hint="eastAsia" w:ascii="Times New Roman" w:hAnsi="Times New Roman"/>
          <w:b w:val="0"/>
          <w:color w:val="auto"/>
          <w:sz w:val="30"/>
          <w:szCs w:val="30"/>
          <w:lang w:val="en-US" w:eastAsia="zh-CN"/>
        </w:rPr>
      </w:pPr>
      <w:r>
        <w:rPr>
          <w:rFonts w:hint="eastAsia" w:ascii="Times New Roman" w:hAnsi="Times New Roman"/>
          <w:b w:val="0"/>
          <w:color w:val="auto"/>
          <w:sz w:val="30"/>
          <w:szCs w:val="30"/>
          <w:lang w:val="en-US" w:eastAsia="zh-CN"/>
        </w:rPr>
        <w:t>3</w:t>
      </w:r>
      <w:r>
        <w:rPr>
          <w:rFonts w:ascii="Times New Roman" w:hAnsi="Times New Roman"/>
          <w:b w:val="0"/>
          <w:color w:val="auto"/>
          <w:sz w:val="30"/>
          <w:szCs w:val="30"/>
        </w:rPr>
        <w:t>.</w:t>
      </w:r>
      <w:r>
        <w:rPr>
          <w:rFonts w:hint="eastAsia" w:ascii="Times New Roman" w:hAnsi="Times New Roman"/>
          <w:b w:val="0"/>
          <w:color w:val="auto"/>
          <w:sz w:val="30"/>
          <w:szCs w:val="30"/>
          <w:lang w:val="en-US" w:eastAsia="zh-CN"/>
        </w:rPr>
        <w:t>6建后管理</w:t>
      </w:r>
    </w:p>
    <w:p>
      <w:pPr>
        <w:pStyle w:val="5"/>
        <w:rPr>
          <w:rFonts w:hint="eastAsia" w:ascii="Times New Roman" w:hAnsi="Times New Roman" w:cs="Times New Roman"/>
          <w:b w:val="0"/>
          <w:bCs/>
          <w:color w:val="000000"/>
          <w:sz w:val="28"/>
          <w:szCs w:val="28"/>
          <w:lang w:val="en-US" w:eastAsia="zh-CN"/>
        </w:rPr>
      </w:pPr>
      <w:bookmarkStart w:id="66" w:name="_Toc235525837"/>
      <w:r>
        <w:rPr>
          <w:rFonts w:hint="eastAsia" w:ascii="Times New Roman" w:hAnsi="Times New Roman" w:cs="Times New Roman"/>
          <w:b w:val="0"/>
          <w:bCs/>
          <w:color w:val="000000"/>
          <w:sz w:val="28"/>
          <w:szCs w:val="28"/>
          <w:lang w:val="en-US" w:eastAsia="zh-CN"/>
        </w:rPr>
        <w:t>3.6.1管理体制</w:t>
      </w:r>
      <w:bookmarkEnd w:id="66"/>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bookmarkStart w:id="67" w:name="_Toc235525838"/>
      <w:r>
        <w:rPr>
          <w:rFonts w:hint="eastAsia" w:ascii="宋体" w:hAnsi="宋体" w:eastAsia="宋体" w:cs="宋体"/>
          <w:color w:val="auto"/>
          <w:sz w:val="24"/>
          <w:szCs w:val="24"/>
          <w:lang w:val="en-US" w:eastAsia="zh-CN"/>
        </w:rPr>
        <w:t>新农水工程建成后按照责权一致、有机统一、因地制宜、分类指导、尊重民意、维护权益、政府扶持、民办公助、统筹发展、持续利用的原则进行。将各级各部门要认真落实上级有关政策，为新农水工程建后管护工作保驾护航。</w:t>
      </w:r>
      <w:r>
        <w:rPr>
          <w:rFonts w:hint="eastAsia" w:ascii="宋体" w:hAnsi="宋体" w:eastAsia="宋体" w:cs="宋体"/>
          <w:color w:val="auto"/>
          <w:sz w:val="24"/>
          <w:szCs w:val="24"/>
          <w:lang w:val="en-US" w:eastAsia="zh-CN"/>
        </w:rPr>
        <w:br w:type="textWrapping"/>
      </w:r>
      <w:r>
        <w:rPr>
          <w:rFonts w:hint="eastAsia" w:ascii="宋体" w:hAnsi="宋体" w:eastAsia="宋体" w:cs="宋体"/>
          <w:color w:val="auto"/>
          <w:sz w:val="24"/>
          <w:szCs w:val="24"/>
          <w:lang w:val="en-US" w:eastAsia="zh-CN"/>
        </w:rPr>
        <w:t>　 新农水工程，要做到财务公开、公正透明，充分接受县纪检等部门的监督管理。国有工程改革回收资金要作为水利建设专项资金纳入县财政管理，实行专户存储、专款专用、专项用于投入新农水工程建设和维修改造。</w:t>
      </w:r>
    </w:p>
    <w:p>
      <w:pPr>
        <w:adjustRightInd w:val="0"/>
        <w:snapToGrid w:val="0"/>
        <w:spacing w:line="360" w:lineRule="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1、明确产权归属、管理主体</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经过新农水工程确权登记颁证工作后，确定各个工程的所有权属归属和管理对象，最终确定所有权属主体，颁发所有权证和使用权证。</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在明晰所有权的基础上，进一步明确管理权（工程管理权指工程使用权、经营权），落实管护主体。县农业（水务）局为新农水工程行业主管机关，负责对全县新农水工程管护工作进行督查和监管。各管护主体必须服从防汛抗旱指挥调度、水资源调度，确保工程安全和人民群众生命财产安全。国家或有关部门征占水利工程时，所有权者和管护主体应服从大局。</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1）新农水工程由县人民政府授权县农业（水务）局为管护单位，负责工程的管理和运行维护。</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针对集体所有的新农水工程，县农业（水务）局制定由农村集体经济组织、农民合作社、农民用水合作组织等自行管理，或者在确保工程安全、公益功能、水权管理、生态保护的前提下，选择确定管护单位或管护人员，并签订管护协议，明确管理责住、权利、义务。</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3）其他产权主体所有的新农水工程，县农业（水务）局制定由产权所有者负责管理，自主确定管护方式。    </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4）随土地流转给新型生产经营主体的新农水工程，县农业（水务）务局制定由生产经营主体自行负责工程管护。</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县农业（水务）局制定强化对新农水工程的行业监督，防止水资源浪费和掠夺式经营。县直有关部门、乡镇政府、基层水利服务机构完善技术指导和培训制度，建立监管体制，督导工程产权所有者履行管理责任。</w:t>
      </w:r>
    </w:p>
    <w:p>
      <w:pPr>
        <w:adjustRightInd w:val="0"/>
        <w:snapToGrid w:val="0"/>
        <w:spacing w:line="360" w:lineRule="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2、明确管护模式</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经过新农水工程确权登记颁证后，调查清楚各类工程的数量、使用现状情况，发现存在隐患问题，着手以下方面改革：</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设立村级水管员，农村集体经济组织管理的新农水工程管护经费县财政给予一定补助，这部分补助主要用于新设的村级水管员的工资补助，补助标准按照管护的工程数量或面积确定，原则上以工程数量确定标准，每处工程按不超过500元/年补助，每个水管员管理10—20处新农水工程，鼓励村级水管员以本村或跨村联合成立新农水工程管护队扩大工程的管护数量，增加管护人员收入。工程维修所需的材料费、机械费或需要人工较多的人工费等由受益主体负责筹集。</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2）依托基层水利服务机构、防汛抗旱服务队伍、专业化维修养护队伍、农民用水合作组织、村级水管员等，向社会提供专业化、规范化、便利化的工程管理与维修养护服务。</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3）涉及防洪、灌溉、供水、水土保持等公共安全和公益性突出的重点工程，由专管机构进行管理，并积极推行“管养分离”，通过政府购买服务等方式使工程维修养护逐步走上专业化、社会化、市场化道路。</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4）不涉及公共安全的工程，结合各乡镇实际和工程特点，采取农村集体经济组织管理、农民用水合作组织管理、经营者自主管理等管理模式。在确保工程安全、水权利益、生态保护要求，服从防汛抗旱指挥调度、非常情况下的水资源调度的前提下，采取指定管理、委托管理、购买服务、承包、租赁、拍卖、股份合作等管理方式，要签订规范、有效的管理合同，明确管理主体、管理责任、管理范围、管理期限，以及相应的奖补政策或违约责任等。   </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5）通过先行试点探索新农水工程产权抵押登记、抵押融资业务，探索建立新农水工程承包、租赁、拍卖、股份合作和委托管理等服务平台。</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6）建档立卡水利公益性岗位选聘工作，做好公示、签订管护协议、落实管护责任、聘任贫困人员，有意愿参与管理工作的人员开展水利工程维护管理工作。</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马边彝族自治县</w:t>
      </w:r>
      <w:r>
        <w:rPr>
          <w:rFonts w:hint="eastAsia" w:ascii="宋体" w:hAnsi="宋体" w:eastAsia="宋体" w:cs="宋体"/>
          <w:color w:val="auto"/>
          <w:sz w:val="24"/>
          <w:szCs w:val="24"/>
          <w:lang w:val="en-US" w:eastAsia="zh-CN"/>
        </w:rPr>
        <w:t>在实行以上方面的新农水工程管护制度外，还将从创新管护体制的方向继续探索更加适合本县域的体制，更早的让新农水工程管护走上公司专业化管护、合作社管护、农民用水协会管护和新型农业生产经营主体管护的道路。</w:t>
      </w:r>
    </w:p>
    <w:p>
      <w:pPr>
        <w:adjustRightInd w:val="0"/>
        <w:snapToGrid w:val="0"/>
        <w:spacing w:line="360" w:lineRule="auto"/>
        <w:rPr>
          <w:rFonts w:hint="eastAsia" w:ascii="Times New Roman" w:hAnsi="Times New Roman" w:eastAsia="黑体" w:cs="Times New Roman"/>
          <w:b w:val="0"/>
          <w:bCs/>
          <w:color w:val="000000"/>
          <w:kern w:val="2"/>
          <w:sz w:val="28"/>
          <w:szCs w:val="28"/>
          <w:lang w:val="en-US" w:eastAsia="zh-CN" w:bidi="ar-SA"/>
        </w:rPr>
      </w:pPr>
      <w:r>
        <w:rPr>
          <w:rFonts w:hint="eastAsia" w:ascii="Times New Roman" w:hAnsi="Times New Roman" w:cs="Times New Roman"/>
          <w:b w:val="0"/>
          <w:bCs/>
          <w:color w:val="000000"/>
          <w:sz w:val="28"/>
          <w:szCs w:val="28"/>
          <w:lang w:val="en-US" w:eastAsia="zh-CN"/>
        </w:rPr>
        <w:t>3.6.2</w:t>
      </w:r>
      <w:r>
        <w:rPr>
          <w:rFonts w:hint="eastAsia" w:ascii="Times New Roman" w:hAnsi="Times New Roman" w:eastAsia="黑体" w:cs="Times New Roman"/>
          <w:b w:val="0"/>
          <w:bCs/>
          <w:color w:val="000000"/>
          <w:kern w:val="2"/>
          <w:sz w:val="28"/>
          <w:szCs w:val="28"/>
          <w:lang w:val="en-US" w:eastAsia="zh-CN" w:bidi="ar-SA"/>
        </w:rPr>
        <w:t>运行机制</w:t>
      </w:r>
    </w:p>
    <w:bookmarkEnd w:id="67"/>
    <w:p>
      <w:pPr>
        <w:adjustRightInd w:val="0"/>
        <w:snapToGrid w:val="0"/>
        <w:spacing w:line="360" w:lineRule="auto"/>
        <w:ind w:firstLine="484" w:firstLineChars="200"/>
        <w:rPr>
          <w:rFonts w:hint="eastAsia" w:ascii="宋体" w:hAnsi="宋体" w:eastAsia="宋体" w:cs="宋体"/>
          <w:color w:val="auto"/>
          <w:sz w:val="24"/>
          <w:szCs w:val="24"/>
          <w:lang w:val="en-US" w:eastAsia="zh-CN"/>
        </w:rPr>
      </w:pPr>
      <w:bookmarkStart w:id="68" w:name="_Toc207509786"/>
      <w:bookmarkStart w:id="69" w:name="_Toc219184875"/>
      <w:bookmarkStart w:id="70" w:name="_Toc207523997"/>
      <w:bookmarkStart w:id="71" w:name="_Toc219184568"/>
      <w:bookmarkStart w:id="72" w:name="_Toc207509494"/>
      <w:r>
        <w:rPr>
          <w:rFonts w:hint="eastAsia" w:ascii="宋体" w:hAnsi="宋体" w:eastAsia="宋体" w:cs="宋体"/>
          <w:color w:val="auto"/>
          <w:sz w:val="24"/>
          <w:szCs w:val="24"/>
          <w:lang w:val="en-US" w:eastAsia="zh-CN"/>
        </w:rPr>
        <w:t>在工程管护经费筹集落实方面，一方面积极争取国家省级投资，加大县级财政投入力度；另一方面从每年的维修养护资金以及土地出让收益中每年安排资金用于工程经常性管护资金财政补助机制。</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建议将新农水工程维修和更新改造经费列入财政预算经常性支出；实行引导鼓励农民参与水利建管，对通过“一事一议”农民自愿积极集资、投工投劳兴建开展的村内农田水利设施建设和管护的，各级财政给予奖补，并提高奖补标准。</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探索多渠道筹集工程管护经费，建立稳定的管护经费保障机制。管护经费由新农水主体负责筹集，根据实际情况财政给予适当补助。管护经费来源包括工程水费、经营收入、受益者投资投劳、政府补贴、水权收益、社会捐助等。对于承担防洪、灌溉、排涝等公益性任务的新农水工程，各级政府在财政性资金中设立公益性小型水利工程管理和维护专项补助资金。</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目前在工程管护经费长效机制的建立上从以下方面着手：</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县人民政府建立完善小型水利工程管护经费补助机制，统筹利用国家工程管护补助经费、公共财政预算、水利规费收入等安排小型水利工程维修养护经费。按照规定的比例和范围，从土地出让收益中计提的农田水利建设资金安排部分用于小型水利工程维修养护。</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2）国有县管公益性工程管护经费纳入财政预算管理，财政给予补助。准公益性工程承担公益性任务的工程管护经费，财政给予补助。 </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3）根据实际情况，积极研究制定其他配套政策，建立健全村镇饮水工程维修养护制度，“以奖代补、民办公助、一事一议”奖补制度。    </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4）积极探索开展工程抵押、工程保险、水权流转试点工作，通过信贷投入、水权收益等多渠道筹集落实工程管护经费。</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每年下达各村农村公共服务运行维护补助资金，按比列用于新农水工程维护，并逐步落实各村村级水务员。</w:t>
      </w:r>
    </w:p>
    <w:bookmarkEnd w:id="68"/>
    <w:bookmarkEnd w:id="69"/>
    <w:bookmarkEnd w:id="70"/>
    <w:bookmarkEnd w:id="71"/>
    <w:bookmarkEnd w:id="72"/>
    <w:p>
      <w:pPr>
        <w:adjustRightInd w:val="0"/>
        <w:snapToGrid w:val="0"/>
        <w:spacing w:line="360" w:lineRule="auto"/>
        <w:rPr>
          <w:rFonts w:hint="eastAsia" w:ascii="Times New Roman" w:hAnsi="Times New Roman" w:eastAsia="黑体" w:cs="Times New Roman"/>
          <w:b w:val="0"/>
          <w:bCs/>
          <w:color w:val="000000"/>
          <w:kern w:val="2"/>
          <w:sz w:val="28"/>
          <w:szCs w:val="28"/>
          <w:lang w:val="en-US" w:eastAsia="zh-CN" w:bidi="ar-SA"/>
        </w:rPr>
      </w:pPr>
      <w:bookmarkStart w:id="73" w:name="_Toc235525839"/>
      <w:r>
        <w:rPr>
          <w:rFonts w:hint="eastAsia" w:ascii="Times New Roman" w:hAnsi="Times New Roman" w:cs="Times New Roman"/>
          <w:b w:val="0"/>
          <w:bCs/>
          <w:color w:val="000000"/>
          <w:sz w:val="28"/>
          <w:szCs w:val="28"/>
          <w:lang w:val="en-US" w:eastAsia="zh-CN"/>
        </w:rPr>
        <w:t>3.6.</w:t>
      </w:r>
      <w:r>
        <w:rPr>
          <w:rFonts w:hint="eastAsia" w:ascii="Times New Roman" w:hAnsi="Times New Roman" w:eastAsia="黑体" w:cs="Times New Roman"/>
          <w:b w:val="0"/>
          <w:bCs/>
          <w:color w:val="000000"/>
          <w:kern w:val="2"/>
          <w:sz w:val="28"/>
          <w:szCs w:val="28"/>
          <w:lang w:val="en-US" w:eastAsia="zh-CN" w:bidi="ar-SA"/>
        </w:rPr>
        <w:t>服务体系建设</w:t>
      </w:r>
      <w:bookmarkEnd w:id="73"/>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1）用水合作组织管理。对村联户、村集体兴建或跨村的工程，可按照受益范围组建用水合作组织（用水协会）行使经营管理权，按照章程民主协商开展投工投资管护工程、供水调度及水费计收等管理工作。</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委托管理。镇域范围内的水利工程，由工程所属镇农机、圩局负责管理,根据实际情况，镇域范围内的小型水利工程，由镇人民政府将工程委托给所在行政村负责管理。跨村域小型水利工程,由镇人民政府将工程委托给主要受益行政村负责管理。</w:t>
      </w:r>
    </w:p>
    <w:p>
      <w:pPr>
        <w:snapToGrid w:val="0"/>
        <w:spacing w:line="500" w:lineRule="exact"/>
        <w:ind w:firstLine="484" w:firstLineChars="200"/>
      </w:pPr>
    </w:p>
    <w:p>
      <w:pPr>
        <w:ind w:firstLine="540"/>
        <w:rPr>
          <w:snapToGrid w:val="0"/>
          <w:color w:val="000000"/>
          <w:kern w:val="0"/>
        </w:rPr>
      </w:pPr>
    </w:p>
    <w:p>
      <w:pPr>
        <w:ind w:firstLine="540"/>
        <w:rPr>
          <w:snapToGrid w:val="0"/>
          <w:color w:val="000000"/>
          <w:kern w:val="0"/>
        </w:rPr>
        <w:sectPr>
          <w:pgSz w:w="11906" w:h="16838"/>
          <w:pgMar w:top="1814" w:right="1588" w:bottom="1701" w:left="1588" w:header="851" w:footer="992" w:gutter="0"/>
          <w:cols w:space="720" w:num="1"/>
          <w:docGrid w:type="linesAndChars" w:linePitch="469" w:charSpace="512"/>
        </w:sectPr>
      </w:pPr>
    </w:p>
    <w:p>
      <w:pPr>
        <w:pStyle w:val="4"/>
        <w:spacing w:line="240" w:lineRule="auto"/>
        <w:jc w:val="center"/>
        <w:rPr>
          <w:rFonts w:hint="default" w:eastAsia="黑体"/>
          <w:b w:val="0"/>
          <w:sz w:val="36"/>
          <w:szCs w:val="36"/>
          <w:lang w:val="en-US" w:eastAsia="zh-CN"/>
        </w:rPr>
      </w:pPr>
      <w:bookmarkStart w:id="74" w:name="_Toc36029016"/>
      <w:r>
        <w:rPr>
          <w:rFonts w:hint="eastAsia" w:eastAsia="黑体"/>
          <w:b w:val="0"/>
          <w:sz w:val="36"/>
          <w:szCs w:val="36"/>
          <w:lang w:val="en-US" w:eastAsia="zh-CN"/>
        </w:rPr>
        <w:t>4</w:t>
      </w:r>
      <w:bookmarkEnd w:id="74"/>
      <w:r>
        <w:rPr>
          <w:rFonts w:hint="eastAsia" w:eastAsia="黑体"/>
          <w:b w:val="0"/>
          <w:sz w:val="36"/>
          <w:szCs w:val="36"/>
          <w:lang w:val="en-US" w:eastAsia="zh-CN"/>
        </w:rPr>
        <w:t>投资估算与资金筹措</w:t>
      </w:r>
    </w:p>
    <w:p>
      <w:pPr>
        <w:pStyle w:val="5"/>
        <w:rPr>
          <w:rFonts w:hint="eastAsia" w:ascii="Times New Roman" w:hAnsi="Times New Roman" w:cs="Times New Roman"/>
          <w:b w:val="0"/>
          <w:bCs w:val="0"/>
          <w:color w:val="000000"/>
          <w:sz w:val="30"/>
          <w:szCs w:val="30"/>
          <w:lang w:val="en-US" w:eastAsia="zh-CN"/>
        </w:rPr>
      </w:pPr>
      <w:r>
        <w:rPr>
          <w:rFonts w:hint="eastAsia" w:ascii="Times New Roman" w:hAnsi="Times New Roman" w:cs="Times New Roman"/>
          <w:b w:val="0"/>
          <w:bCs w:val="0"/>
          <w:color w:val="000000"/>
          <w:sz w:val="30"/>
          <w:szCs w:val="30"/>
          <w:lang w:val="en-US" w:eastAsia="zh-CN"/>
        </w:rPr>
        <w:t>4.1投资估算</w:t>
      </w:r>
    </w:p>
    <w:p>
      <w:pPr>
        <w:rPr>
          <w:rFonts w:hint="eastAsia" w:ascii="Times New Roman" w:hAnsi="Times New Roman" w:eastAsia="黑体" w:cs="Times New Roman"/>
          <w:snapToGrid w:val="0"/>
          <w:kern w:val="0"/>
          <w:sz w:val="28"/>
          <w:szCs w:val="32"/>
        </w:rPr>
      </w:pPr>
      <w:r>
        <w:rPr>
          <w:rFonts w:hint="eastAsia" w:ascii="Times New Roman" w:hAnsi="Times New Roman" w:eastAsia="黑体" w:cs="Times New Roman"/>
          <w:snapToGrid w:val="0"/>
          <w:kern w:val="0"/>
          <w:sz w:val="28"/>
          <w:szCs w:val="32"/>
        </w:rPr>
        <w:t>4.1.1编制依据</w:t>
      </w:r>
    </w:p>
    <w:p>
      <w:pPr>
        <w:snapToGrid w:val="0"/>
        <w:spacing w:line="520" w:lineRule="atLeast"/>
        <w:ind w:firstLine="484" w:firstLineChars="200"/>
        <w:rPr>
          <w:rFonts w:hint="eastAsia" w:ascii="宋体" w:hAnsi="宋体"/>
          <w:sz w:val="24"/>
        </w:rPr>
      </w:pPr>
      <w:r>
        <w:rPr>
          <w:rFonts w:hint="eastAsia" w:ascii="宋体" w:hAnsi="宋体"/>
          <w:sz w:val="24"/>
        </w:rPr>
        <w:t>估</w:t>
      </w:r>
      <w:r>
        <w:rPr>
          <w:rFonts w:ascii="宋体" w:hAnsi="宋体"/>
          <w:sz w:val="24"/>
        </w:rPr>
        <w:t>算编制</w:t>
      </w:r>
      <w:r>
        <w:rPr>
          <w:rFonts w:hint="eastAsia" w:ascii="宋体" w:hAnsi="宋体"/>
          <w:sz w:val="24"/>
        </w:rPr>
        <w:t>按</w:t>
      </w:r>
      <w:r>
        <w:rPr>
          <w:rFonts w:ascii="宋体" w:hAnsi="宋体"/>
          <w:sz w:val="24"/>
        </w:rPr>
        <w:t>四川省水利厅现行有关编制规定、办法、定额、费率标准进行编制。主要文件依据：</w:t>
      </w:r>
    </w:p>
    <w:p>
      <w:pPr>
        <w:snapToGrid w:val="0"/>
        <w:spacing w:line="520" w:lineRule="atLeast"/>
        <w:ind w:firstLine="484" w:firstLineChars="200"/>
        <w:rPr>
          <w:rFonts w:hint="eastAsia" w:ascii="宋体" w:hAnsi="宋体"/>
          <w:sz w:val="24"/>
        </w:rPr>
      </w:pPr>
      <w:r>
        <w:rPr>
          <w:rFonts w:ascii="宋体" w:hAnsi="宋体"/>
          <w:sz w:val="24"/>
        </w:rPr>
        <w:t>（1）县级</w:t>
      </w:r>
      <w:r>
        <w:rPr>
          <w:rFonts w:hint="eastAsia" w:ascii="宋体" w:hAnsi="宋体"/>
          <w:sz w:val="24"/>
        </w:rPr>
        <w:t>“十四五”</w:t>
      </w:r>
      <w:r>
        <w:rPr>
          <w:rFonts w:ascii="宋体" w:hAnsi="宋体"/>
          <w:sz w:val="24"/>
        </w:rPr>
        <w:t>新农水规划编制提纲。</w:t>
      </w:r>
    </w:p>
    <w:p>
      <w:pPr>
        <w:snapToGrid w:val="0"/>
        <w:spacing w:line="520" w:lineRule="atLeast"/>
        <w:ind w:firstLine="484" w:firstLineChars="200"/>
        <w:rPr>
          <w:rFonts w:hint="eastAsia" w:ascii="宋体" w:hAnsi="宋体"/>
          <w:sz w:val="24"/>
        </w:rPr>
      </w:pPr>
      <w:r>
        <w:rPr>
          <w:rFonts w:ascii="宋体" w:hAnsi="宋体"/>
          <w:sz w:val="24"/>
        </w:rPr>
        <w:t>（</w:t>
      </w:r>
      <w:r>
        <w:rPr>
          <w:rFonts w:hint="eastAsia" w:ascii="宋体" w:hAnsi="宋体"/>
          <w:sz w:val="24"/>
        </w:rPr>
        <w:t>2</w:t>
      </w:r>
      <w:r>
        <w:rPr>
          <w:rFonts w:ascii="宋体" w:hAnsi="宋体"/>
          <w:sz w:val="24"/>
        </w:rPr>
        <w:t>）</w:t>
      </w:r>
      <w:r>
        <w:rPr>
          <w:rFonts w:hint="eastAsia" w:ascii="宋体" w:hAnsi="宋体"/>
          <w:sz w:val="24"/>
        </w:rPr>
        <w:t>川水发[2015]9号颁发四川省水利厅关于发布</w:t>
      </w:r>
      <w:r>
        <w:rPr>
          <w:rFonts w:ascii="宋体" w:hAnsi="宋体"/>
          <w:sz w:val="24"/>
        </w:rPr>
        <w:t>《四川省水利水电工程概（估）算编制规定》的通知；</w:t>
      </w:r>
    </w:p>
    <w:p>
      <w:pPr>
        <w:snapToGrid w:val="0"/>
        <w:spacing w:line="520" w:lineRule="atLeast"/>
        <w:ind w:firstLine="484" w:firstLineChars="200"/>
        <w:rPr>
          <w:rFonts w:hint="eastAsia" w:ascii="宋体" w:hAnsi="宋体"/>
          <w:sz w:val="24"/>
        </w:rPr>
      </w:pPr>
      <w:r>
        <w:rPr>
          <w:rFonts w:ascii="宋体" w:hAnsi="宋体"/>
          <w:sz w:val="24"/>
        </w:rPr>
        <w:t>（</w:t>
      </w:r>
      <w:r>
        <w:rPr>
          <w:rFonts w:hint="eastAsia" w:ascii="宋体" w:hAnsi="宋体"/>
          <w:sz w:val="24"/>
        </w:rPr>
        <w:t>3</w:t>
      </w:r>
      <w:r>
        <w:rPr>
          <w:rFonts w:ascii="宋体" w:hAnsi="宋体"/>
          <w:sz w:val="24"/>
        </w:rPr>
        <w:t>）川水发[2007]20号文颁发的《四川省水利水电建筑工程预算定额》</w:t>
      </w:r>
    </w:p>
    <w:p>
      <w:pPr>
        <w:snapToGrid w:val="0"/>
        <w:spacing w:line="520" w:lineRule="atLeast"/>
        <w:ind w:firstLine="484" w:firstLineChars="200"/>
        <w:rPr>
          <w:rFonts w:ascii="宋体" w:hAnsi="宋体"/>
          <w:sz w:val="24"/>
        </w:rPr>
      </w:pPr>
      <w:r>
        <w:rPr>
          <w:rFonts w:ascii="宋体" w:hAnsi="宋体"/>
          <w:sz w:val="24"/>
        </w:rPr>
        <w:t>（</w:t>
      </w:r>
      <w:r>
        <w:rPr>
          <w:rFonts w:hint="eastAsia" w:ascii="宋体" w:hAnsi="宋体"/>
          <w:sz w:val="24"/>
        </w:rPr>
        <w:t>4</w:t>
      </w:r>
      <w:r>
        <w:rPr>
          <w:rFonts w:ascii="宋体" w:hAnsi="宋体"/>
          <w:sz w:val="24"/>
        </w:rPr>
        <w:t>）水总[2002]116号文颁发的《水利工程施工机械台时费定额》；</w:t>
      </w:r>
    </w:p>
    <w:p>
      <w:pPr>
        <w:snapToGrid w:val="0"/>
        <w:spacing w:line="520" w:lineRule="atLeast"/>
        <w:ind w:firstLine="484" w:firstLineChars="200"/>
        <w:rPr>
          <w:rFonts w:hint="eastAsia" w:ascii="宋体" w:hAnsi="宋体"/>
          <w:sz w:val="24"/>
        </w:rPr>
      </w:pPr>
      <w:r>
        <w:rPr>
          <w:rFonts w:ascii="宋体" w:hAnsi="宋体"/>
          <w:sz w:val="24"/>
        </w:rPr>
        <w:t>（</w:t>
      </w:r>
      <w:r>
        <w:rPr>
          <w:rFonts w:hint="eastAsia" w:ascii="宋体" w:hAnsi="宋体"/>
          <w:sz w:val="24"/>
        </w:rPr>
        <w:t>5</w:t>
      </w:r>
      <w:r>
        <w:rPr>
          <w:rFonts w:ascii="宋体" w:hAnsi="宋体"/>
          <w:sz w:val="24"/>
        </w:rPr>
        <w:t>）水利部以水建管[1999]523号文颁布的《水利水电设备安装工程概算定额》；</w:t>
      </w:r>
    </w:p>
    <w:p>
      <w:pPr>
        <w:snapToGrid w:val="0"/>
        <w:spacing w:line="520" w:lineRule="atLeast"/>
        <w:ind w:firstLine="484" w:firstLineChars="200"/>
        <w:rPr>
          <w:rFonts w:hint="eastAsia" w:ascii="宋体" w:hAnsi="宋体"/>
          <w:sz w:val="24"/>
        </w:rPr>
      </w:pPr>
      <w:r>
        <w:rPr>
          <w:rFonts w:ascii="宋体" w:hAnsi="宋体"/>
          <w:sz w:val="24"/>
        </w:rPr>
        <w:t>（</w:t>
      </w:r>
      <w:r>
        <w:rPr>
          <w:rFonts w:hint="eastAsia" w:ascii="宋体" w:hAnsi="宋体"/>
          <w:sz w:val="24"/>
        </w:rPr>
        <w:t>6</w:t>
      </w:r>
      <w:r>
        <w:rPr>
          <w:rFonts w:ascii="宋体" w:hAnsi="宋体"/>
          <w:sz w:val="24"/>
        </w:rPr>
        <w:t>）</w:t>
      </w:r>
      <w:r>
        <w:rPr>
          <w:rFonts w:hint="eastAsia" w:ascii="宋体" w:hAnsi="宋体"/>
          <w:sz w:val="24"/>
        </w:rPr>
        <w:t>川水办[2019]610号四川省水利厅关于印发《增值税税率调整后‹四川省水利水电工程设计概(估)算编制规定›的相应调整办法》的通知；</w:t>
      </w:r>
    </w:p>
    <w:p>
      <w:pPr>
        <w:snapToGrid w:val="0"/>
        <w:spacing w:line="520" w:lineRule="atLeast"/>
        <w:ind w:firstLine="484" w:firstLineChars="200"/>
        <w:rPr>
          <w:rFonts w:ascii="宋体" w:hAnsi="宋体"/>
          <w:sz w:val="24"/>
        </w:rPr>
      </w:pPr>
      <w:r>
        <w:rPr>
          <w:rFonts w:ascii="宋体" w:hAnsi="宋体"/>
          <w:sz w:val="24"/>
        </w:rPr>
        <w:t>（</w:t>
      </w:r>
      <w:r>
        <w:rPr>
          <w:rFonts w:hint="eastAsia" w:ascii="宋体" w:hAnsi="宋体"/>
          <w:sz w:val="24"/>
        </w:rPr>
        <w:t>7</w:t>
      </w:r>
      <w:r>
        <w:rPr>
          <w:rFonts w:ascii="宋体" w:hAnsi="宋体"/>
          <w:sz w:val="24"/>
        </w:rPr>
        <w:t>）设计文件及图纸；</w:t>
      </w:r>
    </w:p>
    <w:p>
      <w:pPr>
        <w:snapToGrid w:val="0"/>
        <w:spacing w:line="520" w:lineRule="atLeast"/>
        <w:ind w:firstLine="484" w:firstLineChars="200"/>
        <w:rPr>
          <w:rFonts w:ascii="宋体" w:hAnsi="宋体"/>
          <w:sz w:val="24"/>
        </w:rPr>
      </w:pPr>
      <w:r>
        <w:rPr>
          <w:rFonts w:ascii="宋体" w:hAnsi="宋体"/>
          <w:sz w:val="24"/>
        </w:rPr>
        <w:t>上述文件简称“有关规定”。</w:t>
      </w:r>
    </w:p>
    <w:p>
      <w:pPr>
        <w:rPr>
          <w:rFonts w:hint="eastAsia" w:ascii="Times New Roman" w:hAnsi="Times New Roman" w:eastAsia="黑体" w:cs="Times New Roman"/>
          <w:snapToGrid w:val="0"/>
          <w:kern w:val="0"/>
          <w:sz w:val="28"/>
          <w:szCs w:val="32"/>
        </w:rPr>
      </w:pPr>
      <w:r>
        <w:rPr>
          <w:rFonts w:hint="eastAsia" w:ascii="Times New Roman" w:hAnsi="Times New Roman" w:eastAsia="黑体" w:cs="Times New Roman"/>
          <w:snapToGrid w:val="0"/>
          <w:kern w:val="0"/>
          <w:sz w:val="28"/>
          <w:szCs w:val="32"/>
        </w:rPr>
        <w:t>4.1.2投资估算方法</w:t>
      </w:r>
    </w:p>
    <w:p>
      <w:pPr>
        <w:pStyle w:val="49"/>
        <w:spacing w:line="360" w:lineRule="auto"/>
        <w:ind w:left="0" w:leftChars="0" w:firstLine="0" w:firstLineChars="0"/>
        <w:rPr>
          <w:rFonts w:ascii="Times New Roman" w:hAnsi="宋体"/>
          <w:sz w:val="28"/>
        </w:rPr>
      </w:pPr>
      <w:r>
        <w:rPr>
          <w:rFonts w:hint="eastAsia" w:ascii="Times New Roman" w:hAnsi="宋体"/>
          <w:sz w:val="28"/>
        </w:rPr>
        <w:t>4.1.2.1</w:t>
      </w:r>
      <w:r>
        <w:rPr>
          <w:rFonts w:ascii="Times New Roman" w:hAnsi="宋体"/>
          <w:sz w:val="28"/>
        </w:rPr>
        <w:t>基础资料</w:t>
      </w:r>
    </w:p>
    <w:p>
      <w:pPr>
        <w:numPr>
          <w:ilvl w:val="0"/>
          <w:numId w:val="10"/>
        </w:numPr>
        <w:spacing w:line="360" w:lineRule="auto"/>
        <w:ind w:firstLine="484" w:firstLineChars="200"/>
        <w:rPr>
          <w:rFonts w:ascii="宋体" w:hAnsi="宋体"/>
          <w:sz w:val="24"/>
        </w:rPr>
      </w:pPr>
      <w:r>
        <w:rPr>
          <w:rFonts w:ascii="宋体" w:hAnsi="宋体"/>
          <w:sz w:val="24"/>
        </w:rPr>
        <w:t>人工预算单价</w:t>
      </w:r>
    </w:p>
    <w:p>
      <w:pPr>
        <w:snapToGrid w:val="0"/>
        <w:spacing w:line="400" w:lineRule="atLeast"/>
        <w:ind w:firstLine="484" w:firstLineChars="200"/>
        <w:jc w:val="center"/>
        <w:rPr>
          <w:rFonts w:hint="eastAsia" w:ascii="宋体" w:hAnsi="宋体"/>
          <w:b/>
          <w:bCs/>
          <w:sz w:val="24"/>
        </w:rPr>
      </w:pPr>
      <w:r>
        <w:rPr>
          <w:rFonts w:hint="eastAsia" w:ascii="宋体" w:hAnsi="宋体"/>
          <w:b/>
          <w:bCs/>
          <w:sz w:val="24"/>
        </w:rPr>
        <w:t>人工预算单价汇总表</w:t>
      </w:r>
    </w:p>
    <w:p>
      <w:pPr>
        <w:snapToGrid w:val="0"/>
        <w:spacing w:line="400" w:lineRule="atLeast"/>
        <w:ind w:right="560"/>
        <w:jc w:val="center"/>
        <w:rPr>
          <w:rFonts w:hint="eastAsia" w:ascii="宋体" w:hAnsi="宋体"/>
        </w:rPr>
      </w:pPr>
      <w:r>
        <w:rPr>
          <w:rFonts w:hint="eastAsia" w:ascii="宋体" w:hAnsi="宋体"/>
        </w:rPr>
        <w:t>表1                                                  单位：元/工时</w:t>
      </w:r>
    </w:p>
    <w:tbl>
      <w:tblPr>
        <w:tblStyle w:val="8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1"/>
        <w:gridCol w:w="2055"/>
        <w:gridCol w:w="1267"/>
        <w:gridCol w:w="1395"/>
        <w:gridCol w:w="1260"/>
        <w:gridCol w:w="1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1151" w:type="dxa"/>
            <w:noWrap w:val="0"/>
            <w:vAlign w:val="center"/>
          </w:tcPr>
          <w:p>
            <w:pPr>
              <w:snapToGrid w:val="0"/>
              <w:spacing w:line="440" w:lineRule="atLeast"/>
              <w:jc w:val="center"/>
              <w:rPr>
                <w:rFonts w:hint="eastAsia" w:ascii="宋体" w:hAnsi="宋体"/>
              </w:rPr>
            </w:pPr>
            <w:r>
              <w:rPr>
                <w:rFonts w:hint="eastAsia" w:ascii="宋体" w:hAnsi="宋体"/>
              </w:rPr>
              <w:t>区县</w:t>
            </w:r>
          </w:p>
        </w:tc>
        <w:tc>
          <w:tcPr>
            <w:tcW w:w="2055" w:type="dxa"/>
            <w:noWrap w:val="0"/>
            <w:vAlign w:val="center"/>
          </w:tcPr>
          <w:p>
            <w:pPr>
              <w:snapToGrid w:val="0"/>
              <w:spacing w:line="440" w:lineRule="atLeast"/>
              <w:jc w:val="center"/>
              <w:rPr>
                <w:rFonts w:hint="eastAsia" w:ascii="宋体" w:hAnsi="宋体"/>
              </w:rPr>
            </w:pPr>
            <w:r>
              <w:rPr>
                <w:rFonts w:hint="eastAsia" w:ascii="宋体" w:hAnsi="宋体"/>
              </w:rPr>
              <w:t>地区类别与等级</w:t>
            </w:r>
          </w:p>
        </w:tc>
        <w:tc>
          <w:tcPr>
            <w:tcW w:w="1267" w:type="dxa"/>
            <w:noWrap w:val="0"/>
            <w:vAlign w:val="center"/>
          </w:tcPr>
          <w:p>
            <w:pPr>
              <w:snapToGrid w:val="0"/>
              <w:spacing w:line="440" w:lineRule="atLeast"/>
              <w:jc w:val="center"/>
              <w:rPr>
                <w:rFonts w:ascii="宋体" w:hAnsi="宋体"/>
              </w:rPr>
            </w:pPr>
            <w:r>
              <w:rPr>
                <w:rFonts w:ascii="宋体" w:hAnsi="宋体"/>
              </w:rPr>
              <w:t>工长</w:t>
            </w:r>
          </w:p>
        </w:tc>
        <w:tc>
          <w:tcPr>
            <w:tcW w:w="1395" w:type="dxa"/>
            <w:noWrap w:val="0"/>
            <w:vAlign w:val="center"/>
          </w:tcPr>
          <w:p>
            <w:pPr>
              <w:snapToGrid w:val="0"/>
              <w:spacing w:line="440" w:lineRule="atLeast"/>
              <w:jc w:val="center"/>
              <w:rPr>
                <w:rFonts w:ascii="宋体" w:hAnsi="宋体"/>
              </w:rPr>
            </w:pPr>
            <w:r>
              <w:rPr>
                <w:rFonts w:ascii="宋体" w:hAnsi="宋体"/>
              </w:rPr>
              <w:t>高级工</w:t>
            </w:r>
          </w:p>
        </w:tc>
        <w:tc>
          <w:tcPr>
            <w:tcW w:w="1260" w:type="dxa"/>
            <w:noWrap w:val="0"/>
            <w:vAlign w:val="center"/>
          </w:tcPr>
          <w:p>
            <w:pPr>
              <w:snapToGrid w:val="0"/>
              <w:spacing w:line="440" w:lineRule="atLeast"/>
              <w:jc w:val="center"/>
              <w:rPr>
                <w:rFonts w:ascii="宋体" w:hAnsi="宋体"/>
              </w:rPr>
            </w:pPr>
            <w:r>
              <w:rPr>
                <w:rFonts w:ascii="宋体" w:hAnsi="宋体"/>
              </w:rPr>
              <w:t>中级工</w:t>
            </w:r>
          </w:p>
        </w:tc>
        <w:tc>
          <w:tcPr>
            <w:tcW w:w="1440" w:type="dxa"/>
            <w:noWrap w:val="0"/>
            <w:vAlign w:val="center"/>
          </w:tcPr>
          <w:p>
            <w:pPr>
              <w:snapToGrid w:val="0"/>
              <w:spacing w:line="440" w:lineRule="atLeast"/>
              <w:jc w:val="center"/>
              <w:rPr>
                <w:rFonts w:ascii="宋体" w:hAnsi="宋体"/>
              </w:rPr>
            </w:pPr>
            <w:r>
              <w:rPr>
                <w:rFonts w:ascii="宋体" w:hAnsi="宋体"/>
              </w:rPr>
              <w:t>初级工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151" w:type="dxa"/>
            <w:noWrap w:val="0"/>
            <w:vAlign w:val="center"/>
          </w:tcPr>
          <w:p>
            <w:pPr>
              <w:snapToGrid w:val="0"/>
              <w:spacing w:line="440" w:lineRule="atLeast"/>
              <w:jc w:val="center"/>
              <w:rPr>
                <w:rFonts w:hint="eastAsia" w:ascii="宋体" w:hAnsi="宋体" w:eastAsia="宋体"/>
                <w:lang w:eastAsia="zh-CN"/>
              </w:rPr>
            </w:pPr>
            <w:r>
              <w:rPr>
                <w:rFonts w:hint="eastAsia" w:ascii="宋体" w:hAnsi="宋体"/>
                <w:lang w:eastAsia="zh-CN"/>
              </w:rPr>
              <w:t>马边彝族自治县</w:t>
            </w:r>
          </w:p>
        </w:tc>
        <w:tc>
          <w:tcPr>
            <w:tcW w:w="2055" w:type="dxa"/>
            <w:noWrap w:val="0"/>
            <w:vAlign w:val="center"/>
          </w:tcPr>
          <w:p>
            <w:pPr>
              <w:snapToGrid w:val="0"/>
              <w:spacing w:line="440" w:lineRule="atLeast"/>
              <w:jc w:val="center"/>
              <w:rPr>
                <w:rFonts w:ascii="宋体" w:hAnsi="宋体"/>
              </w:rPr>
            </w:pPr>
            <w:r>
              <w:rPr>
                <w:rFonts w:hint="eastAsia" w:ascii="宋体" w:hAnsi="宋体"/>
              </w:rPr>
              <w:t>三类</w:t>
            </w:r>
            <w:r>
              <w:rPr>
                <w:rFonts w:ascii="宋体" w:hAnsi="宋体"/>
              </w:rPr>
              <w:t>区</w:t>
            </w:r>
          </w:p>
        </w:tc>
        <w:tc>
          <w:tcPr>
            <w:tcW w:w="1267" w:type="dxa"/>
            <w:noWrap w:val="0"/>
            <w:vAlign w:val="center"/>
          </w:tcPr>
          <w:p>
            <w:pPr>
              <w:snapToGrid w:val="0"/>
              <w:spacing w:line="440" w:lineRule="atLeast"/>
              <w:jc w:val="center"/>
              <w:rPr>
                <w:rFonts w:hint="eastAsia" w:ascii="宋体" w:hAnsi="宋体"/>
              </w:rPr>
            </w:pPr>
            <w:r>
              <w:rPr>
                <w:rFonts w:hint="eastAsia" w:ascii="宋体" w:hAnsi="宋体"/>
              </w:rPr>
              <w:t>9.42</w:t>
            </w:r>
          </w:p>
        </w:tc>
        <w:tc>
          <w:tcPr>
            <w:tcW w:w="1395" w:type="dxa"/>
            <w:noWrap w:val="0"/>
            <w:vAlign w:val="center"/>
          </w:tcPr>
          <w:p>
            <w:pPr>
              <w:snapToGrid w:val="0"/>
              <w:spacing w:line="440" w:lineRule="atLeast"/>
              <w:jc w:val="center"/>
              <w:rPr>
                <w:rFonts w:hint="eastAsia" w:ascii="宋体" w:hAnsi="宋体"/>
              </w:rPr>
            </w:pPr>
            <w:r>
              <w:rPr>
                <w:rFonts w:hint="eastAsia" w:ascii="宋体" w:hAnsi="宋体"/>
              </w:rPr>
              <w:t>8.75</w:t>
            </w:r>
          </w:p>
        </w:tc>
        <w:tc>
          <w:tcPr>
            <w:tcW w:w="1260" w:type="dxa"/>
            <w:noWrap w:val="0"/>
            <w:vAlign w:val="center"/>
          </w:tcPr>
          <w:p>
            <w:pPr>
              <w:snapToGrid w:val="0"/>
              <w:spacing w:line="440" w:lineRule="atLeast"/>
              <w:jc w:val="center"/>
              <w:rPr>
                <w:rFonts w:hint="eastAsia" w:ascii="宋体" w:hAnsi="宋体"/>
              </w:rPr>
            </w:pPr>
            <w:r>
              <w:rPr>
                <w:rFonts w:hint="eastAsia" w:ascii="宋体" w:hAnsi="宋体"/>
              </w:rPr>
              <w:t>6.89</w:t>
            </w:r>
          </w:p>
        </w:tc>
        <w:tc>
          <w:tcPr>
            <w:tcW w:w="1440" w:type="dxa"/>
            <w:noWrap w:val="0"/>
            <w:vAlign w:val="center"/>
          </w:tcPr>
          <w:p>
            <w:pPr>
              <w:snapToGrid w:val="0"/>
              <w:spacing w:line="440" w:lineRule="atLeast"/>
              <w:jc w:val="center"/>
              <w:rPr>
                <w:rFonts w:hint="eastAsia" w:ascii="宋体" w:hAnsi="宋体"/>
              </w:rPr>
            </w:pPr>
            <w:r>
              <w:rPr>
                <w:rFonts w:hint="eastAsia" w:ascii="宋体" w:hAnsi="宋体"/>
              </w:rPr>
              <w:t>4.99</w:t>
            </w:r>
          </w:p>
        </w:tc>
      </w:tr>
    </w:tbl>
    <w:p>
      <w:pPr>
        <w:spacing w:line="360" w:lineRule="auto"/>
        <w:ind w:firstLine="484" w:firstLineChars="200"/>
        <w:rPr>
          <w:rFonts w:ascii="宋体" w:hAnsi="宋体"/>
          <w:sz w:val="24"/>
        </w:rPr>
      </w:pPr>
      <w:r>
        <w:rPr>
          <w:rFonts w:hint="eastAsia" w:ascii="宋体" w:hAnsi="宋体"/>
          <w:sz w:val="24"/>
        </w:rPr>
        <w:t>（</w:t>
      </w:r>
      <w:r>
        <w:rPr>
          <w:rFonts w:ascii="宋体" w:hAnsi="宋体"/>
          <w:sz w:val="24"/>
        </w:rPr>
        <w:t>2</w:t>
      </w:r>
      <w:r>
        <w:rPr>
          <w:rFonts w:hint="eastAsia" w:ascii="宋体" w:hAnsi="宋体"/>
          <w:sz w:val="24"/>
        </w:rPr>
        <w:t>）</w:t>
      </w:r>
      <w:r>
        <w:rPr>
          <w:rFonts w:ascii="宋体" w:hAnsi="宋体"/>
          <w:sz w:val="24"/>
        </w:rPr>
        <w:t>费  率</w:t>
      </w:r>
    </w:p>
    <w:p>
      <w:pPr>
        <w:snapToGrid w:val="0"/>
        <w:spacing w:line="520" w:lineRule="atLeast"/>
        <w:ind w:firstLine="484" w:firstLineChars="200"/>
        <w:rPr>
          <w:rFonts w:ascii="宋体" w:hAnsi="宋体"/>
          <w:sz w:val="24"/>
        </w:rPr>
      </w:pPr>
      <w:r>
        <w:rPr>
          <w:rFonts w:ascii="宋体" w:hAnsi="宋体"/>
          <w:sz w:val="24"/>
        </w:rPr>
        <w:t>本工程采用的取费标准按照规定计列，详见表</w:t>
      </w:r>
      <w:r>
        <w:rPr>
          <w:rFonts w:hint="eastAsia" w:ascii="宋体" w:hAnsi="宋体"/>
          <w:sz w:val="24"/>
        </w:rPr>
        <w:t>2</w:t>
      </w:r>
      <w:r>
        <w:rPr>
          <w:rFonts w:ascii="宋体" w:hAnsi="宋体"/>
          <w:sz w:val="24"/>
        </w:rPr>
        <w:t>。</w:t>
      </w:r>
    </w:p>
    <w:p>
      <w:pPr>
        <w:ind w:firstLine="690"/>
        <w:jc w:val="center"/>
        <w:rPr>
          <w:rFonts w:hint="eastAsia" w:hAnsi="宋体"/>
          <w:b/>
          <w:sz w:val="24"/>
        </w:rPr>
      </w:pPr>
    </w:p>
    <w:p>
      <w:pPr>
        <w:ind w:firstLine="690"/>
        <w:jc w:val="center"/>
        <w:rPr>
          <w:b/>
          <w:sz w:val="24"/>
        </w:rPr>
      </w:pPr>
      <w:r>
        <w:rPr>
          <w:rFonts w:hAnsi="宋体"/>
          <w:b/>
          <w:sz w:val="24"/>
        </w:rPr>
        <w:t>建筑工程取费费率表</w:t>
      </w:r>
    </w:p>
    <w:p>
      <w:pPr>
        <w:ind w:firstLine="690"/>
      </w:pPr>
      <w:r>
        <w:rPr>
          <w:rFonts w:hAnsi="宋体"/>
        </w:rPr>
        <w:t>表</w:t>
      </w:r>
      <w:r>
        <w:rPr>
          <w:rFonts w:hint="eastAsia"/>
        </w:rPr>
        <w:t>2</w:t>
      </w:r>
      <w:r>
        <w:t xml:space="preserve">     </w:t>
      </w:r>
      <w:r>
        <w:rPr>
          <w:rFonts w:hint="eastAsia"/>
        </w:rPr>
        <w:t xml:space="preserve">   </w:t>
      </w:r>
      <w:r>
        <w:t xml:space="preserve">                                         </w:t>
      </w:r>
      <w:r>
        <w:rPr>
          <w:rFonts w:hAnsi="宋体"/>
        </w:rPr>
        <w:t>单位：　</w:t>
      </w:r>
      <w:r>
        <w:t>%</w:t>
      </w:r>
    </w:p>
    <w:tbl>
      <w:tblPr>
        <w:tblStyle w:val="86"/>
        <w:tblW w:w="8864" w:type="dxa"/>
        <w:tblInd w:w="0" w:type="dxa"/>
        <w:tblLayout w:type="fixed"/>
        <w:tblCellMar>
          <w:top w:w="0" w:type="dxa"/>
          <w:left w:w="0" w:type="dxa"/>
          <w:bottom w:w="0" w:type="dxa"/>
          <w:right w:w="0" w:type="dxa"/>
        </w:tblCellMar>
      </w:tblPr>
      <w:tblGrid>
        <w:gridCol w:w="536"/>
        <w:gridCol w:w="1532"/>
        <w:gridCol w:w="1530"/>
        <w:gridCol w:w="792"/>
        <w:gridCol w:w="788"/>
        <w:gridCol w:w="709"/>
        <w:gridCol w:w="850"/>
        <w:gridCol w:w="567"/>
        <w:gridCol w:w="851"/>
        <w:gridCol w:w="709"/>
      </w:tblGrid>
      <w:tr>
        <w:tblPrEx>
          <w:tblCellMar>
            <w:top w:w="0" w:type="dxa"/>
            <w:left w:w="0" w:type="dxa"/>
            <w:bottom w:w="0" w:type="dxa"/>
            <w:right w:w="0" w:type="dxa"/>
          </w:tblCellMar>
        </w:tblPrEx>
        <w:trPr>
          <w:cantSplit/>
          <w:trHeight w:val="292" w:hRule="atLeast"/>
        </w:trPr>
        <w:tc>
          <w:tcPr>
            <w:tcW w:w="536" w:type="dxa"/>
            <w:vMerge w:val="restart"/>
            <w:tcBorders>
              <w:top w:val="single" w:color="auto" w:sz="4" w:space="0"/>
              <w:left w:val="single" w:color="auto" w:sz="4" w:space="0"/>
              <w:bottom w:val="single" w:color="000000" w:sz="4" w:space="0"/>
              <w:right w:val="single" w:color="auto" w:sz="4" w:space="0"/>
            </w:tcBorders>
            <w:noWrap w:val="0"/>
            <w:tcMar>
              <w:top w:w="14" w:type="dxa"/>
              <w:left w:w="14" w:type="dxa"/>
              <w:bottom w:w="0" w:type="dxa"/>
              <w:right w:w="14" w:type="dxa"/>
            </w:tcMar>
            <w:vAlign w:val="center"/>
          </w:tcPr>
          <w:p>
            <w:pPr>
              <w:adjustRightInd w:val="0"/>
              <w:snapToGrid w:val="0"/>
              <w:spacing w:line="400" w:lineRule="atLeast"/>
              <w:jc w:val="center"/>
              <w:rPr>
                <w:szCs w:val="21"/>
              </w:rPr>
            </w:pPr>
            <w:r>
              <w:rPr>
                <w:szCs w:val="21"/>
              </w:rPr>
              <w:t>编号</w:t>
            </w:r>
          </w:p>
        </w:tc>
        <w:tc>
          <w:tcPr>
            <w:tcW w:w="1532" w:type="dxa"/>
            <w:vMerge w:val="restart"/>
            <w:tcBorders>
              <w:top w:val="single" w:color="auto" w:sz="4" w:space="0"/>
              <w:left w:val="single" w:color="auto" w:sz="4" w:space="0"/>
              <w:bottom w:val="single" w:color="000000" w:sz="4" w:space="0"/>
              <w:right w:val="single" w:color="auto" w:sz="4" w:space="0"/>
            </w:tcBorders>
            <w:noWrap w:val="0"/>
            <w:tcMar>
              <w:top w:w="14" w:type="dxa"/>
              <w:left w:w="14" w:type="dxa"/>
              <w:bottom w:w="0" w:type="dxa"/>
              <w:right w:w="14" w:type="dxa"/>
            </w:tcMar>
            <w:vAlign w:val="center"/>
          </w:tcPr>
          <w:p>
            <w:pPr>
              <w:adjustRightInd w:val="0"/>
              <w:snapToGrid w:val="0"/>
              <w:spacing w:line="400" w:lineRule="atLeast"/>
              <w:jc w:val="center"/>
              <w:rPr>
                <w:szCs w:val="21"/>
              </w:rPr>
            </w:pPr>
            <w:r>
              <w:rPr>
                <w:szCs w:val="21"/>
              </w:rPr>
              <w:t>项目名称</w:t>
            </w:r>
          </w:p>
        </w:tc>
        <w:tc>
          <w:tcPr>
            <w:tcW w:w="1530" w:type="dxa"/>
            <w:vMerge w:val="restart"/>
            <w:tcBorders>
              <w:top w:val="single" w:color="auto" w:sz="4" w:space="0"/>
              <w:left w:val="single" w:color="auto" w:sz="4" w:space="0"/>
              <w:bottom w:val="single" w:color="000000" w:sz="4" w:space="0"/>
              <w:right w:val="single" w:color="auto" w:sz="4" w:space="0"/>
            </w:tcBorders>
            <w:noWrap w:val="0"/>
            <w:tcMar>
              <w:top w:w="14" w:type="dxa"/>
              <w:left w:w="14" w:type="dxa"/>
              <w:bottom w:w="0" w:type="dxa"/>
              <w:right w:w="14" w:type="dxa"/>
            </w:tcMar>
            <w:vAlign w:val="center"/>
          </w:tcPr>
          <w:p>
            <w:pPr>
              <w:adjustRightInd w:val="0"/>
              <w:snapToGrid w:val="0"/>
              <w:spacing w:line="400" w:lineRule="atLeast"/>
              <w:jc w:val="center"/>
              <w:rPr>
                <w:szCs w:val="21"/>
              </w:rPr>
            </w:pPr>
            <w:r>
              <w:rPr>
                <w:szCs w:val="21"/>
              </w:rPr>
              <w:t>计算基础</w:t>
            </w:r>
          </w:p>
        </w:tc>
        <w:tc>
          <w:tcPr>
            <w:tcW w:w="792" w:type="dxa"/>
            <w:tcBorders>
              <w:top w:val="single" w:color="auto" w:sz="4" w:space="0"/>
              <w:left w:val="nil"/>
              <w:bottom w:val="nil"/>
              <w:right w:val="single" w:color="auto" w:sz="4" w:space="0"/>
            </w:tcBorders>
            <w:noWrap w:val="0"/>
            <w:tcMar>
              <w:top w:w="14" w:type="dxa"/>
              <w:left w:w="14" w:type="dxa"/>
              <w:bottom w:w="0" w:type="dxa"/>
              <w:right w:w="14" w:type="dxa"/>
            </w:tcMar>
            <w:vAlign w:val="center"/>
          </w:tcPr>
          <w:p>
            <w:pPr>
              <w:adjustRightInd w:val="0"/>
              <w:snapToGrid w:val="0"/>
              <w:spacing w:line="400" w:lineRule="atLeast"/>
              <w:jc w:val="center"/>
              <w:rPr>
                <w:szCs w:val="21"/>
              </w:rPr>
            </w:pPr>
            <w:r>
              <w:rPr>
                <w:szCs w:val="21"/>
              </w:rPr>
              <w:t>土方</w:t>
            </w:r>
          </w:p>
        </w:tc>
        <w:tc>
          <w:tcPr>
            <w:tcW w:w="788" w:type="dxa"/>
            <w:tcBorders>
              <w:top w:val="single" w:color="auto" w:sz="4" w:space="0"/>
              <w:left w:val="nil"/>
              <w:bottom w:val="nil"/>
              <w:right w:val="single" w:color="auto" w:sz="4" w:space="0"/>
            </w:tcBorders>
            <w:noWrap w:val="0"/>
            <w:tcMar>
              <w:top w:w="14" w:type="dxa"/>
              <w:left w:w="14" w:type="dxa"/>
              <w:bottom w:w="0" w:type="dxa"/>
              <w:right w:w="14" w:type="dxa"/>
            </w:tcMar>
            <w:vAlign w:val="center"/>
          </w:tcPr>
          <w:p>
            <w:pPr>
              <w:adjustRightInd w:val="0"/>
              <w:snapToGrid w:val="0"/>
              <w:spacing w:line="400" w:lineRule="atLeast"/>
              <w:jc w:val="center"/>
              <w:rPr>
                <w:rFonts w:hint="eastAsia"/>
                <w:szCs w:val="21"/>
              </w:rPr>
            </w:pPr>
            <w:r>
              <w:rPr>
                <w:rFonts w:hint="eastAsia"/>
                <w:szCs w:val="21"/>
              </w:rPr>
              <w:t>石方</w:t>
            </w:r>
          </w:p>
        </w:tc>
        <w:tc>
          <w:tcPr>
            <w:tcW w:w="709" w:type="dxa"/>
            <w:vMerge w:val="restart"/>
            <w:tcBorders>
              <w:top w:val="single" w:color="auto" w:sz="4" w:space="0"/>
              <w:left w:val="single" w:color="auto" w:sz="4" w:space="0"/>
              <w:bottom w:val="single" w:color="000000" w:sz="4" w:space="0"/>
              <w:right w:val="single" w:color="auto" w:sz="4" w:space="0"/>
            </w:tcBorders>
            <w:noWrap w:val="0"/>
            <w:tcMar>
              <w:top w:w="14" w:type="dxa"/>
              <w:left w:w="14" w:type="dxa"/>
              <w:bottom w:w="0" w:type="dxa"/>
              <w:right w:w="14" w:type="dxa"/>
            </w:tcMar>
            <w:vAlign w:val="center"/>
          </w:tcPr>
          <w:p>
            <w:pPr>
              <w:adjustRightInd w:val="0"/>
              <w:snapToGrid w:val="0"/>
              <w:spacing w:line="400" w:lineRule="atLeast"/>
              <w:jc w:val="center"/>
              <w:rPr>
                <w:rFonts w:hint="eastAsia"/>
                <w:szCs w:val="21"/>
              </w:rPr>
            </w:pPr>
            <w:r>
              <w:rPr>
                <w:rFonts w:hint="eastAsia"/>
                <w:szCs w:val="21"/>
              </w:rPr>
              <w:t>砌石</w:t>
            </w:r>
          </w:p>
          <w:p>
            <w:pPr>
              <w:adjustRightInd w:val="0"/>
              <w:snapToGrid w:val="0"/>
              <w:spacing w:line="400" w:lineRule="atLeast"/>
              <w:jc w:val="center"/>
              <w:rPr>
                <w:szCs w:val="21"/>
              </w:rPr>
            </w:pPr>
            <w:r>
              <w:rPr>
                <w:szCs w:val="21"/>
              </w:rPr>
              <w:t>工程</w:t>
            </w:r>
          </w:p>
        </w:tc>
        <w:tc>
          <w:tcPr>
            <w:tcW w:w="850" w:type="dxa"/>
            <w:tcBorders>
              <w:top w:val="single" w:color="auto" w:sz="4" w:space="0"/>
              <w:left w:val="nil"/>
              <w:bottom w:val="nil"/>
              <w:right w:val="single" w:color="auto" w:sz="4" w:space="0"/>
            </w:tcBorders>
            <w:noWrap w:val="0"/>
            <w:tcMar>
              <w:top w:w="14" w:type="dxa"/>
              <w:left w:w="14" w:type="dxa"/>
              <w:bottom w:w="0" w:type="dxa"/>
              <w:right w:w="14" w:type="dxa"/>
            </w:tcMar>
            <w:vAlign w:val="top"/>
          </w:tcPr>
          <w:p>
            <w:pPr>
              <w:adjustRightInd w:val="0"/>
              <w:snapToGrid w:val="0"/>
              <w:spacing w:line="400" w:lineRule="atLeast"/>
              <w:jc w:val="center"/>
              <w:rPr>
                <w:rFonts w:hint="eastAsia"/>
                <w:szCs w:val="21"/>
              </w:rPr>
            </w:pPr>
            <w:r>
              <w:rPr>
                <w:szCs w:val="21"/>
              </w:rPr>
              <w:t>砼</w:t>
            </w:r>
          </w:p>
        </w:tc>
        <w:tc>
          <w:tcPr>
            <w:tcW w:w="567" w:type="dxa"/>
            <w:vMerge w:val="restart"/>
            <w:tcBorders>
              <w:top w:val="single" w:color="auto" w:sz="4" w:space="0"/>
              <w:left w:val="single" w:color="auto" w:sz="4" w:space="0"/>
              <w:bottom w:val="single" w:color="000000" w:sz="4" w:space="0"/>
              <w:right w:val="single" w:color="auto" w:sz="4" w:space="0"/>
            </w:tcBorders>
            <w:noWrap w:val="0"/>
            <w:tcMar>
              <w:top w:w="14" w:type="dxa"/>
              <w:left w:w="14" w:type="dxa"/>
              <w:bottom w:w="0" w:type="dxa"/>
              <w:right w:w="14" w:type="dxa"/>
            </w:tcMar>
            <w:vAlign w:val="center"/>
          </w:tcPr>
          <w:p>
            <w:pPr>
              <w:adjustRightInd w:val="0"/>
              <w:snapToGrid w:val="0"/>
              <w:spacing w:line="400" w:lineRule="atLeast"/>
              <w:jc w:val="center"/>
              <w:rPr>
                <w:szCs w:val="21"/>
              </w:rPr>
            </w:pPr>
            <w:r>
              <w:rPr>
                <w:szCs w:val="21"/>
              </w:rPr>
              <w:t>模板</w:t>
            </w:r>
          </w:p>
          <w:p>
            <w:pPr>
              <w:adjustRightInd w:val="0"/>
              <w:snapToGrid w:val="0"/>
              <w:spacing w:line="400" w:lineRule="atLeast"/>
              <w:jc w:val="center"/>
              <w:rPr>
                <w:szCs w:val="21"/>
              </w:rPr>
            </w:pPr>
            <w:r>
              <w:rPr>
                <w:szCs w:val="21"/>
              </w:rPr>
              <w:t>工程</w:t>
            </w:r>
          </w:p>
        </w:tc>
        <w:tc>
          <w:tcPr>
            <w:tcW w:w="851" w:type="dxa"/>
            <w:vMerge w:val="restart"/>
            <w:tcBorders>
              <w:top w:val="single" w:color="auto" w:sz="4" w:space="0"/>
              <w:left w:val="single" w:color="auto" w:sz="4" w:space="0"/>
              <w:right w:val="single" w:color="auto" w:sz="4" w:space="0"/>
            </w:tcBorders>
            <w:noWrap w:val="0"/>
            <w:vAlign w:val="top"/>
          </w:tcPr>
          <w:p>
            <w:pPr>
              <w:adjustRightInd w:val="0"/>
              <w:snapToGrid w:val="0"/>
              <w:spacing w:line="400" w:lineRule="atLeast"/>
              <w:jc w:val="center"/>
              <w:rPr>
                <w:szCs w:val="21"/>
              </w:rPr>
            </w:pPr>
            <w:r>
              <w:rPr>
                <w:rFonts w:hint="eastAsia"/>
                <w:szCs w:val="21"/>
              </w:rPr>
              <w:t>钢筋制安工程</w:t>
            </w:r>
          </w:p>
        </w:tc>
        <w:tc>
          <w:tcPr>
            <w:tcW w:w="709" w:type="dxa"/>
            <w:tcBorders>
              <w:top w:val="single" w:color="auto" w:sz="4" w:space="0"/>
              <w:left w:val="single" w:color="auto" w:sz="4" w:space="0"/>
              <w:right w:val="single" w:color="auto" w:sz="4" w:space="0"/>
            </w:tcBorders>
            <w:noWrap w:val="0"/>
            <w:vAlign w:val="top"/>
          </w:tcPr>
          <w:p>
            <w:pPr>
              <w:adjustRightInd w:val="0"/>
              <w:snapToGrid w:val="0"/>
              <w:spacing w:line="400" w:lineRule="atLeast"/>
              <w:jc w:val="center"/>
              <w:rPr>
                <w:szCs w:val="21"/>
              </w:rPr>
            </w:pPr>
            <w:r>
              <w:rPr>
                <w:szCs w:val="21"/>
              </w:rPr>
              <w:t>其它</w:t>
            </w:r>
          </w:p>
        </w:tc>
      </w:tr>
      <w:tr>
        <w:tblPrEx>
          <w:tblCellMar>
            <w:top w:w="0" w:type="dxa"/>
            <w:left w:w="0" w:type="dxa"/>
            <w:bottom w:w="0" w:type="dxa"/>
            <w:right w:w="0" w:type="dxa"/>
          </w:tblCellMar>
        </w:tblPrEx>
        <w:trPr>
          <w:cantSplit/>
          <w:trHeight w:val="292" w:hRule="atLeast"/>
        </w:trPr>
        <w:tc>
          <w:tcPr>
            <w:tcW w:w="536" w:type="dxa"/>
            <w:vMerge w:val="continue"/>
            <w:tcBorders>
              <w:top w:val="single" w:color="auto" w:sz="4" w:space="0"/>
              <w:left w:val="single" w:color="auto" w:sz="4" w:space="0"/>
              <w:bottom w:val="single" w:color="000000" w:sz="4" w:space="0"/>
              <w:right w:val="single" w:color="auto" w:sz="4" w:space="0"/>
            </w:tcBorders>
            <w:noWrap w:val="0"/>
            <w:vAlign w:val="center"/>
          </w:tcPr>
          <w:p>
            <w:pPr>
              <w:adjustRightInd w:val="0"/>
              <w:snapToGrid w:val="0"/>
              <w:spacing w:line="400" w:lineRule="atLeast"/>
              <w:jc w:val="center"/>
              <w:rPr>
                <w:szCs w:val="21"/>
              </w:rPr>
            </w:pPr>
          </w:p>
        </w:tc>
        <w:tc>
          <w:tcPr>
            <w:tcW w:w="1532" w:type="dxa"/>
            <w:vMerge w:val="continue"/>
            <w:tcBorders>
              <w:top w:val="single" w:color="auto" w:sz="4" w:space="0"/>
              <w:left w:val="single" w:color="auto" w:sz="4" w:space="0"/>
              <w:bottom w:val="single" w:color="000000" w:sz="4" w:space="0"/>
              <w:right w:val="single" w:color="auto" w:sz="4" w:space="0"/>
            </w:tcBorders>
            <w:noWrap w:val="0"/>
            <w:vAlign w:val="center"/>
          </w:tcPr>
          <w:p>
            <w:pPr>
              <w:adjustRightInd w:val="0"/>
              <w:snapToGrid w:val="0"/>
              <w:spacing w:line="400" w:lineRule="atLeast"/>
              <w:jc w:val="center"/>
              <w:rPr>
                <w:szCs w:val="21"/>
              </w:rPr>
            </w:pPr>
          </w:p>
        </w:tc>
        <w:tc>
          <w:tcPr>
            <w:tcW w:w="1530" w:type="dxa"/>
            <w:vMerge w:val="continue"/>
            <w:tcBorders>
              <w:top w:val="single" w:color="auto" w:sz="4" w:space="0"/>
              <w:left w:val="single" w:color="auto" w:sz="4" w:space="0"/>
              <w:bottom w:val="single" w:color="000000" w:sz="4" w:space="0"/>
              <w:right w:val="single" w:color="auto" w:sz="4" w:space="0"/>
            </w:tcBorders>
            <w:noWrap w:val="0"/>
            <w:vAlign w:val="center"/>
          </w:tcPr>
          <w:p>
            <w:pPr>
              <w:adjustRightInd w:val="0"/>
              <w:snapToGrid w:val="0"/>
              <w:spacing w:line="400" w:lineRule="atLeast"/>
              <w:jc w:val="center"/>
              <w:rPr>
                <w:szCs w:val="21"/>
              </w:rPr>
            </w:pPr>
          </w:p>
        </w:tc>
        <w:tc>
          <w:tcPr>
            <w:tcW w:w="792" w:type="dxa"/>
            <w:tcBorders>
              <w:top w:val="nil"/>
              <w:left w:val="nil"/>
              <w:bottom w:val="single" w:color="auto" w:sz="4" w:space="0"/>
              <w:right w:val="single" w:color="auto" w:sz="4" w:space="0"/>
            </w:tcBorders>
            <w:noWrap w:val="0"/>
            <w:tcMar>
              <w:top w:w="14" w:type="dxa"/>
              <w:left w:w="14" w:type="dxa"/>
              <w:bottom w:w="0" w:type="dxa"/>
              <w:right w:w="14" w:type="dxa"/>
            </w:tcMar>
            <w:vAlign w:val="center"/>
          </w:tcPr>
          <w:p>
            <w:pPr>
              <w:adjustRightInd w:val="0"/>
              <w:snapToGrid w:val="0"/>
              <w:spacing w:line="400" w:lineRule="atLeast"/>
              <w:jc w:val="center"/>
              <w:rPr>
                <w:szCs w:val="21"/>
              </w:rPr>
            </w:pPr>
            <w:r>
              <w:rPr>
                <w:szCs w:val="21"/>
              </w:rPr>
              <w:t>工程</w:t>
            </w:r>
          </w:p>
        </w:tc>
        <w:tc>
          <w:tcPr>
            <w:tcW w:w="788" w:type="dxa"/>
            <w:tcBorders>
              <w:top w:val="nil"/>
              <w:left w:val="nil"/>
              <w:bottom w:val="single" w:color="auto" w:sz="4" w:space="0"/>
              <w:right w:val="single" w:color="auto" w:sz="4" w:space="0"/>
            </w:tcBorders>
            <w:noWrap w:val="0"/>
            <w:tcMar>
              <w:top w:w="14" w:type="dxa"/>
              <w:left w:w="14" w:type="dxa"/>
              <w:bottom w:w="0" w:type="dxa"/>
              <w:right w:w="14" w:type="dxa"/>
            </w:tcMar>
            <w:vAlign w:val="center"/>
          </w:tcPr>
          <w:p>
            <w:pPr>
              <w:adjustRightInd w:val="0"/>
              <w:snapToGrid w:val="0"/>
              <w:spacing w:line="400" w:lineRule="atLeast"/>
              <w:jc w:val="center"/>
              <w:rPr>
                <w:szCs w:val="21"/>
              </w:rPr>
            </w:pPr>
            <w:r>
              <w:rPr>
                <w:szCs w:val="21"/>
              </w:rPr>
              <w:t>工程</w:t>
            </w:r>
          </w:p>
        </w:tc>
        <w:tc>
          <w:tcPr>
            <w:tcW w:w="709" w:type="dxa"/>
            <w:vMerge w:val="continue"/>
            <w:tcBorders>
              <w:top w:val="single" w:color="auto" w:sz="4" w:space="0"/>
              <w:left w:val="single" w:color="auto" w:sz="4" w:space="0"/>
              <w:bottom w:val="single" w:color="000000" w:sz="4" w:space="0"/>
              <w:right w:val="single" w:color="auto" w:sz="4" w:space="0"/>
            </w:tcBorders>
            <w:noWrap w:val="0"/>
            <w:vAlign w:val="center"/>
          </w:tcPr>
          <w:p>
            <w:pPr>
              <w:adjustRightInd w:val="0"/>
              <w:snapToGrid w:val="0"/>
              <w:spacing w:line="400" w:lineRule="atLeast"/>
              <w:jc w:val="center"/>
              <w:rPr>
                <w:szCs w:val="21"/>
              </w:rPr>
            </w:pPr>
          </w:p>
        </w:tc>
        <w:tc>
          <w:tcPr>
            <w:tcW w:w="850" w:type="dxa"/>
            <w:tcBorders>
              <w:top w:val="nil"/>
              <w:left w:val="nil"/>
              <w:bottom w:val="single" w:color="auto" w:sz="4" w:space="0"/>
              <w:right w:val="single" w:color="auto" w:sz="4" w:space="0"/>
            </w:tcBorders>
            <w:noWrap w:val="0"/>
            <w:tcMar>
              <w:top w:w="14" w:type="dxa"/>
              <w:left w:w="14" w:type="dxa"/>
              <w:bottom w:w="0" w:type="dxa"/>
              <w:right w:w="14" w:type="dxa"/>
            </w:tcMar>
            <w:vAlign w:val="top"/>
          </w:tcPr>
          <w:p>
            <w:pPr>
              <w:adjustRightInd w:val="0"/>
              <w:snapToGrid w:val="0"/>
              <w:spacing w:line="400" w:lineRule="atLeast"/>
              <w:jc w:val="center"/>
              <w:rPr>
                <w:szCs w:val="21"/>
              </w:rPr>
            </w:pPr>
            <w:r>
              <w:rPr>
                <w:szCs w:val="21"/>
              </w:rPr>
              <w:t>工程</w:t>
            </w:r>
          </w:p>
        </w:tc>
        <w:tc>
          <w:tcPr>
            <w:tcW w:w="567" w:type="dxa"/>
            <w:vMerge w:val="continue"/>
            <w:tcBorders>
              <w:top w:val="single" w:color="auto" w:sz="4" w:space="0"/>
              <w:left w:val="single" w:color="auto" w:sz="4" w:space="0"/>
              <w:bottom w:val="single" w:color="000000" w:sz="4" w:space="0"/>
              <w:right w:val="single" w:color="auto" w:sz="4" w:space="0"/>
            </w:tcBorders>
            <w:noWrap w:val="0"/>
            <w:vAlign w:val="center"/>
          </w:tcPr>
          <w:p>
            <w:pPr>
              <w:adjustRightInd w:val="0"/>
              <w:snapToGrid w:val="0"/>
              <w:spacing w:line="400" w:lineRule="atLeast"/>
              <w:jc w:val="center"/>
              <w:rPr>
                <w:szCs w:val="21"/>
              </w:rPr>
            </w:pPr>
          </w:p>
        </w:tc>
        <w:tc>
          <w:tcPr>
            <w:tcW w:w="851" w:type="dxa"/>
            <w:vMerge w:val="continue"/>
            <w:tcBorders>
              <w:left w:val="single" w:color="auto" w:sz="4" w:space="0"/>
              <w:bottom w:val="single" w:color="000000" w:sz="4" w:space="0"/>
              <w:right w:val="single" w:color="auto" w:sz="4" w:space="0"/>
            </w:tcBorders>
            <w:noWrap w:val="0"/>
            <w:vAlign w:val="top"/>
          </w:tcPr>
          <w:p>
            <w:pPr>
              <w:adjustRightInd w:val="0"/>
              <w:snapToGrid w:val="0"/>
              <w:spacing w:line="400" w:lineRule="atLeast"/>
              <w:jc w:val="center"/>
              <w:rPr>
                <w:szCs w:val="21"/>
              </w:rPr>
            </w:pPr>
          </w:p>
        </w:tc>
        <w:tc>
          <w:tcPr>
            <w:tcW w:w="709" w:type="dxa"/>
            <w:tcBorders>
              <w:left w:val="single" w:color="auto" w:sz="4" w:space="0"/>
              <w:bottom w:val="single" w:color="000000" w:sz="4" w:space="0"/>
              <w:right w:val="single" w:color="auto" w:sz="4" w:space="0"/>
            </w:tcBorders>
            <w:noWrap w:val="0"/>
            <w:vAlign w:val="top"/>
          </w:tcPr>
          <w:p>
            <w:pPr>
              <w:adjustRightInd w:val="0"/>
              <w:snapToGrid w:val="0"/>
              <w:spacing w:line="400" w:lineRule="atLeast"/>
              <w:jc w:val="center"/>
              <w:rPr>
                <w:szCs w:val="21"/>
              </w:rPr>
            </w:pPr>
            <w:r>
              <w:rPr>
                <w:szCs w:val="21"/>
              </w:rPr>
              <w:t>工程</w:t>
            </w:r>
          </w:p>
        </w:tc>
      </w:tr>
      <w:tr>
        <w:tblPrEx>
          <w:tblCellMar>
            <w:top w:w="0" w:type="dxa"/>
            <w:left w:w="0" w:type="dxa"/>
            <w:bottom w:w="0" w:type="dxa"/>
            <w:right w:w="0" w:type="dxa"/>
          </w:tblCellMar>
        </w:tblPrEx>
        <w:trPr>
          <w:trHeight w:val="307" w:hRule="atLeast"/>
        </w:trPr>
        <w:tc>
          <w:tcPr>
            <w:tcW w:w="536" w:type="dxa"/>
            <w:tcBorders>
              <w:top w:val="nil"/>
              <w:left w:val="single" w:color="auto" w:sz="4" w:space="0"/>
              <w:bottom w:val="single" w:color="auto" w:sz="4" w:space="0"/>
              <w:right w:val="single" w:color="auto" w:sz="4" w:space="0"/>
            </w:tcBorders>
            <w:noWrap w:val="0"/>
            <w:tcMar>
              <w:top w:w="14" w:type="dxa"/>
              <w:left w:w="14" w:type="dxa"/>
              <w:bottom w:w="0" w:type="dxa"/>
              <w:right w:w="14" w:type="dxa"/>
            </w:tcMar>
            <w:vAlign w:val="bottom"/>
          </w:tcPr>
          <w:p>
            <w:pPr>
              <w:adjustRightInd w:val="0"/>
              <w:snapToGrid w:val="0"/>
              <w:spacing w:line="400" w:lineRule="atLeast"/>
              <w:jc w:val="center"/>
              <w:rPr>
                <w:szCs w:val="21"/>
              </w:rPr>
            </w:pPr>
            <w:r>
              <w:rPr>
                <w:szCs w:val="21"/>
              </w:rPr>
              <w:t>一</w:t>
            </w:r>
          </w:p>
        </w:tc>
        <w:tc>
          <w:tcPr>
            <w:tcW w:w="1532" w:type="dxa"/>
            <w:tcBorders>
              <w:top w:val="nil"/>
              <w:left w:val="nil"/>
              <w:bottom w:val="single" w:color="auto" w:sz="4" w:space="0"/>
              <w:right w:val="single" w:color="auto" w:sz="4" w:space="0"/>
            </w:tcBorders>
            <w:noWrap w:val="0"/>
            <w:tcMar>
              <w:top w:w="14" w:type="dxa"/>
              <w:left w:w="14" w:type="dxa"/>
              <w:bottom w:w="0" w:type="dxa"/>
              <w:right w:w="14" w:type="dxa"/>
            </w:tcMar>
            <w:vAlign w:val="bottom"/>
          </w:tcPr>
          <w:p>
            <w:pPr>
              <w:adjustRightInd w:val="0"/>
              <w:snapToGrid w:val="0"/>
              <w:spacing w:line="400" w:lineRule="atLeast"/>
              <w:jc w:val="center"/>
              <w:rPr>
                <w:szCs w:val="21"/>
              </w:rPr>
            </w:pPr>
            <w:r>
              <w:rPr>
                <w:szCs w:val="21"/>
              </w:rPr>
              <w:t>直接工程费</w:t>
            </w:r>
          </w:p>
        </w:tc>
        <w:tc>
          <w:tcPr>
            <w:tcW w:w="1530" w:type="dxa"/>
            <w:tcBorders>
              <w:top w:val="nil"/>
              <w:left w:val="nil"/>
              <w:bottom w:val="single" w:color="auto" w:sz="4" w:space="0"/>
              <w:right w:val="single" w:color="auto" w:sz="4" w:space="0"/>
            </w:tcBorders>
            <w:noWrap w:val="0"/>
            <w:tcMar>
              <w:top w:w="14" w:type="dxa"/>
              <w:left w:w="14" w:type="dxa"/>
              <w:bottom w:w="0" w:type="dxa"/>
              <w:right w:w="14" w:type="dxa"/>
            </w:tcMar>
            <w:vAlign w:val="bottom"/>
          </w:tcPr>
          <w:p>
            <w:pPr>
              <w:adjustRightInd w:val="0"/>
              <w:snapToGrid w:val="0"/>
              <w:spacing w:line="400" w:lineRule="atLeast"/>
              <w:jc w:val="center"/>
              <w:rPr>
                <w:szCs w:val="21"/>
              </w:rPr>
            </w:pPr>
            <w:r>
              <w:rPr>
                <w:szCs w:val="21"/>
              </w:rPr>
              <w:t>　</w:t>
            </w:r>
          </w:p>
        </w:tc>
        <w:tc>
          <w:tcPr>
            <w:tcW w:w="792" w:type="dxa"/>
            <w:tcBorders>
              <w:top w:val="nil"/>
              <w:left w:val="nil"/>
              <w:bottom w:val="single" w:color="auto" w:sz="4" w:space="0"/>
              <w:right w:val="single" w:color="auto" w:sz="4" w:space="0"/>
            </w:tcBorders>
            <w:noWrap w:val="0"/>
            <w:tcMar>
              <w:top w:w="14" w:type="dxa"/>
              <w:left w:w="14" w:type="dxa"/>
              <w:bottom w:w="0" w:type="dxa"/>
              <w:right w:w="14" w:type="dxa"/>
            </w:tcMar>
            <w:vAlign w:val="bottom"/>
          </w:tcPr>
          <w:p>
            <w:pPr>
              <w:adjustRightInd w:val="0"/>
              <w:snapToGrid w:val="0"/>
              <w:spacing w:line="400" w:lineRule="atLeast"/>
              <w:jc w:val="center"/>
              <w:rPr>
                <w:szCs w:val="21"/>
              </w:rPr>
            </w:pPr>
            <w:r>
              <w:rPr>
                <w:szCs w:val="21"/>
              </w:rPr>
              <w:t>　</w:t>
            </w:r>
          </w:p>
        </w:tc>
        <w:tc>
          <w:tcPr>
            <w:tcW w:w="788" w:type="dxa"/>
            <w:tcBorders>
              <w:top w:val="nil"/>
              <w:left w:val="nil"/>
              <w:bottom w:val="single" w:color="auto" w:sz="4" w:space="0"/>
              <w:right w:val="single" w:color="auto" w:sz="4" w:space="0"/>
            </w:tcBorders>
            <w:noWrap w:val="0"/>
            <w:tcMar>
              <w:top w:w="14" w:type="dxa"/>
              <w:left w:w="14" w:type="dxa"/>
              <w:bottom w:w="0" w:type="dxa"/>
              <w:right w:w="14" w:type="dxa"/>
            </w:tcMar>
            <w:vAlign w:val="bottom"/>
          </w:tcPr>
          <w:p>
            <w:pPr>
              <w:adjustRightInd w:val="0"/>
              <w:snapToGrid w:val="0"/>
              <w:spacing w:line="400" w:lineRule="atLeast"/>
              <w:jc w:val="center"/>
              <w:rPr>
                <w:szCs w:val="21"/>
              </w:rPr>
            </w:pPr>
            <w:r>
              <w:rPr>
                <w:szCs w:val="21"/>
              </w:rPr>
              <w:t>　</w:t>
            </w:r>
          </w:p>
        </w:tc>
        <w:tc>
          <w:tcPr>
            <w:tcW w:w="709" w:type="dxa"/>
            <w:tcBorders>
              <w:top w:val="nil"/>
              <w:left w:val="nil"/>
              <w:bottom w:val="single" w:color="auto" w:sz="4" w:space="0"/>
              <w:right w:val="single" w:color="auto" w:sz="4" w:space="0"/>
            </w:tcBorders>
            <w:noWrap w:val="0"/>
            <w:tcMar>
              <w:top w:w="14" w:type="dxa"/>
              <w:left w:w="14" w:type="dxa"/>
              <w:bottom w:w="0" w:type="dxa"/>
              <w:right w:w="14" w:type="dxa"/>
            </w:tcMar>
            <w:vAlign w:val="bottom"/>
          </w:tcPr>
          <w:p>
            <w:pPr>
              <w:adjustRightInd w:val="0"/>
              <w:snapToGrid w:val="0"/>
              <w:spacing w:line="400" w:lineRule="atLeast"/>
              <w:jc w:val="center"/>
              <w:rPr>
                <w:szCs w:val="21"/>
              </w:rPr>
            </w:pPr>
            <w:r>
              <w:rPr>
                <w:szCs w:val="21"/>
              </w:rPr>
              <w:t>　</w:t>
            </w:r>
          </w:p>
        </w:tc>
        <w:tc>
          <w:tcPr>
            <w:tcW w:w="850" w:type="dxa"/>
            <w:tcBorders>
              <w:top w:val="nil"/>
              <w:left w:val="nil"/>
              <w:bottom w:val="single" w:color="auto" w:sz="4" w:space="0"/>
              <w:right w:val="single" w:color="auto" w:sz="4" w:space="0"/>
            </w:tcBorders>
            <w:noWrap w:val="0"/>
            <w:tcMar>
              <w:top w:w="14" w:type="dxa"/>
              <w:left w:w="14" w:type="dxa"/>
              <w:bottom w:w="0" w:type="dxa"/>
              <w:right w:w="14" w:type="dxa"/>
            </w:tcMar>
            <w:vAlign w:val="top"/>
          </w:tcPr>
          <w:p>
            <w:pPr>
              <w:adjustRightInd w:val="0"/>
              <w:snapToGrid w:val="0"/>
              <w:spacing w:line="400" w:lineRule="atLeast"/>
              <w:jc w:val="center"/>
              <w:rPr>
                <w:szCs w:val="21"/>
              </w:rPr>
            </w:pPr>
            <w:r>
              <w:rPr>
                <w:szCs w:val="21"/>
              </w:rPr>
              <w:t>　</w:t>
            </w:r>
          </w:p>
        </w:tc>
        <w:tc>
          <w:tcPr>
            <w:tcW w:w="567" w:type="dxa"/>
            <w:tcBorders>
              <w:top w:val="nil"/>
              <w:left w:val="nil"/>
              <w:bottom w:val="single" w:color="auto" w:sz="4" w:space="0"/>
              <w:right w:val="single" w:color="auto" w:sz="4" w:space="0"/>
            </w:tcBorders>
            <w:noWrap w:val="0"/>
            <w:tcMar>
              <w:top w:w="14" w:type="dxa"/>
              <w:left w:w="14" w:type="dxa"/>
              <w:bottom w:w="0" w:type="dxa"/>
              <w:right w:w="14" w:type="dxa"/>
            </w:tcMar>
            <w:vAlign w:val="top"/>
          </w:tcPr>
          <w:p>
            <w:pPr>
              <w:adjustRightInd w:val="0"/>
              <w:snapToGrid w:val="0"/>
              <w:spacing w:line="400" w:lineRule="atLeast"/>
              <w:jc w:val="center"/>
              <w:rPr>
                <w:szCs w:val="21"/>
              </w:rPr>
            </w:pPr>
            <w:r>
              <w:rPr>
                <w:szCs w:val="21"/>
              </w:rPr>
              <w:t>　</w:t>
            </w:r>
          </w:p>
        </w:tc>
        <w:tc>
          <w:tcPr>
            <w:tcW w:w="851" w:type="dxa"/>
            <w:tcBorders>
              <w:top w:val="nil"/>
              <w:left w:val="nil"/>
              <w:bottom w:val="single" w:color="auto" w:sz="4" w:space="0"/>
              <w:right w:val="single" w:color="auto" w:sz="4" w:space="0"/>
            </w:tcBorders>
            <w:noWrap w:val="0"/>
            <w:vAlign w:val="top"/>
          </w:tcPr>
          <w:p>
            <w:pPr>
              <w:adjustRightInd w:val="0"/>
              <w:snapToGrid w:val="0"/>
              <w:spacing w:line="400" w:lineRule="atLeast"/>
              <w:jc w:val="center"/>
              <w:rPr>
                <w:szCs w:val="21"/>
              </w:rPr>
            </w:pPr>
          </w:p>
        </w:tc>
        <w:tc>
          <w:tcPr>
            <w:tcW w:w="709" w:type="dxa"/>
            <w:tcBorders>
              <w:top w:val="nil"/>
              <w:left w:val="nil"/>
              <w:bottom w:val="single" w:color="auto" w:sz="4" w:space="0"/>
              <w:right w:val="single" w:color="auto" w:sz="4" w:space="0"/>
            </w:tcBorders>
            <w:noWrap w:val="0"/>
            <w:vAlign w:val="top"/>
          </w:tcPr>
          <w:p>
            <w:pPr>
              <w:adjustRightInd w:val="0"/>
              <w:snapToGrid w:val="0"/>
              <w:spacing w:line="400" w:lineRule="atLeast"/>
              <w:jc w:val="center"/>
              <w:rPr>
                <w:szCs w:val="21"/>
              </w:rPr>
            </w:pPr>
          </w:p>
        </w:tc>
      </w:tr>
      <w:tr>
        <w:tblPrEx>
          <w:tblCellMar>
            <w:top w:w="0" w:type="dxa"/>
            <w:left w:w="0" w:type="dxa"/>
            <w:bottom w:w="0" w:type="dxa"/>
            <w:right w:w="0" w:type="dxa"/>
          </w:tblCellMar>
        </w:tblPrEx>
        <w:trPr>
          <w:trHeight w:val="307" w:hRule="atLeast"/>
        </w:trPr>
        <w:tc>
          <w:tcPr>
            <w:tcW w:w="536" w:type="dxa"/>
            <w:tcBorders>
              <w:top w:val="nil"/>
              <w:left w:val="single" w:color="auto" w:sz="4" w:space="0"/>
              <w:bottom w:val="single" w:color="auto" w:sz="4" w:space="0"/>
              <w:right w:val="single" w:color="auto" w:sz="4" w:space="0"/>
            </w:tcBorders>
            <w:noWrap w:val="0"/>
            <w:tcMar>
              <w:top w:w="14" w:type="dxa"/>
              <w:left w:w="14" w:type="dxa"/>
              <w:bottom w:w="0" w:type="dxa"/>
              <w:right w:w="14" w:type="dxa"/>
            </w:tcMar>
            <w:vAlign w:val="bottom"/>
          </w:tcPr>
          <w:p>
            <w:pPr>
              <w:adjustRightInd w:val="0"/>
              <w:snapToGrid w:val="0"/>
              <w:spacing w:line="400" w:lineRule="atLeast"/>
              <w:jc w:val="center"/>
              <w:rPr>
                <w:szCs w:val="21"/>
              </w:rPr>
            </w:pPr>
            <w:r>
              <w:rPr>
                <w:szCs w:val="21"/>
              </w:rPr>
              <w:t>　</w:t>
            </w:r>
          </w:p>
        </w:tc>
        <w:tc>
          <w:tcPr>
            <w:tcW w:w="1532" w:type="dxa"/>
            <w:tcBorders>
              <w:top w:val="nil"/>
              <w:left w:val="nil"/>
              <w:bottom w:val="single" w:color="auto" w:sz="4" w:space="0"/>
              <w:right w:val="single" w:color="auto" w:sz="4" w:space="0"/>
            </w:tcBorders>
            <w:noWrap w:val="0"/>
            <w:tcMar>
              <w:top w:w="14" w:type="dxa"/>
              <w:left w:w="14" w:type="dxa"/>
              <w:bottom w:w="0" w:type="dxa"/>
              <w:right w:w="14" w:type="dxa"/>
            </w:tcMar>
            <w:vAlign w:val="bottom"/>
          </w:tcPr>
          <w:p>
            <w:pPr>
              <w:adjustRightInd w:val="0"/>
              <w:snapToGrid w:val="0"/>
              <w:spacing w:line="400" w:lineRule="atLeast"/>
              <w:jc w:val="center"/>
              <w:rPr>
                <w:szCs w:val="21"/>
              </w:rPr>
            </w:pPr>
            <w:r>
              <w:rPr>
                <w:szCs w:val="21"/>
              </w:rPr>
              <w:t>直接费</w:t>
            </w:r>
          </w:p>
        </w:tc>
        <w:tc>
          <w:tcPr>
            <w:tcW w:w="1530" w:type="dxa"/>
            <w:tcBorders>
              <w:top w:val="nil"/>
              <w:left w:val="nil"/>
              <w:bottom w:val="single" w:color="auto" w:sz="4" w:space="0"/>
              <w:right w:val="single" w:color="auto" w:sz="4" w:space="0"/>
            </w:tcBorders>
            <w:noWrap w:val="0"/>
            <w:tcMar>
              <w:top w:w="14" w:type="dxa"/>
              <w:left w:w="14" w:type="dxa"/>
              <w:bottom w:w="0" w:type="dxa"/>
              <w:right w:w="14" w:type="dxa"/>
            </w:tcMar>
            <w:vAlign w:val="bottom"/>
          </w:tcPr>
          <w:p>
            <w:pPr>
              <w:adjustRightInd w:val="0"/>
              <w:snapToGrid w:val="0"/>
              <w:spacing w:line="400" w:lineRule="atLeast"/>
              <w:jc w:val="center"/>
              <w:rPr>
                <w:szCs w:val="21"/>
              </w:rPr>
            </w:pPr>
            <w:r>
              <w:rPr>
                <w:szCs w:val="21"/>
              </w:rPr>
              <w:t>　</w:t>
            </w:r>
          </w:p>
        </w:tc>
        <w:tc>
          <w:tcPr>
            <w:tcW w:w="792" w:type="dxa"/>
            <w:tcBorders>
              <w:top w:val="nil"/>
              <w:left w:val="nil"/>
              <w:bottom w:val="single" w:color="auto" w:sz="4" w:space="0"/>
              <w:right w:val="single" w:color="auto" w:sz="4" w:space="0"/>
            </w:tcBorders>
            <w:noWrap w:val="0"/>
            <w:tcMar>
              <w:top w:w="14" w:type="dxa"/>
              <w:left w:w="14" w:type="dxa"/>
              <w:bottom w:w="0" w:type="dxa"/>
              <w:right w:w="14" w:type="dxa"/>
            </w:tcMar>
            <w:vAlign w:val="bottom"/>
          </w:tcPr>
          <w:p>
            <w:pPr>
              <w:adjustRightInd w:val="0"/>
              <w:snapToGrid w:val="0"/>
              <w:spacing w:line="400" w:lineRule="atLeast"/>
              <w:jc w:val="center"/>
              <w:rPr>
                <w:szCs w:val="21"/>
              </w:rPr>
            </w:pPr>
            <w:r>
              <w:rPr>
                <w:szCs w:val="21"/>
              </w:rPr>
              <w:t>　</w:t>
            </w:r>
          </w:p>
        </w:tc>
        <w:tc>
          <w:tcPr>
            <w:tcW w:w="788" w:type="dxa"/>
            <w:tcBorders>
              <w:top w:val="nil"/>
              <w:left w:val="nil"/>
              <w:bottom w:val="single" w:color="auto" w:sz="4" w:space="0"/>
              <w:right w:val="single" w:color="auto" w:sz="4" w:space="0"/>
            </w:tcBorders>
            <w:noWrap w:val="0"/>
            <w:tcMar>
              <w:top w:w="14" w:type="dxa"/>
              <w:left w:w="14" w:type="dxa"/>
              <w:bottom w:w="0" w:type="dxa"/>
              <w:right w:w="14" w:type="dxa"/>
            </w:tcMar>
            <w:vAlign w:val="bottom"/>
          </w:tcPr>
          <w:p>
            <w:pPr>
              <w:adjustRightInd w:val="0"/>
              <w:snapToGrid w:val="0"/>
              <w:spacing w:line="400" w:lineRule="atLeast"/>
              <w:jc w:val="center"/>
              <w:rPr>
                <w:szCs w:val="21"/>
              </w:rPr>
            </w:pPr>
            <w:r>
              <w:rPr>
                <w:szCs w:val="21"/>
              </w:rPr>
              <w:t>　</w:t>
            </w:r>
          </w:p>
        </w:tc>
        <w:tc>
          <w:tcPr>
            <w:tcW w:w="709" w:type="dxa"/>
            <w:tcBorders>
              <w:top w:val="nil"/>
              <w:left w:val="nil"/>
              <w:bottom w:val="single" w:color="auto" w:sz="4" w:space="0"/>
              <w:right w:val="single" w:color="auto" w:sz="4" w:space="0"/>
            </w:tcBorders>
            <w:noWrap w:val="0"/>
            <w:tcMar>
              <w:top w:w="14" w:type="dxa"/>
              <w:left w:w="14" w:type="dxa"/>
              <w:bottom w:w="0" w:type="dxa"/>
              <w:right w:w="14" w:type="dxa"/>
            </w:tcMar>
            <w:vAlign w:val="bottom"/>
          </w:tcPr>
          <w:p>
            <w:pPr>
              <w:adjustRightInd w:val="0"/>
              <w:snapToGrid w:val="0"/>
              <w:spacing w:line="400" w:lineRule="atLeast"/>
              <w:jc w:val="center"/>
              <w:rPr>
                <w:szCs w:val="21"/>
              </w:rPr>
            </w:pPr>
            <w:r>
              <w:rPr>
                <w:szCs w:val="21"/>
              </w:rPr>
              <w:t>　</w:t>
            </w:r>
          </w:p>
        </w:tc>
        <w:tc>
          <w:tcPr>
            <w:tcW w:w="850" w:type="dxa"/>
            <w:tcBorders>
              <w:top w:val="nil"/>
              <w:left w:val="nil"/>
              <w:bottom w:val="single" w:color="auto" w:sz="4" w:space="0"/>
              <w:right w:val="single" w:color="auto" w:sz="4" w:space="0"/>
            </w:tcBorders>
            <w:noWrap w:val="0"/>
            <w:tcMar>
              <w:top w:w="14" w:type="dxa"/>
              <w:left w:w="14" w:type="dxa"/>
              <w:bottom w:w="0" w:type="dxa"/>
              <w:right w:w="14" w:type="dxa"/>
            </w:tcMar>
            <w:vAlign w:val="top"/>
          </w:tcPr>
          <w:p>
            <w:pPr>
              <w:adjustRightInd w:val="0"/>
              <w:snapToGrid w:val="0"/>
              <w:spacing w:line="400" w:lineRule="atLeast"/>
              <w:jc w:val="center"/>
              <w:rPr>
                <w:szCs w:val="21"/>
              </w:rPr>
            </w:pPr>
            <w:r>
              <w:rPr>
                <w:szCs w:val="21"/>
              </w:rPr>
              <w:t>　</w:t>
            </w:r>
          </w:p>
        </w:tc>
        <w:tc>
          <w:tcPr>
            <w:tcW w:w="567" w:type="dxa"/>
            <w:tcBorders>
              <w:top w:val="nil"/>
              <w:left w:val="nil"/>
              <w:bottom w:val="single" w:color="auto" w:sz="4" w:space="0"/>
              <w:right w:val="single" w:color="auto" w:sz="4" w:space="0"/>
            </w:tcBorders>
            <w:noWrap w:val="0"/>
            <w:tcMar>
              <w:top w:w="14" w:type="dxa"/>
              <w:left w:w="14" w:type="dxa"/>
              <w:bottom w:w="0" w:type="dxa"/>
              <w:right w:w="14" w:type="dxa"/>
            </w:tcMar>
            <w:vAlign w:val="top"/>
          </w:tcPr>
          <w:p>
            <w:pPr>
              <w:adjustRightInd w:val="0"/>
              <w:snapToGrid w:val="0"/>
              <w:spacing w:line="400" w:lineRule="atLeast"/>
              <w:jc w:val="center"/>
              <w:rPr>
                <w:szCs w:val="21"/>
              </w:rPr>
            </w:pPr>
            <w:r>
              <w:rPr>
                <w:szCs w:val="21"/>
              </w:rPr>
              <w:t>　</w:t>
            </w:r>
          </w:p>
        </w:tc>
        <w:tc>
          <w:tcPr>
            <w:tcW w:w="851" w:type="dxa"/>
            <w:tcBorders>
              <w:top w:val="nil"/>
              <w:left w:val="nil"/>
              <w:bottom w:val="single" w:color="auto" w:sz="4" w:space="0"/>
              <w:right w:val="single" w:color="auto" w:sz="4" w:space="0"/>
            </w:tcBorders>
            <w:noWrap w:val="0"/>
            <w:vAlign w:val="top"/>
          </w:tcPr>
          <w:p>
            <w:pPr>
              <w:adjustRightInd w:val="0"/>
              <w:snapToGrid w:val="0"/>
              <w:spacing w:line="400" w:lineRule="atLeast"/>
              <w:jc w:val="center"/>
              <w:rPr>
                <w:szCs w:val="21"/>
              </w:rPr>
            </w:pPr>
          </w:p>
        </w:tc>
        <w:tc>
          <w:tcPr>
            <w:tcW w:w="709" w:type="dxa"/>
            <w:tcBorders>
              <w:top w:val="nil"/>
              <w:left w:val="nil"/>
              <w:bottom w:val="single" w:color="auto" w:sz="4" w:space="0"/>
              <w:right w:val="single" w:color="auto" w:sz="4" w:space="0"/>
            </w:tcBorders>
            <w:noWrap w:val="0"/>
            <w:vAlign w:val="top"/>
          </w:tcPr>
          <w:p>
            <w:pPr>
              <w:adjustRightInd w:val="0"/>
              <w:snapToGrid w:val="0"/>
              <w:spacing w:line="400" w:lineRule="atLeast"/>
              <w:jc w:val="center"/>
              <w:rPr>
                <w:szCs w:val="21"/>
              </w:rPr>
            </w:pPr>
          </w:p>
        </w:tc>
      </w:tr>
      <w:tr>
        <w:tblPrEx>
          <w:tblCellMar>
            <w:top w:w="0" w:type="dxa"/>
            <w:left w:w="0" w:type="dxa"/>
            <w:bottom w:w="0" w:type="dxa"/>
            <w:right w:w="0" w:type="dxa"/>
          </w:tblCellMar>
        </w:tblPrEx>
        <w:trPr>
          <w:trHeight w:val="307" w:hRule="atLeast"/>
        </w:trPr>
        <w:tc>
          <w:tcPr>
            <w:tcW w:w="536" w:type="dxa"/>
            <w:tcBorders>
              <w:top w:val="nil"/>
              <w:left w:val="single" w:color="auto" w:sz="4" w:space="0"/>
              <w:bottom w:val="single" w:color="auto" w:sz="4" w:space="0"/>
              <w:right w:val="single" w:color="auto" w:sz="4" w:space="0"/>
            </w:tcBorders>
            <w:noWrap w:val="0"/>
            <w:tcMar>
              <w:top w:w="14" w:type="dxa"/>
              <w:left w:w="14" w:type="dxa"/>
              <w:bottom w:w="0" w:type="dxa"/>
              <w:right w:w="14" w:type="dxa"/>
            </w:tcMar>
            <w:vAlign w:val="bottom"/>
          </w:tcPr>
          <w:p>
            <w:pPr>
              <w:adjustRightInd w:val="0"/>
              <w:snapToGrid w:val="0"/>
              <w:spacing w:line="400" w:lineRule="atLeast"/>
              <w:jc w:val="center"/>
              <w:rPr>
                <w:szCs w:val="21"/>
              </w:rPr>
            </w:pPr>
            <w:r>
              <w:rPr>
                <w:szCs w:val="21"/>
              </w:rPr>
              <w:t>　</w:t>
            </w:r>
          </w:p>
        </w:tc>
        <w:tc>
          <w:tcPr>
            <w:tcW w:w="1532" w:type="dxa"/>
            <w:tcBorders>
              <w:top w:val="nil"/>
              <w:left w:val="nil"/>
              <w:bottom w:val="single" w:color="auto" w:sz="4" w:space="0"/>
              <w:right w:val="single" w:color="auto" w:sz="4" w:space="0"/>
            </w:tcBorders>
            <w:noWrap w:val="0"/>
            <w:tcMar>
              <w:top w:w="14" w:type="dxa"/>
              <w:left w:w="14" w:type="dxa"/>
              <w:bottom w:w="0" w:type="dxa"/>
              <w:right w:w="14" w:type="dxa"/>
            </w:tcMar>
            <w:vAlign w:val="bottom"/>
          </w:tcPr>
          <w:p>
            <w:pPr>
              <w:adjustRightInd w:val="0"/>
              <w:snapToGrid w:val="0"/>
              <w:spacing w:line="400" w:lineRule="atLeast"/>
              <w:jc w:val="center"/>
              <w:rPr>
                <w:szCs w:val="21"/>
              </w:rPr>
            </w:pPr>
            <w:r>
              <w:rPr>
                <w:szCs w:val="21"/>
              </w:rPr>
              <w:t>其他直接费</w:t>
            </w:r>
          </w:p>
        </w:tc>
        <w:tc>
          <w:tcPr>
            <w:tcW w:w="1530" w:type="dxa"/>
            <w:tcBorders>
              <w:top w:val="nil"/>
              <w:left w:val="nil"/>
              <w:bottom w:val="single" w:color="auto" w:sz="4" w:space="0"/>
              <w:right w:val="single" w:color="auto" w:sz="4" w:space="0"/>
            </w:tcBorders>
            <w:noWrap w:val="0"/>
            <w:tcMar>
              <w:top w:w="14" w:type="dxa"/>
              <w:left w:w="14" w:type="dxa"/>
              <w:bottom w:w="0" w:type="dxa"/>
              <w:right w:w="14" w:type="dxa"/>
            </w:tcMar>
            <w:vAlign w:val="bottom"/>
          </w:tcPr>
          <w:p>
            <w:pPr>
              <w:adjustRightInd w:val="0"/>
              <w:snapToGrid w:val="0"/>
              <w:spacing w:line="400" w:lineRule="atLeast"/>
              <w:jc w:val="center"/>
              <w:rPr>
                <w:szCs w:val="21"/>
              </w:rPr>
            </w:pPr>
            <w:r>
              <w:rPr>
                <w:szCs w:val="21"/>
              </w:rPr>
              <w:t>直接费</w:t>
            </w:r>
          </w:p>
        </w:tc>
        <w:tc>
          <w:tcPr>
            <w:tcW w:w="792" w:type="dxa"/>
            <w:tcBorders>
              <w:top w:val="nil"/>
              <w:left w:val="nil"/>
              <w:bottom w:val="single" w:color="auto" w:sz="4" w:space="0"/>
              <w:right w:val="single" w:color="auto" w:sz="4" w:space="0"/>
            </w:tcBorders>
            <w:noWrap w:val="0"/>
            <w:tcMar>
              <w:top w:w="14" w:type="dxa"/>
              <w:left w:w="14" w:type="dxa"/>
              <w:bottom w:w="0" w:type="dxa"/>
              <w:right w:w="14" w:type="dxa"/>
            </w:tcMar>
            <w:vAlign w:val="center"/>
          </w:tcPr>
          <w:p>
            <w:pPr>
              <w:adjustRightInd w:val="0"/>
              <w:snapToGrid w:val="0"/>
              <w:spacing w:line="400" w:lineRule="atLeast"/>
              <w:jc w:val="center"/>
              <w:rPr>
                <w:rFonts w:hint="eastAsia"/>
                <w:szCs w:val="21"/>
              </w:rPr>
            </w:pPr>
            <w:r>
              <w:rPr>
                <w:rFonts w:hint="eastAsia"/>
                <w:szCs w:val="21"/>
              </w:rPr>
              <w:t>4.2</w:t>
            </w:r>
          </w:p>
        </w:tc>
        <w:tc>
          <w:tcPr>
            <w:tcW w:w="788" w:type="dxa"/>
            <w:tcBorders>
              <w:top w:val="nil"/>
              <w:left w:val="nil"/>
              <w:bottom w:val="single" w:color="auto" w:sz="4" w:space="0"/>
              <w:right w:val="single" w:color="auto" w:sz="4" w:space="0"/>
            </w:tcBorders>
            <w:noWrap w:val="0"/>
            <w:tcMar>
              <w:top w:w="14" w:type="dxa"/>
              <w:left w:w="14" w:type="dxa"/>
              <w:bottom w:w="0" w:type="dxa"/>
              <w:right w:w="14" w:type="dxa"/>
            </w:tcMar>
            <w:vAlign w:val="center"/>
          </w:tcPr>
          <w:p>
            <w:pPr>
              <w:adjustRightInd w:val="0"/>
              <w:snapToGrid w:val="0"/>
              <w:spacing w:line="400" w:lineRule="atLeast"/>
              <w:jc w:val="center"/>
              <w:rPr>
                <w:rFonts w:hint="eastAsia"/>
                <w:szCs w:val="21"/>
              </w:rPr>
            </w:pPr>
            <w:r>
              <w:rPr>
                <w:rFonts w:hint="eastAsia"/>
                <w:szCs w:val="21"/>
              </w:rPr>
              <w:t>4.2</w:t>
            </w:r>
          </w:p>
        </w:tc>
        <w:tc>
          <w:tcPr>
            <w:tcW w:w="709" w:type="dxa"/>
            <w:tcBorders>
              <w:top w:val="nil"/>
              <w:left w:val="nil"/>
              <w:bottom w:val="single" w:color="auto" w:sz="4" w:space="0"/>
              <w:right w:val="single" w:color="auto" w:sz="4" w:space="0"/>
            </w:tcBorders>
            <w:noWrap w:val="0"/>
            <w:tcMar>
              <w:top w:w="14" w:type="dxa"/>
              <w:left w:w="14" w:type="dxa"/>
              <w:bottom w:w="0" w:type="dxa"/>
              <w:right w:w="14" w:type="dxa"/>
            </w:tcMar>
            <w:vAlign w:val="center"/>
          </w:tcPr>
          <w:p>
            <w:pPr>
              <w:adjustRightInd w:val="0"/>
              <w:snapToGrid w:val="0"/>
              <w:spacing w:line="400" w:lineRule="atLeast"/>
              <w:jc w:val="center"/>
              <w:rPr>
                <w:rFonts w:hint="eastAsia"/>
                <w:szCs w:val="21"/>
              </w:rPr>
            </w:pPr>
            <w:r>
              <w:rPr>
                <w:rFonts w:hint="eastAsia"/>
                <w:szCs w:val="21"/>
              </w:rPr>
              <w:t>4.2</w:t>
            </w:r>
          </w:p>
        </w:tc>
        <w:tc>
          <w:tcPr>
            <w:tcW w:w="850" w:type="dxa"/>
            <w:tcBorders>
              <w:top w:val="nil"/>
              <w:left w:val="nil"/>
              <w:bottom w:val="single" w:color="auto" w:sz="4" w:space="0"/>
              <w:right w:val="single" w:color="auto" w:sz="4" w:space="0"/>
            </w:tcBorders>
            <w:noWrap w:val="0"/>
            <w:tcMar>
              <w:top w:w="14" w:type="dxa"/>
              <w:left w:w="14" w:type="dxa"/>
              <w:bottom w:w="0" w:type="dxa"/>
              <w:right w:w="14" w:type="dxa"/>
            </w:tcMar>
            <w:vAlign w:val="center"/>
          </w:tcPr>
          <w:p>
            <w:pPr>
              <w:adjustRightInd w:val="0"/>
              <w:snapToGrid w:val="0"/>
              <w:spacing w:line="400" w:lineRule="atLeast"/>
              <w:jc w:val="center"/>
              <w:rPr>
                <w:rFonts w:hint="eastAsia"/>
                <w:szCs w:val="21"/>
              </w:rPr>
            </w:pPr>
            <w:r>
              <w:rPr>
                <w:rFonts w:hint="eastAsia"/>
                <w:szCs w:val="21"/>
              </w:rPr>
              <w:t>4.2</w:t>
            </w:r>
          </w:p>
        </w:tc>
        <w:tc>
          <w:tcPr>
            <w:tcW w:w="567" w:type="dxa"/>
            <w:tcBorders>
              <w:top w:val="nil"/>
              <w:left w:val="nil"/>
              <w:bottom w:val="single" w:color="auto" w:sz="4" w:space="0"/>
              <w:right w:val="single" w:color="auto" w:sz="4" w:space="0"/>
            </w:tcBorders>
            <w:noWrap w:val="0"/>
            <w:tcMar>
              <w:top w:w="14" w:type="dxa"/>
              <w:left w:w="14" w:type="dxa"/>
              <w:bottom w:w="0" w:type="dxa"/>
              <w:right w:w="14" w:type="dxa"/>
            </w:tcMar>
            <w:vAlign w:val="center"/>
          </w:tcPr>
          <w:p>
            <w:pPr>
              <w:adjustRightInd w:val="0"/>
              <w:snapToGrid w:val="0"/>
              <w:spacing w:line="400" w:lineRule="atLeast"/>
              <w:jc w:val="center"/>
              <w:rPr>
                <w:rFonts w:hint="eastAsia"/>
                <w:szCs w:val="21"/>
              </w:rPr>
            </w:pPr>
            <w:r>
              <w:rPr>
                <w:rFonts w:hint="eastAsia"/>
                <w:szCs w:val="21"/>
              </w:rPr>
              <w:t>4.2</w:t>
            </w:r>
          </w:p>
        </w:tc>
        <w:tc>
          <w:tcPr>
            <w:tcW w:w="851" w:type="dxa"/>
            <w:tcBorders>
              <w:top w:val="nil"/>
              <w:left w:val="nil"/>
              <w:bottom w:val="single" w:color="auto" w:sz="4" w:space="0"/>
              <w:right w:val="single" w:color="auto" w:sz="4" w:space="0"/>
            </w:tcBorders>
            <w:noWrap w:val="0"/>
            <w:vAlign w:val="center"/>
          </w:tcPr>
          <w:p>
            <w:pPr>
              <w:adjustRightInd w:val="0"/>
              <w:snapToGrid w:val="0"/>
              <w:spacing w:line="400" w:lineRule="atLeast"/>
              <w:jc w:val="center"/>
              <w:rPr>
                <w:rFonts w:hint="eastAsia"/>
                <w:szCs w:val="21"/>
              </w:rPr>
            </w:pPr>
            <w:r>
              <w:rPr>
                <w:rFonts w:hint="eastAsia"/>
                <w:szCs w:val="21"/>
              </w:rPr>
              <w:t>4.2</w:t>
            </w:r>
          </w:p>
        </w:tc>
        <w:tc>
          <w:tcPr>
            <w:tcW w:w="709" w:type="dxa"/>
            <w:tcBorders>
              <w:top w:val="nil"/>
              <w:left w:val="nil"/>
              <w:bottom w:val="single" w:color="auto" w:sz="4" w:space="0"/>
              <w:right w:val="single" w:color="auto" w:sz="4" w:space="0"/>
            </w:tcBorders>
            <w:noWrap w:val="0"/>
            <w:vAlign w:val="center"/>
          </w:tcPr>
          <w:p>
            <w:pPr>
              <w:adjustRightInd w:val="0"/>
              <w:snapToGrid w:val="0"/>
              <w:spacing w:line="400" w:lineRule="atLeast"/>
              <w:jc w:val="center"/>
              <w:rPr>
                <w:rFonts w:hint="eastAsia"/>
                <w:szCs w:val="21"/>
              </w:rPr>
            </w:pPr>
            <w:r>
              <w:rPr>
                <w:rFonts w:hint="eastAsia"/>
                <w:szCs w:val="21"/>
              </w:rPr>
              <w:t>4.2</w:t>
            </w:r>
          </w:p>
        </w:tc>
      </w:tr>
      <w:tr>
        <w:tblPrEx>
          <w:tblCellMar>
            <w:top w:w="0" w:type="dxa"/>
            <w:left w:w="0" w:type="dxa"/>
            <w:bottom w:w="0" w:type="dxa"/>
            <w:right w:w="0" w:type="dxa"/>
          </w:tblCellMar>
        </w:tblPrEx>
        <w:trPr>
          <w:cantSplit/>
          <w:trHeight w:val="307" w:hRule="atLeast"/>
        </w:trPr>
        <w:tc>
          <w:tcPr>
            <w:tcW w:w="536" w:type="dxa"/>
            <w:tcBorders>
              <w:top w:val="nil"/>
              <w:left w:val="single" w:color="auto" w:sz="4" w:space="0"/>
              <w:bottom w:val="single" w:color="auto" w:sz="4" w:space="0"/>
              <w:right w:val="single" w:color="auto" w:sz="4" w:space="0"/>
            </w:tcBorders>
            <w:noWrap w:val="0"/>
            <w:tcMar>
              <w:top w:w="14" w:type="dxa"/>
              <w:left w:w="14" w:type="dxa"/>
              <w:bottom w:w="0" w:type="dxa"/>
              <w:right w:w="14" w:type="dxa"/>
            </w:tcMar>
            <w:vAlign w:val="bottom"/>
          </w:tcPr>
          <w:p>
            <w:pPr>
              <w:adjustRightInd w:val="0"/>
              <w:snapToGrid w:val="0"/>
              <w:spacing w:line="400" w:lineRule="atLeast"/>
              <w:jc w:val="center"/>
              <w:rPr>
                <w:szCs w:val="21"/>
              </w:rPr>
            </w:pPr>
            <w:r>
              <w:rPr>
                <w:szCs w:val="21"/>
              </w:rPr>
              <w:t>二</w:t>
            </w:r>
          </w:p>
        </w:tc>
        <w:tc>
          <w:tcPr>
            <w:tcW w:w="1532" w:type="dxa"/>
            <w:tcBorders>
              <w:top w:val="nil"/>
              <w:left w:val="single" w:color="auto" w:sz="4" w:space="0"/>
              <w:bottom w:val="single" w:color="000000" w:sz="4" w:space="0"/>
              <w:right w:val="single" w:color="auto" w:sz="4" w:space="0"/>
            </w:tcBorders>
            <w:noWrap w:val="0"/>
            <w:tcMar>
              <w:top w:w="14" w:type="dxa"/>
              <w:left w:w="14" w:type="dxa"/>
              <w:bottom w:w="0" w:type="dxa"/>
              <w:right w:w="14" w:type="dxa"/>
            </w:tcMar>
            <w:vAlign w:val="center"/>
          </w:tcPr>
          <w:p>
            <w:pPr>
              <w:adjustRightInd w:val="0"/>
              <w:snapToGrid w:val="0"/>
              <w:spacing w:line="400" w:lineRule="atLeast"/>
              <w:jc w:val="center"/>
              <w:rPr>
                <w:szCs w:val="21"/>
              </w:rPr>
            </w:pPr>
            <w:r>
              <w:rPr>
                <w:szCs w:val="21"/>
              </w:rPr>
              <w:t>间接费</w:t>
            </w:r>
          </w:p>
        </w:tc>
        <w:tc>
          <w:tcPr>
            <w:tcW w:w="1530" w:type="dxa"/>
            <w:tcBorders>
              <w:top w:val="nil"/>
              <w:left w:val="nil"/>
              <w:bottom w:val="single" w:color="auto" w:sz="4" w:space="0"/>
              <w:right w:val="single" w:color="auto" w:sz="4" w:space="0"/>
            </w:tcBorders>
            <w:noWrap w:val="0"/>
            <w:tcMar>
              <w:top w:w="14" w:type="dxa"/>
              <w:left w:w="14" w:type="dxa"/>
              <w:bottom w:w="0" w:type="dxa"/>
              <w:right w:w="14" w:type="dxa"/>
            </w:tcMar>
            <w:vAlign w:val="bottom"/>
          </w:tcPr>
          <w:p>
            <w:pPr>
              <w:adjustRightInd w:val="0"/>
              <w:snapToGrid w:val="0"/>
              <w:spacing w:line="400" w:lineRule="atLeast"/>
              <w:jc w:val="center"/>
              <w:rPr>
                <w:szCs w:val="21"/>
              </w:rPr>
            </w:pPr>
            <w:r>
              <w:rPr>
                <w:szCs w:val="21"/>
              </w:rPr>
              <w:t>直接费</w:t>
            </w:r>
          </w:p>
        </w:tc>
        <w:tc>
          <w:tcPr>
            <w:tcW w:w="792" w:type="dxa"/>
            <w:tcBorders>
              <w:top w:val="nil"/>
              <w:left w:val="nil"/>
              <w:bottom w:val="single" w:color="auto" w:sz="4" w:space="0"/>
              <w:right w:val="single" w:color="auto" w:sz="4" w:space="0"/>
            </w:tcBorders>
            <w:noWrap w:val="0"/>
            <w:tcMar>
              <w:top w:w="14" w:type="dxa"/>
              <w:left w:w="14" w:type="dxa"/>
              <w:bottom w:w="0" w:type="dxa"/>
              <w:right w:w="14" w:type="dxa"/>
            </w:tcMar>
            <w:vAlign w:val="center"/>
          </w:tcPr>
          <w:p>
            <w:pPr>
              <w:adjustRightInd w:val="0"/>
              <w:snapToGrid w:val="0"/>
              <w:spacing w:line="400" w:lineRule="atLeast"/>
              <w:jc w:val="center"/>
              <w:rPr>
                <w:szCs w:val="21"/>
              </w:rPr>
            </w:pPr>
            <w:r>
              <w:rPr>
                <w:rFonts w:hint="eastAsia"/>
                <w:szCs w:val="21"/>
              </w:rPr>
              <w:t>4.5</w:t>
            </w:r>
          </w:p>
        </w:tc>
        <w:tc>
          <w:tcPr>
            <w:tcW w:w="788" w:type="dxa"/>
            <w:tcBorders>
              <w:top w:val="nil"/>
              <w:left w:val="nil"/>
              <w:bottom w:val="single" w:color="auto" w:sz="4" w:space="0"/>
              <w:right w:val="single" w:color="auto" w:sz="4" w:space="0"/>
            </w:tcBorders>
            <w:noWrap w:val="0"/>
            <w:tcMar>
              <w:top w:w="14" w:type="dxa"/>
              <w:left w:w="14" w:type="dxa"/>
              <w:bottom w:w="0" w:type="dxa"/>
              <w:right w:w="14" w:type="dxa"/>
            </w:tcMar>
            <w:vAlign w:val="center"/>
          </w:tcPr>
          <w:p>
            <w:pPr>
              <w:adjustRightInd w:val="0"/>
              <w:snapToGrid w:val="0"/>
              <w:spacing w:line="400" w:lineRule="atLeast"/>
              <w:jc w:val="center"/>
              <w:rPr>
                <w:szCs w:val="21"/>
              </w:rPr>
            </w:pPr>
            <w:r>
              <w:rPr>
                <w:rFonts w:hint="eastAsia"/>
                <w:szCs w:val="21"/>
              </w:rPr>
              <w:t>7.5</w:t>
            </w:r>
          </w:p>
        </w:tc>
        <w:tc>
          <w:tcPr>
            <w:tcW w:w="709" w:type="dxa"/>
            <w:tcBorders>
              <w:top w:val="nil"/>
              <w:left w:val="nil"/>
              <w:bottom w:val="single" w:color="auto" w:sz="4" w:space="0"/>
              <w:right w:val="single" w:color="auto" w:sz="4" w:space="0"/>
            </w:tcBorders>
            <w:noWrap w:val="0"/>
            <w:tcMar>
              <w:top w:w="14" w:type="dxa"/>
              <w:left w:w="14" w:type="dxa"/>
              <w:bottom w:w="0" w:type="dxa"/>
              <w:right w:w="14" w:type="dxa"/>
            </w:tcMar>
            <w:vAlign w:val="center"/>
          </w:tcPr>
          <w:p>
            <w:pPr>
              <w:adjustRightInd w:val="0"/>
              <w:snapToGrid w:val="0"/>
              <w:spacing w:line="400" w:lineRule="atLeast"/>
              <w:jc w:val="center"/>
              <w:rPr>
                <w:rFonts w:hint="eastAsia"/>
                <w:szCs w:val="21"/>
              </w:rPr>
            </w:pPr>
            <w:r>
              <w:rPr>
                <w:rFonts w:hint="eastAsia"/>
                <w:szCs w:val="21"/>
              </w:rPr>
              <w:t>7.5</w:t>
            </w:r>
          </w:p>
        </w:tc>
        <w:tc>
          <w:tcPr>
            <w:tcW w:w="850" w:type="dxa"/>
            <w:tcBorders>
              <w:top w:val="nil"/>
              <w:left w:val="nil"/>
              <w:bottom w:val="single" w:color="auto" w:sz="4" w:space="0"/>
              <w:right w:val="single" w:color="auto" w:sz="4" w:space="0"/>
            </w:tcBorders>
            <w:noWrap w:val="0"/>
            <w:tcMar>
              <w:top w:w="14" w:type="dxa"/>
              <w:left w:w="14" w:type="dxa"/>
              <w:bottom w:w="0" w:type="dxa"/>
              <w:right w:w="14" w:type="dxa"/>
            </w:tcMar>
            <w:vAlign w:val="center"/>
          </w:tcPr>
          <w:p>
            <w:pPr>
              <w:adjustRightInd w:val="0"/>
              <w:snapToGrid w:val="0"/>
              <w:spacing w:line="400" w:lineRule="atLeast"/>
              <w:jc w:val="center"/>
              <w:rPr>
                <w:szCs w:val="21"/>
              </w:rPr>
            </w:pPr>
            <w:r>
              <w:rPr>
                <w:rFonts w:hint="eastAsia"/>
                <w:szCs w:val="21"/>
              </w:rPr>
              <w:t>6.5</w:t>
            </w:r>
          </w:p>
        </w:tc>
        <w:tc>
          <w:tcPr>
            <w:tcW w:w="567" w:type="dxa"/>
            <w:tcBorders>
              <w:top w:val="nil"/>
              <w:left w:val="nil"/>
              <w:bottom w:val="single" w:color="auto" w:sz="4" w:space="0"/>
              <w:right w:val="single" w:color="auto" w:sz="4" w:space="0"/>
            </w:tcBorders>
            <w:noWrap w:val="0"/>
            <w:tcMar>
              <w:top w:w="14" w:type="dxa"/>
              <w:left w:w="14" w:type="dxa"/>
              <w:bottom w:w="0" w:type="dxa"/>
              <w:right w:w="14" w:type="dxa"/>
            </w:tcMar>
            <w:vAlign w:val="center"/>
          </w:tcPr>
          <w:p>
            <w:pPr>
              <w:adjustRightInd w:val="0"/>
              <w:snapToGrid w:val="0"/>
              <w:spacing w:line="400" w:lineRule="atLeast"/>
              <w:jc w:val="center"/>
              <w:rPr>
                <w:szCs w:val="21"/>
              </w:rPr>
            </w:pPr>
            <w:r>
              <w:rPr>
                <w:rFonts w:hint="eastAsia"/>
                <w:szCs w:val="21"/>
              </w:rPr>
              <w:t>5.5</w:t>
            </w:r>
          </w:p>
        </w:tc>
        <w:tc>
          <w:tcPr>
            <w:tcW w:w="851" w:type="dxa"/>
            <w:tcBorders>
              <w:top w:val="nil"/>
              <w:left w:val="nil"/>
              <w:bottom w:val="single" w:color="auto" w:sz="4" w:space="0"/>
              <w:right w:val="single" w:color="auto" w:sz="4" w:space="0"/>
            </w:tcBorders>
            <w:noWrap w:val="0"/>
            <w:vAlign w:val="center"/>
          </w:tcPr>
          <w:p>
            <w:pPr>
              <w:adjustRightInd w:val="0"/>
              <w:snapToGrid w:val="0"/>
              <w:spacing w:line="400" w:lineRule="atLeast"/>
              <w:jc w:val="center"/>
              <w:rPr>
                <w:szCs w:val="21"/>
              </w:rPr>
            </w:pPr>
            <w:r>
              <w:rPr>
                <w:rFonts w:hint="eastAsia"/>
                <w:szCs w:val="21"/>
              </w:rPr>
              <w:t>4</w:t>
            </w:r>
          </w:p>
        </w:tc>
        <w:tc>
          <w:tcPr>
            <w:tcW w:w="709" w:type="dxa"/>
            <w:tcBorders>
              <w:top w:val="nil"/>
              <w:left w:val="nil"/>
              <w:bottom w:val="single" w:color="auto" w:sz="4" w:space="0"/>
              <w:right w:val="single" w:color="auto" w:sz="4" w:space="0"/>
            </w:tcBorders>
            <w:noWrap w:val="0"/>
            <w:vAlign w:val="center"/>
          </w:tcPr>
          <w:p>
            <w:pPr>
              <w:adjustRightInd w:val="0"/>
              <w:snapToGrid w:val="0"/>
              <w:spacing w:line="400" w:lineRule="atLeast"/>
              <w:jc w:val="center"/>
              <w:rPr>
                <w:szCs w:val="21"/>
              </w:rPr>
            </w:pPr>
            <w:r>
              <w:rPr>
                <w:rFonts w:hint="eastAsia"/>
                <w:szCs w:val="21"/>
              </w:rPr>
              <w:t>5.5</w:t>
            </w:r>
          </w:p>
        </w:tc>
      </w:tr>
      <w:tr>
        <w:tblPrEx>
          <w:tblCellMar>
            <w:top w:w="0" w:type="dxa"/>
            <w:left w:w="0" w:type="dxa"/>
            <w:bottom w:w="0" w:type="dxa"/>
            <w:right w:w="0" w:type="dxa"/>
          </w:tblCellMar>
        </w:tblPrEx>
        <w:trPr>
          <w:cantSplit/>
          <w:trHeight w:val="307" w:hRule="atLeast"/>
        </w:trPr>
        <w:tc>
          <w:tcPr>
            <w:tcW w:w="536" w:type="dxa"/>
            <w:tcBorders>
              <w:top w:val="nil"/>
              <w:left w:val="single" w:color="auto" w:sz="4" w:space="0"/>
              <w:bottom w:val="single" w:color="auto" w:sz="4" w:space="0"/>
              <w:right w:val="single" w:color="auto" w:sz="4" w:space="0"/>
            </w:tcBorders>
            <w:noWrap w:val="0"/>
            <w:tcMar>
              <w:top w:w="14" w:type="dxa"/>
              <w:left w:w="14" w:type="dxa"/>
              <w:bottom w:w="0" w:type="dxa"/>
              <w:right w:w="14" w:type="dxa"/>
            </w:tcMar>
            <w:vAlign w:val="bottom"/>
          </w:tcPr>
          <w:p>
            <w:pPr>
              <w:adjustRightInd w:val="0"/>
              <w:snapToGrid w:val="0"/>
              <w:spacing w:line="400" w:lineRule="atLeast"/>
              <w:jc w:val="center"/>
              <w:rPr>
                <w:szCs w:val="21"/>
              </w:rPr>
            </w:pPr>
            <w:r>
              <w:rPr>
                <w:szCs w:val="21"/>
              </w:rPr>
              <w:t>三</w:t>
            </w:r>
          </w:p>
        </w:tc>
        <w:tc>
          <w:tcPr>
            <w:tcW w:w="1532" w:type="dxa"/>
            <w:tcBorders>
              <w:top w:val="nil"/>
              <w:left w:val="single" w:color="auto" w:sz="4" w:space="0"/>
              <w:bottom w:val="single" w:color="auto" w:sz="4" w:space="0"/>
              <w:right w:val="single" w:color="auto" w:sz="4" w:space="0"/>
            </w:tcBorders>
            <w:noWrap w:val="0"/>
            <w:tcMar>
              <w:top w:w="14" w:type="dxa"/>
              <w:left w:w="14" w:type="dxa"/>
              <w:bottom w:w="0" w:type="dxa"/>
              <w:right w:w="14" w:type="dxa"/>
            </w:tcMar>
            <w:vAlign w:val="bottom"/>
          </w:tcPr>
          <w:p>
            <w:pPr>
              <w:adjustRightInd w:val="0"/>
              <w:snapToGrid w:val="0"/>
              <w:spacing w:line="400" w:lineRule="atLeast"/>
              <w:jc w:val="center"/>
              <w:rPr>
                <w:szCs w:val="21"/>
              </w:rPr>
            </w:pPr>
            <w:r>
              <w:rPr>
                <w:szCs w:val="21"/>
              </w:rPr>
              <w:t>利润</w:t>
            </w:r>
          </w:p>
        </w:tc>
        <w:tc>
          <w:tcPr>
            <w:tcW w:w="1530" w:type="dxa"/>
            <w:tcBorders>
              <w:top w:val="nil"/>
              <w:left w:val="nil"/>
              <w:bottom w:val="single" w:color="auto" w:sz="4" w:space="0"/>
              <w:right w:val="single" w:color="auto" w:sz="4" w:space="0"/>
            </w:tcBorders>
            <w:noWrap w:val="0"/>
            <w:tcMar>
              <w:top w:w="14" w:type="dxa"/>
              <w:left w:w="14" w:type="dxa"/>
              <w:bottom w:w="0" w:type="dxa"/>
              <w:right w:w="14" w:type="dxa"/>
            </w:tcMar>
            <w:vAlign w:val="bottom"/>
          </w:tcPr>
          <w:p>
            <w:pPr>
              <w:adjustRightInd w:val="0"/>
              <w:snapToGrid w:val="0"/>
              <w:spacing w:line="400" w:lineRule="atLeast"/>
              <w:jc w:val="center"/>
              <w:rPr>
                <w:szCs w:val="21"/>
              </w:rPr>
            </w:pPr>
            <w:r>
              <w:rPr>
                <w:szCs w:val="21"/>
              </w:rPr>
              <w:t>一+二</w:t>
            </w:r>
          </w:p>
        </w:tc>
        <w:tc>
          <w:tcPr>
            <w:tcW w:w="792" w:type="dxa"/>
            <w:tcBorders>
              <w:top w:val="nil"/>
              <w:left w:val="nil"/>
              <w:bottom w:val="single" w:color="auto" w:sz="4" w:space="0"/>
              <w:right w:val="single" w:color="auto" w:sz="4" w:space="0"/>
            </w:tcBorders>
            <w:noWrap w:val="0"/>
            <w:tcMar>
              <w:top w:w="14" w:type="dxa"/>
              <w:left w:w="14" w:type="dxa"/>
              <w:bottom w:w="0" w:type="dxa"/>
              <w:right w:w="14" w:type="dxa"/>
            </w:tcMar>
            <w:vAlign w:val="center"/>
          </w:tcPr>
          <w:p>
            <w:pPr>
              <w:adjustRightInd w:val="0"/>
              <w:snapToGrid w:val="0"/>
              <w:spacing w:line="400" w:lineRule="atLeast"/>
              <w:jc w:val="center"/>
              <w:rPr>
                <w:rFonts w:hint="eastAsia"/>
                <w:szCs w:val="21"/>
              </w:rPr>
            </w:pPr>
            <w:r>
              <w:rPr>
                <w:rFonts w:hint="eastAsia"/>
                <w:szCs w:val="21"/>
              </w:rPr>
              <w:t>7</w:t>
            </w:r>
          </w:p>
        </w:tc>
        <w:tc>
          <w:tcPr>
            <w:tcW w:w="788" w:type="dxa"/>
            <w:tcBorders>
              <w:top w:val="nil"/>
              <w:left w:val="nil"/>
              <w:bottom w:val="single" w:color="auto" w:sz="4" w:space="0"/>
              <w:right w:val="single" w:color="auto" w:sz="4" w:space="0"/>
            </w:tcBorders>
            <w:noWrap w:val="0"/>
            <w:tcMar>
              <w:top w:w="14" w:type="dxa"/>
              <w:left w:w="14" w:type="dxa"/>
              <w:bottom w:w="0" w:type="dxa"/>
              <w:right w:w="14" w:type="dxa"/>
            </w:tcMar>
            <w:vAlign w:val="center"/>
          </w:tcPr>
          <w:p>
            <w:pPr>
              <w:adjustRightInd w:val="0"/>
              <w:snapToGrid w:val="0"/>
              <w:spacing w:line="400" w:lineRule="atLeast"/>
              <w:jc w:val="center"/>
              <w:rPr>
                <w:rFonts w:hint="eastAsia"/>
                <w:szCs w:val="21"/>
              </w:rPr>
            </w:pPr>
            <w:r>
              <w:rPr>
                <w:rFonts w:hint="eastAsia"/>
                <w:szCs w:val="21"/>
              </w:rPr>
              <w:t>7</w:t>
            </w:r>
          </w:p>
        </w:tc>
        <w:tc>
          <w:tcPr>
            <w:tcW w:w="709" w:type="dxa"/>
            <w:tcBorders>
              <w:top w:val="nil"/>
              <w:left w:val="nil"/>
              <w:bottom w:val="single" w:color="auto" w:sz="4" w:space="0"/>
              <w:right w:val="single" w:color="auto" w:sz="4" w:space="0"/>
            </w:tcBorders>
            <w:noWrap w:val="0"/>
            <w:tcMar>
              <w:top w:w="14" w:type="dxa"/>
              <w:left w:w="14" w:type="dxa"/>
              <w:bottom w:w="0" w:type="dxa"/>
              <w:right w:w="14" w:type="dxa"/>
            </w:tcMar>
            <w:vAlign w:val="center"/>
          </w:tcPr>
          <w:p>
            <w:pPr>
              <w:adjustRightInd w:val="0"/>
              <w:snapToGrid w:val="0"/>
              <w:spacing w:line="400" w:lineRule="atLeast"/>
              <w:jc w:val="center"/>
              <w:rPr>
                <w:rFonts w:hint="eastAsia"/>
                <w:szCs w:val="21"/>
              </w:rPr>
            </w:pPr>
            <w:r>
              <w:rPr>
                <w:rFonts w:hint="eastAsia"/>
                <w:szCs w:val="21"/>
              </w:rPr>
              <w:t>7</w:t>
            </w:r>
          </w:p>
        </w:tc>
        <w:tc>
          <w:tcPr>
            <w:tcW w:w="850" w:type="dxa"/>
            <w:tcBorders>
              <w:top w:val="nil"/>
              <w:left w:val="nil"/>
              <w:bottom w:val="single" w:color="auto" w:sz="4" w:space="0"/>
              <w:right w:val="single" w:color="auto" w:sz="4" w:space="0"/>
            </w:tcBorders>
            <w:noWrap w:val="0"/>
            <w:tcMar>
              <w:top w:w="14" w:type="dxa"/>
              <w:left w:w="14" w:type="dxa"/>
              <w:bottom w:w="0" w:type="dxa"/>
              <w:right w:w="14" w:type="dxa"/>
            </w:tcMar>
            <w:vAlign w:val="center"/>
          </w:tcPr>
          <w:p>
            <w:pPr>
              <w:adjustRightInd w:val="0"/>
              <w:snapToGrid w:val="0"/>
              <w:spacing w:line="400" w:lineRule="atLeast"/>
              <w:jc w:val="center"/>
              <w:rPr>
                <w:rFonts w:hint="eastAsia"/>
                <w:szCs w:val="21"/>
              </w:rPr>
            </w:pPr>
            <w:r>
              <w:rPr>
                <w:rFonts w:hint="eastAsia"/>
                <w:szCs w:val="21"/>
              </w:rPr>
              <w:t>7</w:t>
            </w:r>
          </w:p>
        </w:tc>
        <w:tc>
          <w:tcPr>
            <w:tcW w:w="567" w:type="dxa"/>
            <w:tcBorders>
              <w:top w:val="nil"/>
              <w:left w:val="nil"/>
              <w:bottom w:val="single" w:color="auto" w:sz="4" w:space="0"/>
              <w:right w:val="single" w:color="auto" w:sz="4" w:space="0"/>
            </w:tcBorders>
            <w:noWrap w:val="0"/>
            <w:tcMar>
              <w:top w:w="14" w:type="dxa"/>
              <w:left w:w="14" w:type="dxa"/>
              <w:bottom w:w="0" w:type="dxa"/>
              <w:right w:w="14" w:type="dxa"/>
            </w:tcMar>
            <w:vAlign w:val="center"/>
          </w:tcPr>
          <w:p>
            <w:pPr>
              <w:adjustRightInd w:val="0"/>
              <w:snapToGrid w:val="0"/>
              <w:spacing w:line="400" w:lineRule="atLeast"/>
              <w:jc w:val="center"/>
              <w:rPr>
                <w:rFonts w:hint="eastAsia"/>
                <w:szCs w:val="21"/>
              </w:rPr>
            </w:pPr>
            <w:r>
              <w:rPr>
                <w:rFonts w:hint="eastAsia"/>
                <w:szCs w:val="21"/>
              </w:rPr>
              <w:t>7</w:t>
            </w:r>
          </w:p>
        </w:tc>
        <w:tc>
          <w:tcPr>
            <w:tcW w:w="851" w:type="dxa"/>
            <w:tcBorders>
              <w:top w:val="nil"/>
              <w:left w:val="nil"/>
              <w:bottom w:val="single" w:color="auto" w:sz="4" w:space="0"/>
              <w:right w:val="single" w:color="auto" w:sz="4" w:space="0"/>
            </w:tcBorders>
            <w:noWrap w:val="0"/>
            <w:vAlign w:val="center"/>
          </w:tcPr>
          <w:p>
            <w:pPr>
              <w:adjustRightInd w:val="0"/>
              <w:snapToGrid w:val="0"/>
              <w:spacing w:line="400" w:lineRule="atLeast"/>
              <w:jc w:val="center"/>
              <w:rPr>
                <w:rFonts w:hint="eastAsia"/>
                <w:szCs w:val="21"/>
              </w:rPr>
            </w:pPr>
            <w:r>
              <w:rPr>
                <w:rFonts w:hint="eastAsia"/>
                <w:szCs w:val="21"/>
              </w:rPr>
              <w:t>7</w:t>
            </w:r>
          </w:p>
        </w:tc>
        <w:tc>
          <w:tcPr>
            <w:tcW w:w="709" w:type="dxa"/>
            <w:tcBorders>
              <w:top w:val="nil"/>
              <w:left w:val="nil"/>
              <w:bottom w:val="single" w:color="auto" w:sz="4" w:space="0"/>
              <w:right w:val="single" w:color="auto" w:sz="4" w:space="0"/>
            </w:tcBorders>
            <w:noWrap w:val="0"/>
            <w:vAlign w:val="center"/>
          </w:tcPr>
          <w:p>
            <w:pPr>
              <w:adjustRightInd w:val="0"/>
              <w:snapToGrid w:val="0"/>
              <w:spacing w:line="400" w:lineRule="atLeast"/>
              <w:jc w:val="center"/>
              <w:rPr>
                <w:rFonts w:hint="eastAsia"/>
                <w:szCs w:val="21"/>
              </w:rPr>
            </w:pPr>
            <w:r>
              <w:rPr>
                <w:rFonts w:hint="eastAsia"/>
                <w:szCs w:val="21"/>
              </w:rPr>
              <w:t>7</w:t>
            </w:r>
          </w:p>
        </w:tc>
      </w:tr>
      <w:tr>
        <w:tblPrEx>
          <w:tblCellMar>
            <w:top w:w="0" w:type="dxa"/>
            <w:left w:w="0" w:type="dxa"/>
            <w:bottom w:w="0" w:type="dxa"/>
            <w:right w:w="0" w:type="dxa"/>
          </w:tblCellMar>
        </w:tblPrEx>
        <w:trPr>
          <w:trHeight w:val="307" w:hRule="atLeast"/>
        </w:trPr>
        <w:tc>
          <w:tcPr>
            <w:tcW w:w="536" w:type="dxa"/>
            <w:tcBorders>
              <w:top w:val="single" w:color="auto" w:sz="4" w:space="0"/>
              <w:left w:val="single" w:color="auto" w:sz="4" w:space="0"/>
              <w:bottom w:val="single" w:color="auto" w:sz="4" w:space="0"/>
              <w:right w:val="single" w:color="auto" w:sz="4" w:space="0"/>
            </w:tcBorders>
            <w:noWrap w:val="0"/>
            <w:tcMar>
              <w:top w:w="14" w:type="dxa"/>
              <w:left w:w="14" w:type="dxa"/>
              <w:bottom w:w="0" w:type="dxa"/>
              <w:right w:w="14" w:type="dxa"/>
            </w:tcMar>
            <w:vAlign w:val="bottom"/>
          </w:tcPr>
          <w:p>
            <w:pPr>
              <w:adjustRightInd w:val="0"/>
              <w:snapToGrid w:val="0"/>
              <w:spacing w:line="400" w:lineRule="atLeast"/>
              <w:jc w:val="center"/>
              <w:rPr>
                <w:szCs w:val="21"/>
              </w:rPr>
            </w:pPr>
            <w:r>
              <w:rPr>
                <w:szCs w:val="21"/>
              </w:rPr>
              <w:t>四</w:t>
            </w:r>
          </w:p>
        </w:tc>
        <w:tc>
          <w:tcPr>
            <w:tcW w:w="1532" w:type="dxa"/>
            <w:tcBorders>
              <w:top w:val="single" w:color="auto" w:sz="4" w:space="0"/>
              <w:left w:val="nil"/>
              <w:bottom w:val="single" w:color="auto" w:sz="4" w:space="0"/>
              <w:right w:val="single" w:color="auto" w:sz="4" w:space="0"/>
            </w:tcBorders>
            <w:noWrap w:val="0"/>
            <w:tcMar>
              <w:top w:w="14" w:type="dxa"/>
              <w:left w:w="14" w:type="dxa"/>
              <w:bottom w:w="0" w:type="dxa"/>
              <w:right w:w="14" w:type="dxa"/>
            </w:tcMar>
            <w:vAlign w:val="bottom"/>
          </w:tcPr>
          <w:p>
            <w:pPr>
              <w:adjustRightInd w:val="0"/>
              <w:snapToGrid w:val="0"/>
              <w:spacing w:line="400" w:lineRule="atLeast"/>
              <w:jc w:val="center"/>
              <w:rPr>
                <w:szCs w:val="21"/>
              </w:rPr>
            </w:pPr>
            <w:r>
              <w:rPr>
                <w:szCs w:val="21"/>
              </w:rPr>
              <w:t>税金</w:t>
            </w:r>
          </w:p>
        </w:tc>
        <w:tc>
          <w:tcPr>
            <w:tcW w:w="1530" w:type="dxa"/>
            <w:tcBorders>
              <w:top w:val="single" w:color="auto" w:sz="4" w:space="0"/>
              <w:left w:val="nil"/>
              <w:bottom w:val="single" w:color="auto" w:sz="4" w:space="0"/>
              <w:right w:val="single" w:color="auto" w:sz="4" w:space="0"/>
            </w:tcBorders>
            <w:noWrap w:val="0"/>
            <w:tcMar>
              <w:top w:w="14" w:type="dxa"/>
              <w:left w:w="14" w:type="dxa"/>
              <w:bottom w:w="0" w:type="dxa"/>
              <w:right w:w="14" w:type="dxa"/>
            </w:tcMar>
            <w:vAlign w:val="bottom"/>
          </w:tcPr>
          <w:p>
            <w:pPr>
              <w:adjustRightInd w:val="0"/>
              <w:snapToGrid w:val="0"/>
              <w:spacing w:line="400" w:lineRule="atLeast"/>
              <w:jc w:val="center"/>
              <w:rPr>
                <w:szCs w:val="21"/>
              </w:rPr>
            </w:pPr>
            <w:r>
              <w:rPr>
                <w:szCs w:val="21"/>
              </w:rPr>
              <w:t>一+二+三</w:t>
            </w:r>
          </w:p>
        </w:tc>
        <w:tc>
          <w:tcPr>
            <w:tcW w:w="792" w:type="dxa"/>
            <w:tcBorders>
              <w:top w:val="single" w:color="auto" w:sz="4" w:space="0"/>
              <w:left w:val="nil"/>
              <w:bottom w:val="single" w:color="auto" w:sz="4" w:space="0"/>
              <w:right w:val="single" w:color="auto" w:sz="4" w:space="0"/>
            </w:tcBorders>
            <w:noWrap w:val="0"/>
            <w:tcMar>
              <w:top w:w="14" w:type="dxa"/>
              <w:left w:w="14" w:type="dxa"/>
              <w:bottom w:w="0" w:type="dxa"/>
              <w:right w:w="14" w:type="dxa"/>
            </w:tcMar>
            <w:vAlign w:val="center"/>
          </w:tcPr>
          <w:p>
            <w:pPr>
              <w:jc w:val="center"/>
              <w:rPr>
                <w:rFonts w:hint="eastAsia"/>
                <w:szCs w:val="21"/>
              </w:rPr>
            </w:pPr>
            <w:r>
              <w:rPr>
                <w:rFonts w:hint="eastAsia"/>
                <w:szCs w:val="21"/>
              </w:rPr>
              <w:t>9</w:t>
            </w:r>
          </w:p>
        </w:tc>
        <w:tc>
          <w:tcPr>
            <w:tcW w:w="788" w:type="dxa"/>
            <w:tcBorders>
              <w:top w:val="single" w:color="auto" w:sz="4" w:space="0"/>
              <w:left w:val="nil"/>
              <w:bottom w:val="single" w:color="auto" w:sz="4" w:space="0"/>
              <w:right w:val="single" w:color="auto" w:sz="4" w:space="0"/>
            </w:tcBorders>
            <w:noWrap w:val="0"/>
            <w:tcMar>
              <w:top w:w="14" w:type="dxa"/>
              <w:left w:w="14" w:type="dxa"/>
              <w:bottom w:w="0" w:type="dxa"/>
              <w:right w:w="14" w:type="dxa"/>
            </w:tcMar>
            <w:vAlign w:val="center"/>
          </w:tcPr>
          <w:p>
            <w:pPr>
              <w:jc w:val="center"/>
            </w:pPr>
            <w:r>
              <w:rPr>
                <w:rFonts w:hint="eastAsia"/>
                <w:szCs w:val="21"/>
              </w:rPr>
              <w:t>9</w:t>
            </w:r>
          </w:p>
        </w:tc>
        <w:tc>
          <w:tcPr>
            <w:tcW w:w="709" w:type="dxa"/>
            <w:tcBorders>
              <w:top w:val="single" w:color="auto" w:sz="4" w:space="0"/>
              <w:left w:val="nil"/>
              <w:bottom w:val="single" w:color="auto" w:sz="4" w:space="0"/>
              <w:right w:val="single" w:color="auto" w:sz="4" w:space="0"/>
            </w:tcBorders>
            <w:noWrap w:val="0"/>
            <w:tcMar>
              <w:top w:w="14" w:type="dxa"/>
              <w:left w:w="14" w:type="dxa"/>
              <w:bottom w:w="0" w:type="dxa"/>
              <w:right w:w="14" w:type="dxa"/>
            </w:tcMar>
            <w:vAlign w:val="center"/>
          </w:tcPr>
          <w:p>
            <w:pPr>
              <w:jc w:val="center"/>
            </w:pPr>
            <w:r>
              <w:rPr>
                <w:rFonts w:hint="eastAsia"/>
                <w:szCs w:val="21"/>
              </w:rPr>
              <w:t>9</w:t>
            </w:r>
          </w:p>
        </w:tc>
        <w:tc>
          <w:tcPr>
            <w:tcW w:w="850" w:type="dxa"/>
            <w:tcBorders>
              <w:top w:val="single" w:color="auto" w:sz="4" w:space="0"/>
              <w:left w:val="nil"/>
              <w:bottom w:val="single" w:color="auto" w:sz="4" w:space="0"/>
              <w:right w:val="single" w:color="auto" w:sz="4" w:space="0"/>
            </w:tcBorders>
            <w:noWrap w:val="0"/>
            <w:tcMar>
              <w:top w:w="14" w:type="dxa"/>
              <w:left w:w="14" w:type="dxa"/>
              <w:bottom w:w="0" w:type="dxa"/>
              <w:right w:w="14" w:type="dxa"/>
            </w:tcMar>
            <w:vAlign w:val="center"/>
          </w:tcPr>
          <w:p>
            <w:pPr>
              <w:jc w:val="center"/>
            </w:pPr>
            <w:r>
              <w:rPr>
                <w:rFonts w:hint="eastAsia"/>
                <w:szCs w:val="21"/>
              </w:rPr>
              <w:t>9</w:t>
            </w:r>
          </w:p>
        </w:tc>
        <w:tc>
          <w:tcPr>
            <w:tcW w:w="567" w:type="dxa"/>
            <w:tcBorders>
              <w:top w:val="single" w:color="auto" w:sz="4" w:space="0"/>
              <w:left w:val="nil"/>
              <w:bottom w:val="single" w:color="auto" w:sz="4" w:space="0"/>
              <w:right w:val="single" w:color="auto" w:sz="4" w:space="0"/>
            </w:tcBorders>
            <w:noWrap w:val="0"/>
            <w:tcMar>
              <w:top w:w="14" w:type="dxa"/>
              <w:left w:w="14" w:type="dxa"/>
              <w:bottom w:w="0" w:type="dxa"/>
              <w:right w:w="14" w:type="dxa"/>
            </w:tcMar>
            <w:vAlign w:val="center"/>
          </w:tcPr>
          <w:p>
            <w:pPr>
              <w:jc w:val="center"/>
            </w:pPr>
            <w:r>
              <w:rPr>
                <w:rFonts w:hint="eastAsia"/>
                <w:szCs w:val="21"/>
              </w:rPr>
              <w:t>9</w:t>
            </w:r>
          </w:p>
        </w:tc>
        <w:tc>
          <w:tcPr>
            <w:tcW w:w="851" w:type="dxa"/>
            <w:tcBorders>
              <w:top w:val="single" w:color="auto" w:sz="4" w:space="0"/>
              <w:left w:val="nil"/>
              <w:bottom w:val="single" w:color="auto" w:sz="4" w:space="0"/>
              <w:right w:val="single" w:color="auto" w:sz="4" w:space="0"/>
            </w:tcBorders>
            <w:noWrap w:val="0"/>
            <w:vAlign w:val="center"/>
          </w:tcPr>
          <w:p>
            <w:pPr>
              <w:jc w:val="center"/>
            </w:pPr>
            <w:r>
              <w:rPr>
                <w:rFonts w:hint="eastAsia"/>
                <w:szCs w:val="21"/>
              </w:rPr>
              <w:t>9</w:t>
            </w:r>
          </w:p>
        </w:tc>
        <w:tc>
          <w:tcPr>
            <w:tcW w:w="709" w:type="dxa"/>
            <w:tcBorders>
              <w:top w:val="single" w:color="auto" w:sz="4" w:space="0"/>
              <w:left w:val="nil"/>
              <w:bottom w:val="single" w:color="auto" w:sz="4" w:space="0"/>
              <w:right w:val="single" w:color="auto" w:sz="4" w:space="0"/>
            </w:tcBorders>
            <w:noWrap w:val="0"/>
            <w:vAlign w:val="center"/>
          </w:tcPr>
          <w:p>
            <w:pPr>
              <w:jc w:val="center"/>
            </w:pPr>
            <w:r>
              <w:rPr>
                <w:rFonts w:hint="eastAsia"/>
                <w:szCs w:val="21"/>
              </w:rPr>
              <w:t>9</w:t>
            </w:r>
          </w:p>
        </w:tc>
      </w:tr>
      <w:tr>
        <w:tblPrEx>
          <w:tblCellMar>
            <w:top w:w="0" w:type="dxa"/>
            <w:left w:w="0" w:type="dxa"/>
            <w:bottom w:w="0" w:type="dxa"/>
            <w:right w:w="0" w:type="dxa"/>
          </w:tblCellMar>
        </w:tblPrEx>
        <w:trPr>
          <w:trHeight w:val="307" w:hRule="atLeast"/>
        </w:trPr>
        <w:tc>
          <w:tcPr>
            <w:tcW w:w="536" w:type="dxa"/>
            <w:tcBorders>
              <w:top w:val="single" w:color="auto" w:sz="4" w:space="0"/>
              <w:left w:val="single" w:color="auto" w:sz="4" w:space="0"/>
              <w:bottom w:val="single" w:color="auto" w:sz="4" w:space="0"/>
              <w:right w:val="single" w:color="auto" w:sz="4" w:space="0"/>
            </w:tcBorders>
            <w:noWrap w:val="0"/>
            <w:tcMar>
              <w:top w:w="14" w:type="dxa"/>
              <w:left w:w="14" w:type="dxa"/>
              <w:bottom w:w="0" w:type="dxa"/>
              <w:right w:w="14" w:type="dxa"/>
            </w:tcMar>
            <w:vAlign w:val="bottom"/>
          </w:tcPr>
          <w:p>
            <w:pPr>
              <w:adjustRightInd w:val="0"/>
              <w:snapToGrid w:val="0"/>
              <w:spacing w:line="400" w:lineRule="atLeast"/>
              <w:jc w:val="center"/>
              <w:rPr>
                <w:szCs w:val="21"/>
              </w:rPr>
            </w:pPr>
            <w:r>
              <w:rPr>
                <w:rFonts w:hint="eastAsia"/>
                <w:szCs w:val="21"/>
              </w:rPr>
              <w:t>五</w:t>
            </w:r>
          </w:p>
        </w:tc>
        <w:tc>
          <w:tcPr>
            <w:tcW w:w="1532" w:type="dxa"/>
            <w:tcBorders>
              <w:top w:val="single" w:color="auto" w:sz="4" w:space="0"/>
              <w:left w:val="nil"/>
              <w:bottom w:val="single" w:color="auto" w:sz="4" w:space="0"/>
              <w:right w:val="single" w:color="auto" w:sz="4" w:space="0"/>
            </w:tcBorders>
            <w:noWrap w:val="0"/>
            <w:tcMar>
              <w:top w:w="14" w:type="dxa"/>
              <w:left w:w="14" w:type="dxa"/>
              <w:bottom w:w="0" w:type="dxa"/>
              <w:right w:w="14" w:type="dxa"/>
            </w:tcMar>
            <w:vAlign w:val="bottom"/>
          </w:tcPr>
          <w:p>
            <w:pPr>
              <w:adjustRightInd w:val="0"/>
              <w:snapToGrid w:val="0"/>
              <w:spacing w:line="400" w:lineRule="atLeast"/>
              <w:jc w:val="center"/>
              <w:rPr>
                <w:szCs w:val="21"/>
              </w:rPr>
            </w:pPr>
            <w:r>
              <w:rPr>
                <w:rFonts w:hint="eastAsia"/>
                <w:szCs w:val="21"/>
              </w:rPr>
              <w:t>估算扩大系数</w:t>
            </w:r>
          </w:p>
        </w:tc>
        <w:tc>
          <w:tcPr>
            <w:tcW w:w="1530" w:type="dxa"/>
            <w:tcBorders>
              <w:top w:val="single" w:color="auto" w:sz="4" w:space="0"/>
              <w:left w:val="nil"/>
              <w:bottom w:val="single" w:color="auto" w:sz="4" w:space="0"/>
              <w:right w:val="single" w:color="auto" w:sz="4" w:space="0"/>
            </w:tcBorders>
            <w:noWrap w:val="0"/>
            <w:tcMar>
              <w:top w:w="14" w:type="dxa"/>
              <w:left w:w="14" w:type="dxa"/>
              <w:bottom w:w="0" w:type="dxa"/>
              <w:right w:w="14" w:type="dxa"/>
            </w:tcMar>
            <w:vAlign w:val="bottom"/>
          </w:tcPr>
          <w:p>
            <w:pPr>
              <w:adjustRightInd w:val="0"/>
              <w:snapToGrid w:val="0"/>
              <w:spacing w:line="400" w:lineRule="atLeast"/>
              <w:jc w:val="center"/>
              <w:rPr>
                <w:szCs w:val="21"/>
              </w:rPr>
            </w:pPr>
            <w:r>
              <w:rPr>
                <w:szCs w:val="21"/>
              </w:rPr>
              <w:t>一+二+三+</w:t>
            </w:r>
            <w:r>
              <w:rPr>
                <w:rFonts w:hint="eastAsia"/>
                <w:szCs w:val="21"/>
              </w:rPr>
              <w:t>四</w:t>
            </w:r>
          </w:p>
        </w:tc>
        <w:tc>
          <w:tcPr>
            <w:tcW w:w="792" w:type="dxa"/>
            <w:tcBorders>
              <w:top w:val="single" w:color="auto" w:sz="4" w:space="0"/>
              <w:left w:val="nil"/>
              <w:bottom w:val="single" w:color="auto" w:sz="4" w:space="0"/>
              <w:right w:val="single" w:color="auto" w:sz="4" w:space="0"/>
            </w:tcBorders>
            <w:noWrap w:val="0"/>
            <w:tcMar>
              <w:top w:w="14" w:type="dxa"/>
              <w:left w:w="14" w:type="dxa"/>
              <w:bottom w:w="0" w:type="dxa"/>
              <w:right w:w="14" w:type="dxa"/>
            </w:tcMar>
            <w:vAlign w:val="center"/>
          </w:tcPr>
          <w:p>
            <w:pPr>
              <w:jc w:val="center"/>
              <w:rPr>
                <w:rFonts w:hint="eastAsia"/>
                <w:szCs w:val="21"/>
              </w:rPr>
            </w:pPr>
            <w:r>
              <w:rPr>
                <w:rFonts w:hint="eastAsia"/>
                <w:szCs w:val="21"/>
              </w:rPr>
              <w:t>13</w:t>
            </w:r>
          </w:p>
        </w:tc>
        <w:tc>
          <w:tcPr>
            <w:tcW w:w="788" w:type="dxa"/>
            <w:tcBorders>
              <w:top w:val="single" w:color="auto" w:sz="4" w:space="0"/>
              <w:left w:val="nil"/>
              <w:bottom w:val="single" w:color="auto" w:sz="4" w:space="0"/>
              <w:right w:val="single" w:color="auto" w:sz="4" w:space="0"/>
            </w:tcBorders>
            <w:noWrap w:val="0"/>
            <w:tcMar>
              <w:top w:w="14" w:type="dxa"/>
              <w:left w:w="14" w:type="dxa"/>
              <w:bottom w:w="0" w:type="dxa"/>
              <w:right w:w="14" w:type="dxa"/>
            </w:tcMar>
            <w:vAlign w:val="center"/>
          </w:tcPr>
          <w:p>
            <w:pPr>
              <w:jc w:val="center"/>
              <w:rPr>
                <w:rFonts w:hint="eastAsia"/>
                <w:szCs w:val="21"/>
              </w:rPr>
            </w:pPr>
            <w:r>
              <w:rPr>
                <w:rFonts w:hint="eastAsia"/>
                <w:szCs w:val="21"/>
              </w:rPr>
              <w:t>13</w:t>
            </w:r>
          </w:p>
        </w:tc>
        <w:tc>
          <w:tcPr>
            <w:tcW w:w="709" w:type="dxa"/>
            <w:tcBorders>
              <w:top w:val="single" w:color="auto" w:sz="4" w:space="0"/>
              <w:left w:val="nil"/>
              <w:bottom w:val="single" w:color="auto" w:sz="4" w:space="0"/>
              <w:right w:val="single" w:color="auto" w:sz="4" w:space="0"/>
            </w:tcBorders>
            <w:noWrap w:val="0"/>
            <w:tcMar>
              <w:top w:w="14" w:type="dxa"/>
              <w:left w:w="14" w:type="dxa"/>
              <w:bottom w:w="0" w:type="dxa"/>
              <w:right w:w="14" w:type="dxa"/>
            </w:tcMar>
            <w:vAlign w:val="center"/>
          </w:tcPr>
          <w:p>
            <w:pPr>
              <w:jc w:val="center"/>
              <w:rPr>
                <w:rFonts w:hint="eastAsia"/>
                <w:szCs w:val="21"/>
              </w:rPr>
            </w:pPr>
            <w:r>
              <w:rPr>
                <w:rFonts w:hint="eastAsia"/>
                <w:szCs w:val="21"/>
              </w:rPr>
              <w:t>13</w:t>
            </w:r>
          </w:p>
        </w:tc>
        <w:tc>
          <w:tcPr>
            <w:tcW w:w="850" w:type="dxa"/>
            <w:tcBorders>
              <w:top w:val="single" w:color="auto" w:sz="4" w:space="0"/>
              <w:left w:val="nil"/>
              <w:bottom w:val="single" w:color="auto" w:sz="4" w:space="0"/>
              <w:right w:val="single" w:color="auto" w:sz="4" w:space="0"/>
            </w:tcBorders>
            <w:noWrap w:val="0"/>
            <w:tcMar>
              <w:top w:w="14" w:type="dxa"/>
              <w:left w:w="14" w:type="dxa"/>
              <w:bottom w:w="0" w:type="dxa"/>
              <w:right w:w="14" w:type="dxa"/>
            </w:tcMar>
            <w:vAlign w:val="center"/>
          </w:tcPr>
          <w:p>
            <w:pPr>
              <w:jc w:val="center"/>
              <w:rPr>
                <w:rFonts w:hint="eastAsia"/>
                <w:szCs w:val="21"/>
              </w:rPr>
            </w:pPr>
            <w:r>
              <w:rPr>
                <w:rFonts w:hint="eastAsia"/>
                <w:szCs w:val="21"/>
              </w:rPr>
              <w:t>13</w:t>
            </w:r>
          </w:p>
        </w:tc>
        <w:tc>
          <w:tcPr>
            <w:tcW w:w="567" w:type="dxa"/>
            <w:tcBorders>
              <w:top w:val="single" w:color="auto" w:sz="4" w:space="0"/>
              <w:left w:val="nil"/>
              <w:bottom w:val="single" w:color="auto" w:sz="4" w:space="0"/>
              <w:right w:val="single" w:color="auto" w:sz="4" w:space="0"/>
            </w:tcBorders>
            <w:noWrap w:val="0"/>
            <w:tcMar>
              <w:top w:w="14" w:type="dxa"/>
              <w:left w:w="14" w:type="dxa"/>
              <w:bottom w:w="0" w:type="dxa"/>
              <w:right w:w="14" w:type="dxa"/>
            </w:tcMar>
            <w:vAlign w:val="center"/>
          </w:tcPr>
          <w:p>
            <w:pPr>
              <w:jc w:val="center"/>
              <w:rPr>
                <w:rFonts w:hint="eastAsia"/>
                <w:szCs w:val="21"/>
              </w:rPr>
            </w:pPr>
            <w:r>
              <w:rPr>
                <w:rFonts w:hint="eastAsia"/>
                <w:szCs w:val="21"/>
              </w:rPr>
              <w:t>8</w:t>
            </w:r>
          </w:p>
        </w:tc>
        <w:tc>
          <w:tcPr>
            <w:tcW w:w="851" w:type="dxa"/>
            <w:tcBorders>
              <w:top w:val="single" w:color="auto" w:sz="4" w:space="0"/>
              <w:left w:val="nil"/>
              <w:bottom w:val="single" w:color="auto" w:sz="4" w:space="0"/>
              <w:right w:val="single" w:color="auto" w:sz="4" w:space="0"/>
            </w:tcBorders>
            <w:noWrap w:val="0"/>
            <w:vAlign w:val="center"/>
          </w:tcPr>
          <w:p>
            <w:pPr>
              <w:jc w:val="center"/>
              <w:rPr>
                <w:rFonts w:hint="eastAsia"/>
                <w:szCs w:val="21"/>
              </w:rPr>
            </w:pPr>
            <w:r>
              <w:rPr>
                <w:rFonts w:hint="eastAsia"/>
                <w:szCs w:val="21"/>
              </w:rPr>
              <w:t>8</w:t>
            </w:r>
          </w:p>
        </w:tc>
        <w:tc>
          <w:tcPr>
            <w:tcW w:w="709" w:type="dxa"/>
            <w:tcBorders>
              <w:top w:val="single" w:color="auto" w:sz="4" w:space="0"/>
              <w:left w:val="nil"/>
              <w:bottom w:val="single" w:color="auto" w:sz="4" w:space="0"/>
              <w:right w:val="single" w:color="auto" w:sz="4" w:space="0"/>
            </w:tcBorders>
            <w:noWrap w:val="0"/>
            <w:vAlign w:val="center"/>
          </w:tcPr>
          <w:p>
            <w:pPr>
              <w:jc w:val="center"/>
              <w:rPr>
                <w:rFonts w:hint="eastAsia"/>
                <w:szCs w:val="21"/>
              </w:rPr>
            </w:pPr>
            <w:r>
              <w:rPr>
                <w:rFonts w:hint="eastAsia"/>
                <w:szCs w:val="21"/>
              </w:rPr>
              <w:t>13</w:t>
            </w:r>
          </w:p>
        </w:tc>
      </w:tr>
    </w:tbl>
    <w:p>
      <w:pPr>
        <w:spacing w:line="360" w:lineRule="auto"/>
        <w:ind w:firstLine="484" w:firstLineChars="200"/>
        <w:rPr>
          <w:rFonts w:ascii="宋体" w:hAnsi="宋体"/>
          <w:sz w:val="24"/>
        </w:rPr>
      </w:pPr>
      <w:r>
        <w:rPr>
          <w:rFonts w:hint="eastAsia" w:ascii="宋体" w:hAnsi="宋体"/>
          <w:sz w:val="24"/>
        </w:rPr>
        <w:t>（</w:t>
      </w:r>
      <w:r>
        <w:rPr>
          <w:rFonts w:ascii="宋体" w:hAnsi="宋体"/>
          <w:sz w:val="24"/>
        </w:rPr>
        <w:t>3</w:t>
      </w:r>
      <w:r>
        <w:rPr>
          <w:rFonts w:hint="eastAsia" w:ascii="宋体" w:hAnsi="宋体"/>
          <w:sz w:val="24"/>
        </w:rPr>
        <w:t>）</w:t>
      </w:r>
      <w:r>
        <w:rPr>
          <w:rFonts w:ascii="宋体" w:hAnsi="宋体"/>
          <w:sz w:val="24"/>
        </w:rPr>
        <w:t>材料预算价格</w:t>
      </w:r>
    </w:p>
    <w:p>
      <w:pPr>
        <w:snapToGrid w:val="0"/>
        <w:spacing w:line="520" w:lineRule="atLeast"/>
        <w:ind w:firstLine="484" w:firstLineChars="200"/>
        <w:rPr>
          <w:rFonts w:hint="eastAsia" w:ascii="宋体" w:hAnsi="宋体"/>
          <w:sz w:val="24"/>
        </w:rPr>
      </w:pPr>
      <w:r>
        <w:rPr>
          <w:rFonts w:hint="eastAsia" w:ascii="宋体" w:hAnsi="宋体"/>
          <w:sz w:val="24"/>
        </w:rPr>
        <w:t>进入工程单价价格按限价计算，以2021年第二季度《乐山市住房和城乡规划建设局》公布的</w:t>
      </w:r>
      <w:r>
        <w:rPr>
          <w:rFonts w:hint="eastAsia" w:ascii="宋体" w:hAnsi="宋体"/>
          <w:sz w:val="24"/>
          <w:lang w:eastAsia="zh-CN"/>
        </w:rPr>
        <w:t>马边彝族自治县</w:t>
      </w:r>
      <w:r>
        <w:rPr>
          <w:rFonts w:hint="eastAsia" w:ascii="宋体" w:hAnsi="宋体"/>
          <w:sz w:val="24"/>
        </w:rPr>
        <w:t>建筑材料市场信息价作为价格水平，价格均不含税。县城水厂采用商品砼，主要材料、地方材料预算价格直接采用信息价格。民主水厂和苏坝水厂主要材料、地方材料预算价格为信息价加上40km公路运输费用，其中坝和输水管线的主要材料还加上了水平均运距约900m的马驮材料运输费用。其余工程主要才料料、地方材料预算价格为信息价加上40km公路运输费用。</w:t>
      </w:r>
    </w:p>
    <w:p>
      <w:pPr>
        <w:snapToGrid w:val="0"/>
        <w:spacing w:line="520" w:lineRule="atLeast"/>
        <w:ind w:firstLine="484" w:firstLineChars="200"/>
        <w:rPr>
          <w:rFonts w:hint="eastAsia" w:ascii="宋体" w:hAnsi="宋体"/>
          <w:sz w:val="24"/>
        </w:rPr>
      </w:pPr>
    </w:p>
    <w:p>
      <w:pPr>
        <w:snapToGrid w:val="0"/>
        <w:spacing w:line="520" w:lineRule="atLeast"/>
        <w:ind w:firstLine="484" w:firstLineChars="200"/>
        <w:rPr>
          <w:rFonts w:hint="eastAsia" w:ascii="宋体" w:hAnsi="宋体"/>
          <w:sz w:val="24"/>
        </w:rPr>
      </w:pPr>
    </w:p>
    <w:p>
      <w:pPr>
        <w:snapToGrid w:val="0"/>
        <w:spacing w:line="520" w:lineRule="atLeast"/>
        <w:ind w:firstLine="484" w:firstLineChars="200"/>
        <w:rPr>
          <w:rFonts w:hint="eastAsia" w:ascii="宋体" w:hAnsi="宋体"/>
          <w:sz w:val="24"/>
        </w:rPr>
      </w:pPr>
    </w:p>
    <w:p>
      <w:pPr>
        <w:snapToGrid w:val="0"/>
        <w:spacing w:line="520" w:lineRule="atLeast"/>
        <w:ind w:firstLine="484" w:firstLineChars="200"/>
        <w:rPr>
          <w:rFonts w:hint="eastAsia" w:ascii="宋体" w:hAnsi="宋体"/>
          <w:sz w:val="24"/>
        </w:rPr>
      </w:pPr>
    </w:p>
    <w:p>
      <w:pPr>
        <w:pStyle w:val="2"/>
        <w:rPr>
          <w:rFonts w:hint="eastAsia"/>
        </w:rPr>
      </w:pPr>
    </w:p>
    <w:p>
      <w:pPr>
        <w:snapToGrid w:val="0"/>
        <w:spacing w:line="520" w:lineRule="atLeast"/>
        <w:jc w:val="center"/>
        <w:rPr>
          <w:rFonts w:hint="eastAsia" w:ascii="宋体" w:hAnsi="宋体"/>
          <w:b/>
          <w:bCs/>
        </w:rPr>
      </w:pPr>
      <w:r>
        <w:rPr>
          <w:rFonts w:ascii="宋体" w:hAnsi="宋体"/>
          <w:b/>
          <w:bCs/>
        </w:rPr>
        <w:t>主要材料、地方材料预算价格表</w:t>
      </w:r>
    </w:p>
    <w:p>
      <w:pPr>
        <w:snapToGrid w:val="0"/>
        <w:spacing w:line="520" w:lineRule="atLeast"/>
        <w:rPr>
          <w:rFonts w:hint="eastAsia" w:ascii="宋体"/>
        </w:rPr>
      </w:pPr>
      <w:r>
        <w:rPr>
          <w:rFonts w:ascii="宋体"/>
        </w:rPr>
        <w:t>表</w:t>
      </w:r>
      <w:r>
        <w:rPr>
          <w:rFonts w:hint="eastAsia" w:ascii="宋体"/>
        </w:rPr>
        <w:t>3</w:t>
      </w:r>
    </w:p>
    <w:tbl>
      <w:tblPr>
        <w:tblStyle w:val="86"/>
        <w:tblW w:w="90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2342"/>
        <w:gridCol w:w="1278"/>
        <w:gridCol w:w="2293"/>
        <w:gridCol w:w="2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 w:type="dxa"/>
            <w:noWrap w:val="0"/>
            <w:vAlign w:val="center"/>
          </w:tcPr>
          <w:p>
            <w:pPr>
              <w:widowControl/>
              <w:snapToGrid w:val="0"/>
              <w:spacing w:line="440" w:lineRule="atLeast"/>
              <w:jc w:val="center"/>
              <w:textAlignment w:val="center"/>
              <w:rPr>
                <w:rFonts w:ascii="宋体" w:hAnsi="宋体"/>
              </w:rPr>
            </w:pPr>
            <w:r>
              <w:rPr>
                <w:rFonts w:ascii="宋体" w:hAnsi="宋体"/>
              </w:rPr>
              <w:t>编号</w:t>
            </w:r>
          </w:p>
        </w:tc>
        <w:tc>
          <w:tcPr>
            <w:tcW w:w="2342" w:type="dxa"/>
            <w:noWrap w:val="0"/>
            <w:vAlign w:val="center"/>
          </w:tcPr>
          <w:p>
            <w:pPr>
              <w:widowControl/>
              <w:snapToGrid w:val="0"/>
              <w:spacing w:line="440" w:lineRule="atLeast"/>
              <w:jc w:val="center"/>
              <w:textAlignment w:val="center"/>
              <w:rPr>
                <w:rFonts w:ascii="宋体" w:hAnsi="宋体"/>
              </w:rPr>
            </w:pPr>
            <w:r>
              <w:rPr>
                <w:rFonts w:ascii="宋体" w:hAnsi="宋体"/>
              </w:rPr>
              <w:t>材料名称</w:t>
            </w:r>
          </w:p>
        </w:tc>
        <w:tc>
          <w:tcPr>
            <w:tcW w:w="1278" w:type="dxa"/>
            <w:noWrap w:val="0"/>
            <w:vAlign w:val="center"/>
          </w:tcPr>
          <w:p>
            <w:pPr>
              <w:widowControl/>
              <w:snapToGrid w:val="0"/>
              <w:spacing w:line="440" w:lineRule="atLeast"/>
              <w:jc w:val="center"/>
              <w:textAlignment w:val="center"/>
              <w:rPr>
                <w:rFonts w:ascii="宋体" w:hAnsi="宋体"/>
              </w:rPr>
            </w:pPr>
            <w:r>
              <w:rPr>
                <w:rFonts w:ascii="宋体" w:hAnsi="宋体"/>
              </w:rPr>
              <w:t>单位</w:t>
            </w:r>
          </w:p>
        </w:tc>
        <w:tc>
          <w:tcPr>
            <w:tcW w:w="2293" w:type="dxa"/>
            <w:noWrap w:val="0"/>
            <w:vAlign w:val="center"/>
          </w:tcPr>
          <w:p>
            <w:pPr>
              <w:widowControl/>
              <w:snapToGrid w:val="0"/>
              <w:spacing w:line="440" w:lineRule="atLeast"/>
              <w:jc w:val="center"/>
              <w:textAlignment w:val="center"/>
              <w:rPr>
                <w:rFonts w:ascii="宋体" w:hAnsi="宋体"/>
              </w:rPr>
            </w:pPr>
            <w:r>
              <w:rPr>
                <w:rFonts w:ascii="宋体" w:hAnsi="宋体"/>
              </w:rPr>
              <w:t>进入工程单价价格</w:t>
            </w:r>
          </w:p>
        </w:tc>
        <w:tc>
          <w:tcPr>
            <w:tcW w:w="2130" w:type="dxa"/>
            <w:noWrap w:val="0"/>
            <w:vAlign w:val="center"/>
          </w:tcPr>
          <w:p>
            <w:pPr>
              <w:widowControl/>
              <w:snapToGrid w:val="0"/>
              <w:spacing w:line="440" w:lineRule="atLeast"/>
              <w:jc w:val="center"/>
              <w:textAlignment w:val="center"/>
              <w:rPr>
                <w:rFonts w:ascii="宋体" w:hAnsi="宋体"/>
              </w:rPr>
            </w:pPr>
            <w:r>
              <w:rPr>
                <w:rFonts w:ascii="宋体" w:hAnsi="宋体"/>
              </w:rPr>
              <w:t>材料预算价(元)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 w:type="dxa"/>
            <w:noWrap w:val="0"/>
            <w:vAlign w:val="center"/>
          </w:tcPr>
          <w:p>
            <w:pPr>
              <w:jc w:val="center"/>
              <w:rPr>
                <w:rFonts w:ascii="宋体" w:hAnsi="宋体" w:cs="宋体"/>
                <w:color w:val="000000"/>
                <w:sz w:val="20"/>
                <w:szCs w:val="20"/>
              </w:rPr>
            </w:pPr>
            <w:r>
              <w:rPr>
                <w:rFonts w:hint="eastAsia"/>
                <w:color w:val="000000"/>
                <w:sz w:val="20"/>
                <w:szCs w:val="20"/>
              </w:rPr>
              <w:t>1</w:t>
            </w:r>
          </w:p>
        </w:tc>
        <w:tc>
          <w:tcPr>
            <w:tcW w:w="2342" w:type="dxa"/>
            <w:noWrap w:val="0"/>
            <w:vAlign w:val="center"/>
          </w:tcPr>
          <w:p>
            <w:pPr>
              <w:rPr>
                <w:rFonts w:ascii="宋体" w:hAnsi="宋体" w:cs="宋体"/>
                <w:color w:val="000000"/>
                <w:sz w:val="20"/>
                <w:szCs w:val="20"/>
              </w:rPr>
            </w:pPr>
            <w:r>
              <w:rPr>
                <w:rFonts w:hint="eastAsia"/>
                <w:color w:val="000000"/>
                <w:sz w:val="20"/>
                <w:szCs w:val="20"/>
              </w:rPr>
              <w:t>水泥42.5(含马驮短运）</w:t>
            </w:r>
          </w:p>
        </w:tc>
        <w:tc>
          <w:tcPr>
            <w:tcW w:w="1278" w:type="dxa"/>
            <w:noWrap w:val="0"/>
            <w:vAlign w:val="center"/>
          </w:tcPr>
          <w:p>
            <w:pPr>
              <w:jc w:val="center"/>
              <w:rPr>
                <w:rFonts w:ascii="宋体" w:hAnsi="宋体" w:cs="宋体"/>
                <w:color w:val="000000"/>
                <w:sz w:val="20"/>
                <w:szCs w:val="20"/>
              </w:rPr>
            </w:pPr>
            <w:r>
              <w:rPr>
                <w:rFonts w:hint="eastAsia"/>
                <w:color w:val="000000"/>
                <w:sz w:val="20"/>
                <w:szCs w:val="20"/>
              </w:rPr>
              <w:t>t</w:t>
            </w:r>
          </w:p>
        </w:tc>
        <w:tc>
          <w:tcPr>
            <w:tcW w:w="2293" w:type="dxa"/>
            <w:noWrap w:val="0"/>
            <w:vAlign w:val="center"/>
          </w:tcPr>
          <w:p>
            <w:pPr>
              <w:widowControl/>
              <w:snapToGrid w:val="0"/>
              <w:spacing w:line="440" w:lineRule="atLeast"/>
              <w:jc w:val="center"/>
              <w:textAlignment w:val="center"/>
              <w:rPr>
                <w:rFonts w:hint="eastAsia" w:ascii="宋体" w:hAnsi="宋体"/>
              </w:rPr>
            </w:pPr>
            <w:r>
              <w:rPr>
                <w:rFonts w:hint="eastAsia" w:ascii="宋体" w:hAnsi="宋体"/>
              </w:rPr>
              <w:t>260</w:t>
            </w:r>
          </w:p>
        </w:tc>
        <w:tc>
          <w:tcPr>
            <w:tcW w:w="2130" w:type="dxa"/>
            <w:noWrap w:val="0"/>
            <w:vAlign w:val="center"/>
          </w:tcPr>
          <w:p>
            <w:pPr>
              <w:jc w:val="center"/>
              <w:rPr>
                <w:rFonts w:ascii="宋体" w:hAnsi="宋体" w:cs="宋体"/>
                <w:color w:val="000000"/>
                <w:sz w:val="20"/>
                <w:szCs w:val="20"/>
              </w:rPr>
            </w:pPr>
            <w:r>
              <w:rPr>
                <w:rFonts w:hint="eastAsia"/>
                <w:color w:val="000000"/>
                <w:sz w:val="20"/>
                <w:szCs w:val="20"/>
              </w:rPr>
              <w:t>701.17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 w:type="dxa"/>
            <w:noWrap w:val="0"/>
            <w:vAlign w:val="center"/>
          </w:tcPr>
          <w:p>
            <w:pPr>
              <w:jc w:val="center"/>
              <w:rPr>
                <w:rFonts w:ascii="宋体" w:hAnsi="宋体" w:cs="宋体"/>
                <w:color w:val="000000"/>
                <w:sz w:val="20"/>
                <w:szCs w:val="20"/>
              </w:rPr>
            </w:pPr>
            <w:r>
              <w:rPr>
                <w:rFonts w:hint="eastAsia"/>
                <w:color w:val="000000"/>
                <w:sz w:val="20"/>
                <w:szCs w:val="20"/>
              </w:rPr>
              <w:t>2</w:t>
            </w:r>
          </w:p>
        </w:tc>
        <w:tc>
          <w:tcPr>
            <w:tcW w:w="2342" w:type="dxa"/>
            <w:noWrap w:val="0"/>
            <w:vAlign w:val="center"/>
          </w:tcPr>
          <w:p>
            <w:pPr>
              <w:rPr>
                <w:rFonts w:ascii="宋体" w:hAnsi="宋体" w:cs="宋体"/>
                <w:color w:val="000000"/>
                <w:sz w:val="20"/>
                <w:szCs w:val="20"/>
              </w:rPr>
            </w:pPr>
            <w:r>
              <w:rPr>
                <w:rFonts w:hint="eastAsia"/>
                <w:color w:val="000000"/>
                <w:sz w:val="20"/>
                <w:szCs w:val="20"/>
              </w:rPr>
              <w:t>钢筋(含马驮短运）</w:t>
            </w:r>
          </w:p>
        </w:tc>
        <w:tc>
          <w:tcPr>
            <w:tcW w:w="1278" w:type="dxa"/>
            <w:noWrap w:val="0"/>
            <w:vAlign w:val="center"/>
          </w:tcPr>
          <w:p>
            <w:pPr>
              <w:jc w:val="center"/>
              <w:rPr>
                <w:rFonts w:ascii="宋体" w:hAnsi="宋体" w:cs="宋体"/>
                <w:color w:val="000000"/>
                <w:sz w:val="20"/>
                <w:szCs w:val="20"/>
              </w:rPr>
            </w:pPr>
            <w:r>
              <w:rPr>
                <w:rFonts w:hint="eastAsia"/>
                <w:color w:val="000000"/>
                <w:sz w:val="20"/>
                <w:szCs w:val="20"/>
              </w:rPr>
              <w:t>t</w:t>
            </w:r>
          </w:p>
        </w:tc>
        <w:tc>
          <w:tcPr>
            <w:tcW w:w="2293" w:type="dxa"/>
            <w:noWrap w:val="0"/>
            <w:vAlign w:val="center"/>
          </w:tcPr>
          <w:p>
            <w:pPr>
              <w:widowControl/>
              <w:snapToGrid w:val="0"/>
              <w:spacing w:line="440" w:lineRule="atLeast"/>
              <w:jc w:val="center"/>
              <w:textAlignment w:val="center"/>
              <w:rPr>
                <w:rFonts w:ascii="宋体" w:hAnsi="宋体"/>
              </w:rPr>
            </w:pPr>
            <w:r>
              <w:rPr>
                <w:rFonts w:hint="eastAsia" w:ascii="宋体" w:hAnsi="宋体"/>
              </w:rPr>
              <w:t>26</w:t>
            </w:r>
            <w:r>
              <w:rPr>
                <w:rFonts w:ascii="宋体" w:hAnsi="宋体"/>
              </w:rPr>
              <w:t>00</w:t>
            </w:r>
          </w:p>
        </w:tc>
        <w:tc>
          <w:tcPr>
            <w:tcW w:w="2130" w:type="dxa"/>
            <w:noWrap w:val="0"/>
            <w:vAlign w:val="center"/>
          </w:tcPr>
          <w:p>
            <w:pPr>
              <w:jc w:val="center"/>
              <w:rPr>
                <w:rFonts w:ascii="宋体" w:hAnsi="宋体" w:cs="宋体"/>
                <w:color w:val="000000"/>
                <w:sz w:val="20"/>
                <w:szCs w:val="20"/>
              </w:rPr>
            </w:pPr>
            <w:r>
              <w:rPr>
                <w:rFonts w:hint="eastAsia"/>
                <w:color w:val="000000"/>
                <w:sz w:val="20"/>
                <w:szCs w:val="20"/>
              </w:rPr>
              <w:t>4936.9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 w:type="dxa"/>
            <w:noWrap w:val="0"/>
            <w:vAlign w:val="center"/>
          </w:tcPr>
          <w:p>
            <w:pPr>
              <w:jc w:val="center"/>
              <w:rPr>
                <w:rFonts w:ascii="宋体" w:hAnsi="宋体" w:cs="宋体"/>
                <w:color w:val="000000"/>
                <w:sz w:val="20"/>
                <w:szCs w:val="20"/>
              </w:rPr>
            </w:pPr>
            <w:r>
              <w:rPr>
                <w:rFonts w:hint="eastAsia"/>
                <w:color w:val="000000"/>
                <w:sz w:val="20"/>
                <w:szCs w:val="20"/>
              </w:rPr>
              <w:t>3</w:t>
            </w:r>
          </w:p>
        </w:tc>
        <w:tc>
          <w:tcPr>
            <w:tcW w:w="2342" w:type="dxa"/>
            <w:noWrap w:val="0"/>
            <w:vAlign w:val="center"/>
          </w:tcPr>
          <w:p>
            <w:pPr>
              <w:rPr>
                <w:rFonts w:ascii="宋体" w:hAnsi="宋体" w:cs="宋体"/>
                <w:color w:val="000000"/>
                <w:sz w:val="20"/>
                <w:szCs w:val="20"/>
              </w:rPr>
            </w:pPr>
            <w:r>
              <w:rPr>
                <w:rFonts w:hint="eastAsia"/>
                <w:color w:val="000000"/>
                <w:sz w:val="20"/>
                <w:szCs w:val="20"/>
              </w:rPr>
              <w:t>机制矿砂(含马驮短运）</w:t>
            </w:r>
          </w:p>
        </w:tc>
        <w:tc>
          <w:tcPr>
            <w:tcW w:w="1278" w:type="dxa"/>
            <w:noWrap w:val="0"/>
            <w:vAlign w:val="center"/>
          </w:tcPr>
          <w:p>
            <w:pPr>
              <w:jc w:val="center"/>
              <w:rPr>
                <w:rFonts w:ascii="宋体" w:hAnsi="宋体" w:cs="宋体"/>
                <w:color w:val="000000"/>
                <w:sz w:val="20"/>
                <w:szCs w:val="20"/>
              </w:rPr>
            </w:pPr>
            <w:r>
              <w:rPr>
                <w:rFonts w:hint="eastAsia"/>
                <w:color w:val="000000"/>
                <w:sz w:val="20"/>
                <w:szCs w:val="20"/>
              </w:rPr>
              <w:t>m³</w:t>
            </w:r>
          </w:p>
        </w:tc>
        <w:tc>
          <w:tcPr>
            <w:tcW w:w="2293" w:type="dxa"/>
            <w:noWrap w:val="0"/>
            <w:vAlign w:val="center"/>
          </w:tcPr>
          <w:p>
            <w:pPr>
              <w:widowControl/>
              <w:snapToGrid w:val="0"/>
              <w:spacing w:line="440" w:lineRule="atLeast"/>
              <w:jc w:val="center"/>
              <w:textAlignment w:val="center"/>
              <w:rPr>
                <w:rFonts w:ascii="宋体" w:hAnsi="宋体"/>
              </w:rPr>
            </w:pPr>
            <w:r>
              <w:rPr>
                <w:rFonts w:hint="eastAsia" w:ascii="宋体" w:hAnsi="宋体"/>
              </w:rPr>
              <w:t>70</w:t>
            </w:r>
          </w:p>
        </w:tc>
        <w:tc>
          <w:tcPr>
            <w:tcW w:w="2130" w:type="dxa"/>
            <w:noWrap w:val="0"/>
            <w:vAlign w:val="center"/>
          </w:tcPr>
          <w:p>
            <w:pPr>
              <w:jc w:val="center"/>
              <w:rPr>
                <w:rFonts w:ascii="宋体" w:hAnsi="宋体" w:cs="宋体"/>
                <w:color w:val="000000"/>
                <w:sz w:val="20"/>
                <w:szCs w:val="20"/>
              </w:rPr>
            </w:pPr>
            <w:r>
              <w:rPr>
                <w:rFonts w:hint="eastAsia"/>
                <w:color w:val="000000"/>
                <w:sz w:val="20"/>
                <w:szCs w:val="20"/>
              </w:rPr>
              <w:t>509.18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 w:type="dxa"/>
            <w:noWrap w:val="0"/>
            <w:vAlign w:val="center"/>
          </w:tcPr>
          <w:p>
            <w:pPr>
              <w:jc w:val="center"/>
              <w:rPr>
                <w:rFonts w:ascii="宋体" w:hAnsi="宋体" w:cs="宋体"/>
                <w:color w:val="000000"/>
                <w:sz w:val="20"/>
                <w:szCs w:val="20"/>
              </w:rPr>
            </w:pPr>
            <w:r>
              <w:rPr>
                <w:rFonts w:hint="eastAsia"/>
                <w:color w:val="000000"/>
                <w:sz w:val="20"/>
                <w:szCs w:val="20"/>
              </w:rPr>
              <w:t>4</w:t>
            </w:r>
          </w:p>
        </w:tc>
        <w:tc>
          <w:tcPr>
            <w:tcW w:w="2342" w:type="dxa"/>
            <w:noWrap w:val="0"/>
            <w:vAlign w:val="center"/>
          </w:tcPr>
          <w:p>
            <w:pPr>
              <w:rPr>
                <w:rFonts w:ascii="宋体" w:hAnsi="宋体" w:cs="宋体"/>
                <w:color w:val="000000"/>
                <w:sz w:val="20"/>
                <w:szCs w:val="20"/>
              </w:rPr>
            </w:pPr>
            <w:r>
              <w:rPr>
                <w:rFonts w:hint="eastAsia"/>
                <w:color w:val="000000"/>
                <w:sz w:val="20"/>
                <w:szCs w:val="20"/>
              </w:rPr>
              <w:t>碎石(含马驮短运）</w:t>
            </w:r>
          </w:p>
        </w:tc>
        <w:tc>
          <w:tcPr>
            <w:tcW w:w="1278" w:type="dxa"/>
            <w:noWrap w:val="0"/>
            <w:vAlign w:val="center"/>
          </w:tcPr>
          <w:p>
            <w:pPr>
              <w:jc w:val="center"/>
              <w:rPr>
                <w:rFonts w:ascii="宋体" w:hAnsi="宋体" w:cs="宋体"/>
                <w:color w:val="000000"/>
                <w:sz w:val="20"/>
                <w:szCs w:val="20"/>
              </w:rPr>
            </w:pPr>
            <w:r>
              <w:rPr>
                <w:rFonts w:hint="eastAsia"/>
                <w:color w:val="000000"/>
                <w:sz w:val="20"/>
                <w:szCs w:val="20"/>
              </w:rPr>
              <w:t>m³</w:t>
            </w:r>
          </w:p>
        </w:tc>
        <w:tc>
          <w:tcPr>
            <w:tcW w:w="2293" w:type="dxa"/>
            <w:noWrap w:val="0"/>
            <w:vAlign w:val="center"/>
          </w:tcPr>
          <w:p>
            <w:pPr>
              <w:widowControl/>
              <w:snapToGrid w:val="0"/>
              <w:spacing w:line="440" w:lineRule="atLeast"/>
              <w:jc w:val="center"/>
              <w:textAlignment w:val="center"/>
              <w:rPr>
                <w:rFonts w:ascii="宋体" w:hAnsi="宋体"/>
              </w:rPr>
            </w:pPr>
            <w:r>
              <w:rPr>
                <w:rFonts w:hint="eastAsia" w:ascii="宋体" w:hAnsi="宋体"/>
              </w:rPr>
              <w:t>70</w:t>
            </w:r>
          </w:p>
        </w:tc>
        <w:tc>
          <w:tcPr>
            <w:tcW w:w="2130" w:type="dxa"/>
            <w:noWrap w:val="0"/>
            <w:vAlign w:val="center"/>
          </w:tcPr>
          <w:p>
            <w:pPr>
              <w:jc w:val="center"/>
              <w:rPr>
                <w:rFonts w:ascii="宋体" w:hAnsi="宋体" w:cs="宋体"/>
                <w:color w:val="000000"/>
                <w:sz w:val="20"/>
                <w:szCs w:val="20"/>
              </w:rPr>
            </w:pPr>
            <w:r>
              <w:rPr>
                <w:rFonts w:hint="eastAsia"/>
                <w:color w:val="000000"/>
                <w:sz w:val="20"/>
                <w:szCs w:val="20"/>
              </w:rPr>
              <w:t>548.75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 w:type="dxa"/>
            <w:noWrap w:val="0"/>
            <w:vAlign w:val="center"/>
          </w:tcPr>
          <w:p>
            <w:pPr>
              <w:jc w:val="center"/>
              <w:rPr>
                <w:rFonts w:ascii="宋体" w:hAnsi="宋体" w:cs="宋体"/>
                <w:color w:val="000000"/>
                <w:sz w:val="20"/>
                <w:szCs w:val="20"/>
              </w:rPr>
            </w:pPr>
            <w:r>
              <w:rPr>
                <w:rFonts w:hint="eastAsia"/>
                <w:color w:val="000000"/>
                <w:sz w:val="20"/>
                <w:szCs w:val="20"/>
              </w:rPr>
              <w:t>5</w:t>
            </w:r>
          </w:p>
        </w:tc>
        <w:tc>
          <w:tcPr>
            <w:tcW w:w="2342" w:type="dxa"/>
            <w:noWrap w:val="0"/>
            <w:vAlign w:val="center"/>
          </w:tcPr>
          <w:p>
            <w:pPr>
              <w:rPr>
                <w:rFonts w:ascii="宋体" w:hAnsi="宋体" w:cs="宋体"/>
                <w:color w:val="000000"/>
                <w:sz w:val="20"/>
                <w:szCs w:val="20"/>
              </w:rPr>
            </w:pPr>
            <w:r>
              <w:rPr>
                <w:rFonts w:hint="eastAsia"/>
                <w:color w:val="000000"/>
                <w:sz w:val="20"/>
                <w:szCs w:val="20"/>
              </w:rPr>
              <w:t>汽油</w:t>
            </w:r>
          </w:p>
        </w:tc>
        <w:tc>
          <w:tcPr>
            <w:tcW w:w="1278" w:type="dxa"/>
            <w:noWrap w:val="0"/>
            <w:vAlign w:val="center"/>
          </w:tcPr>
          <w:p>
            <w:pPr>
              <w:jc w:val="center"/>
              <w:rPr>
                <w:rFonts w:ascii="宋体" w:hAnsi="宋体" w:cs="宋体"/>
                <w:color w:val="000000"/>
                <w:sz w:val="20"/>
                <w:szCs w:val="20"/>
              </w:rPr>
            </w:pPr>
            <w:r>
              <w:rPr>
                <w:rFonts w:hint="eastAsia"/>
                <w:color w:val="000000"/>
                <w:sz w:val="20"/>
                <w:szCs w:val="20"/>
              </w:rPr>
              <w:t>t</w:t>
            </w:r>
          </w:p>
        </w:tc>
        <w:tc>
          <w:tcPr>
            <w:tcW w:w="2293" w:type="dxa"/>
            <w:noWrap w:val="0"/>
            <w:vAlign w:val="center"/>
          </w:tcPr>
          <w:p>
            <w:pPr>
              <w:widowControl/>
              <w:snapToGrid w:val="0"/>
              <w:spacing w:line="440" w:lineRule="atLeast"/>
              <w:jc w:val="center"/>
              <w:textAlignment w:val="center"/>
              <w:rPr>
                <w:rFonts w:ascii="宋体" w:hAnsi="宋体"/>
              </w:rPr>
            </w:pPr>
            <w:r>
              <w:rPr>
                <w:rFonts w:ascii="宋体" w:hAnsi="宋体"/>
              </w:rPr>
              <w:t>3</w:t>
            </w:r>
            <w:r>
              <w:rPr>
                <w:rFonts w:hint="eastAsia" w:ascii="宋体" w:hAnsi="宋体"/>
              </w:rPr>
              <w:t>1</w:t>
            </w:r>
            <w:r>
              <w:rPr>
                <w:rFonts w:ascii="宋体" w:hAnsi="宋体"/>
              </w:rPr>
              <w:t>00</w:t>
            </w:r>
          </w:p>
        </w:tc>
        <w:tc>
          <w:tcPr>
            <w:tcW w:w="2130" w:type="dxa"/>
            <w:noWrap w:val="0"/>
            <w:vAlign w:val="center"/>
          </w:tcPr>
          <w:p>
            <w:pPr>
              <w:jc w:val="center"/>
              <w:rPr>
                <w:rFonts w:ascii="宋体" w:hAnsi="宋体" w:cs="宋体"/>
                <w:color w:val="000000"/>
                <w:sz w:val="20"/>
                <w:szCs w:val="20"/>
              </w:rPr>
            </w:pPr>
            <w:r>
              <w:rPr>
                <w:rFonts w:hint="eastAsia"/>
                <w:color w:val="000000"/>
                <w:sz w:val="20"/>
                <w:szCs w:val="20"/>
              </w:rPr>
              <w:t>8670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 w:type="dxa"/>
            <w:noWrap w:val="0"/>
            <w:vAlign w:val="center"/>
          </w:tcPr>
          <w:p>
            <w:pPr>
              <w:jc w:val="center"/>
              <w:rPr>
                <w:rFonts w:ascii="宋体" w:hAnsi="宋体" w:cs="宋体"/>
                <w:color w:val="000000"/>
                <w:sz w:val="20"/>
                <w:szCs w:val="20"/>
              </w:rPr>
            </w:pPr>
            <w:r>
              <w:rPr>
                <w:rFonts w:hint="eastAsia"/>
                <w:color w:val="000000"/>
                <w:sz w:val="20"/>
                <w:szCs w:val="20"/>
              </w:rPr>
              <w:t>6</w:t>
            </w:r>
          </w:p>
        </w:tc>
        <w:tc>
          <w:tcPr>
            <w:tcW w:w="2342" w:type="dxa"/>
            <w:noWrap w:val="0"/>
            <w:vAlign w:val="center"/>
          </w:tcPr>
          <w:p>
            <w:pPr>
              <w:rPr>
                <w:rFonts w:ascii="宋体" w:hAnsi="宋体" w:cs="宋体"/>
                <w:color w:val="000000"/>
                <w:sz w:val="20"/>
                <w:szCs w:val="20"/>
              </w:rPr>
            </w:pPr>
            <w:r>
              <w:rPr>
                <w:rFonts w:hint="eastAsia"/>
                <w:color w:val="000000"/>
                <w:sz w:val="20"/>
                <w:szCs w:val="20"/>
              </w:rPr>
              <w:t>柴油</w:t>
            </w:r>
          </w:p>
        </w:tc>
        <w:tc>
          <w:tcPr>
            <w:tcW w:w="1278" w:type="dxa"/>
            <w:noWrap w:val="0"/>
            <w:vAlign w:val="center"/>
          </w:tcPr>
          <w:p>
            <w:pPr>
              <w:jc w:val="center"/>
              <w:rPr>
                <w:rFonts w:ascii="宋体" w:hAnsi="宋体" w:cs="宋体"/>
                <w:color w:val="000000"/>
                <w:sz w:val="20"/>
                <w:szCs w:val="20"/>
              </w:rPr>
            </w:pPr>
            <w:r>
              <w:rPr>
                <w:rFonts w:hint="eastAsia"/>
                <w:color w:val="000000"/>
                <w:sz w:val="20"/>
                <w:szCs w:val="20"/>
              </w:rPr>
              <w:t>t</w:t>
            </w:r>
          </w:p>
        </w:tc>
        <w:tc>
          <w:tcPr>
            <w:tcW w:w="2293" w:type="dxa"/>
            <w:noWrap w:val="0"/>
            <w:vAlign w:val="center"/>
          </w:tcPr>
          <w:p>
            <w:pPr>
              <w:widowControl/>
              <w:snapToGrid w:val="0"/>
              <w:spacing w:line="440" w:lineRule="atLeast"/>
              <w:jc w:val="center"/>
              <w:textAlignment w:val="center"/>
              <w:rPr>
                <w:rFonts w:ascii="宋体" w:hAnsi="宋体"/>
              </w:rPr>
            </w:pPr>
            <w:r>
              <w:rPr>
                <w:rFonts w:ascii="宋体" w:hAnsi="宋体"/>
              </w:rPr>
              <w:t>3</w:t>
            </w:r>
            <w:r>
              <w:rPr>
                <w:rFonts w:hint="eastAsia" w:ascii="宋体" w:hAnsi="宋体"/>
              </w:rPr>
              <w:t>0</w:t>
            </w:r>
            <w:r>
              <w:rPr>
                <w:rFonts w:ascii="宋体" w:hAnsi="宋体"/>
              </w:rPr>
              <w:t>00</w:t>
            </w:r>
          </w:p>
        </w:tc>
        <w:tc>
          <w:tcPr>
            <w:tcW w:w="2130" w:type="dxa"/>
            <w:noWrap w:val="0"/>
            <w:vAlign w:val="center"/>
          </w:tcPr>
          <w:p>
            <w:pPr>
              <w:jc w:val="center"/>
              <w:rPr>
                <w:rFonts w:ascii="宋体" w:hAnsi="宋体" w:cs="宋体"/>
                <w:color w:val="000000"/>
                <w:sz w:val="20"/>
                <w:szCs w:val="20"/>
              </w:rPr>
            </w:pPr>
            <w:r>
              <w:rPr>
                <w:rFonts w:hint="eastAsia"/>
                <w:color w:val="000000"/>
                <w:sz w:val="20"/>
                <w:szCs w:val="20"/>
              </w:rPr>
              <w:t>6910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 w:type="dxa"/>
            <w:noWrap w:val="0"/>
            <w:vAlign w:val="center"/>
          </w:tcPr>
          <w:p>
            <w:pPr>
              <w:jc w:val="center"/>
              <w:rPr>
                <w:rFonts w:ascii="宋体" w:hAnsi="宋体" w:cs="宋体"/>
                <w:color w:val="000000"/>
                <w:sz w:val="20"/>
                <w:szCs w:val="20"/>
              </w:rPr>
            </w:pPr>
            <w:r>
              <w:rPr>
                <w:rFonts w:hint="eastAsia"/>
                <w:color w:val="000000"/>
                <w:sz w:val="20"/>
                <w:szCs w:val="20"/>
              </w:rPr>
              <w:t>7</w:t>
            </w:r>
          </w:p>
        </w:tc>
        <w:tc>
          <w:tcPr>
            <w:tcW w:w="2342" w:type="dxa"/>
            <w:noWrap w:val="0"/>
            <w:vAlign w:val="center"/>
          </w:tcPr>
          <w:p>
            <w:pPr>
              <w:rPr>
                <w:rFonts w:ascii="宋体" w:hAnsi="宋体" w:cs="宋体"/>
                <w:color w:val="000000"/>
                <w:sz w:val="20"/>
                <w:szCs w:val="20"/>
              </w:rPr>
            </w:pPr>
            <w:r>
              <w:rPr>
                <w:rFonts w:hint="eastAsia"/>
                <w:color w:val="000000"/>
                <w:sz w:val="20"/>
                <w:szCs w:val="20"/>
              </w:rPr>
              <w:t>机制矿砂</w:t>
            </w:r>
          </w:p>
        </w:tc>
        <w:tc>
          <w:tcPr>
            <w:tcW w:w="1278" w:type="dxa"/>
            <w:noWrap w:val="0"/>
            <w:vAlign w:val="center"/>
          </w:tcPr>
          <w:p>
            <w:pPr>
              <w:jc w:val="center"/>
              <w:rPr>
                <w:rFonts w:ascii="宋体" w:hAnsi="宋体" w:cs="宋体"/>
                <w:color w:val="000000"/>
                <w:sz w:val="20"/>
                <w:szCs w:val="20"/>
              </w:rPr>
            </w:pPr>
            <w:r>
              <w:rPr>
                <w:rFonts w:hint="eastAsia"/>
                <w:color w:val="000000"/>
                <w:sz w:val="20"/>
                <w:szCs w:val="20"/>
              </w:rPr>
              <w:t>m³</w:t>
            </w:r>
          </w:p>
        </w:tc>
        <w:tc>
          <w:tcPr>
            <w:tcW w:w="2293" w:type="dxa"/>
            <w:noWrap w:val="0"/>
            <w:vAlign w:val="center"/>
          </w:tcPr>
          <w:p>
            <w:pPr>
              <w:widowControl/>
              <w:snapToGrid w:val="0"/>
              <w:spacing w:line="440" w:lineRule="atLeast"/>
              <w:jc w:val="center"/>
              <w:textAlignment w:val="center"/>
              <w:rPr>
                <w:rFonts w:hint="eastAsia" w:ascii="宋体" w:hAnsi="宋体"/>
              </w:rPr>
            </w:pPr>
            <w:r>
              <w:rPr>
                <w:rFonts w:hint="eastAsia" w:ascii="宋体" w:hAnsi="宋体"/>
              </w:rPr>
              <w:t>70</w:t>
            </w:r>
          </w:p>
        </w:tc>
        <w:tc>
          <w:tcPr>
            <w:tcW w:w="2130" w:type="dxa"/>
            <w:noWrap w:val="0"/>
            <w:vAlign w:val="center"/>
          </w:tcPr>
          <w:p>
            <w:pPr>
              <w:jc w:val="center"/>
              <w:rPr>
                <w:rFonts w:ascii="宋体" w:hAnsi="宋体" w:cs="宋体"/>
                <w:color w:val="000000"/>
                <w:sz w:val="20"/>
                <w:szCs w:val="20"/>
              </w:rPr>
            </w:pPr>
            <w:r>
              <w:rPr>
                <w:rFonts w:hint="eastAsia"/>
                <w:color w:val="000000"/>
                <w:sz w:val="20"/>
                <w:szCs w:val="20"/>
              </w:rPr>
              <w:t>160.43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 w:type="dxa"/>
            <w:noWrap w:val="0"/>
            <w:vAlign w:val="center"/>
          </w:tcPr>
          <w:p>
            <w:pPr>
              <w:jc w:val="center"/>
              <w:rPr>
                <w:rFonts w:ascii="宋体" w:hAnsi="宋体" w:cs="宋体"/>
                <w:color w:val="000000"/>
                <w:sz w:val="20"/>
                <w:szCs w:val="20"/>
              </w:rPr>
            </w:pPr>
            <w:r>
              <w:rPr>
                <w:rFonts w:hint="eastAsia"/>
                <w:color w:val="000000"/>
                <w:sz w:val="20"/>
                <w:szCs w:val="20"/>
              </w:rPr>
              <w:t>8</w:t>
            </w:r>
          </w:p>
        </w:tc>
        <w:tc>
          <w:tcPr>
            <w:tcW w:w="2342" w:type="dxa"/>
            <w:noWrap w:val="0"/>
            <w:vAlign w:val="center"/>
          </w:tcPr>
          <w:p>
            <w:pPr>
              <w:rPr>
                <w:rFonts w:ascii="宋体" w:hAnsi="宋体" w:cs="宋体"/>
                <w:color w:val="000000"/>
                <w:sz w:val="20"/>
                <w:szCs w:val="20"/>
              </w:rPr>
            </w:pPr>
            <w:r>
              <w:rPr>
                <w:rFonts w:hint="eastAsia"/>
                <w:color w:val="000000"/>
                <w:sz w:val="20"/>
                <w:szCs w:val="20"/>
              </w:rPr>
              <w:t>碎石</w:t>
            </w:r>
          </w:p>
        </w:tc>
        <w:tc>
          <w:tcPr>
            <w:tcW w:w="1278" w:type="dxa"/>
            <w:noWrap w:val="0"/>
            <w:vAlign w:val="center"/>
          </w:tcPr>
          <w:p>
            <w:pPr>
              <w:jc w:val="center"/>
              <w:rPr>
                <w:rFonts w:ascii="宋体" w:hAnsi="宋体" w:cs="宋体"/>
                <w:color w:val="000000"/>
                <w:sz w:val="20"/>
                <w:szCs w:val="20"/>
              </w:rPr>
            </w:pPr>
            <w:r>
              <w:rPr>
                <w:rFonts w:hint="eastAsia"/>
                <w:color w:val="000000"/>
                <w:sz w:val="20"/>
                <w:szCs w:val="20"/>
              </w:rPr>
              <w:t>m³</w:t>
            </w:r>
          </w:p>
        </w:tc>
        <w:tc>
          <w:tcPr>
            <w:tcW w:w="2293" w:type="dxa"/>
            <w:noWrap w:val="0"/>
            <w:vAlign w:val="center"/>
          </w:tcPr>
          <w:p>
            <w:pPr>
              <w:widowControl/>
              <w:snapToGrid w:val="0"/>
              <w:spacing w:line="440" w:lineRule="atLeast"/>
              <w:jc w:val="center"/>
              <w:textAlignment w:val="center"/>
              <w:rPr>
                <w:rFonts w:hint="eastAsia" w:ascii="宋体" w:hAnsi="宋体"/>
              </w:rPr>
            </w:pPr>
            <w:r>
              <w:rPr>
                <w:rFonts w:hint="eastAsia" w:ascii="宋体" w:hAnsi="宋体"/>
              </w:rPr>
              <w:t>70</w:t>
            </w:r>
          </w:p>
        </w:tc>
        <w:tc>
          <w:tcPr>
            <w:tcW w:w="2130" w:type="dxa"/>
            <w:noWrap w:val="0"/>
            <w:vAlign w:val="center"/>
          </w:tcPr>
          <w:p>
            <w:pPr>
              <w:jc w:val="center"/>
              <w:rPr>
                <w:rFonts w:ascii="宋体" w:hAnsi="宋体" w:cs="宋体"/>
                <w:color w:val="000000"/>
                <w:sz w:val="20"/>
                <w:szCs w:val="20"/>
              </w:rPr>
            </w:pPr>
            <w:r>
              <w:rPr>
                <w:rFonts w:hint="eastAsia"/>
                <w:color w:val="000000"/>
                <w:sz w:val="20"/>
                <w:szCs w:val="20"/>
              </w:rPr>
              <w:t>173.55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 w:type="dxa"/>
            <w:noWrap w:val="0"/>
            <w:vAlign w:val="center"/>
          </w:tcPr>
          <w:p>
            <w:pPr>
              <w:jc w:val="center"/>
              <w:rPr>
                <w:rFonts w:ascii="宋体" w:hAnsi="宋体" w:cs="宋体"/>
                <w:color w:val="000000"/>
                <w:sz w:val="20"/>
                <w:szCs w:val="20"/>
              </w:rPr>
            </w:pPr>
            <w:r>
              <w:rPr>
                <w:rFonts w:hint="eastAsia"/>
                <w:color w:val="000000"/>
                <w:sz w:val="20"/>
                <w:szCs w:val="20"/>
              </w:rPr>
              <w:t>9</w:t>
            </w:r>
          </w:p>
        </w:tc>
        <w:tc>
          <w:tcPr>
            <w:tcW w:w="2342" w:type="dxa"/>
            <w:noWrap w:val="0"/>
            <w:vAlign w:val="center"/>
          </w:tcPr>
          <w:p>
            <w:pPr>
              <w:rPr>
                <w:rFonts w:ascii="宋体" w:hAnsi="宋体" w:cs="宋体"/>
                <w:color w:val="000000"/>
                <w:sz w:val="20"/>
                <w:szCs w:val="20"/>
              </w:rPr>
            </w:pPr>
            <w:r>
              <w:rPr>
                <w:rFonts w:hint="eastAsia"/>
                <w:color w:val="000000"/>
                <w:sz w:val="20"/>
                <w:szCs w:val="20"/>
              </w:rPr>
              <w:t>水泥42.5</w:t>
            </w:r>
          </w:p>
        </w:tc>
        <w:tc>
          <w:tcPr>
            <w:tcW w:w="1278" w:type="dxa"/>
            <w:noWrap w:val="0"/>
            <w:vAlign w:val="center"/>
          </w:tcPr>
          <w:p>
            <w:pPr>
              <w:jc w:val="center"/>
              <w:rPr>
                <w:rFonts w:ascii="宋体" w:hAnsi="宋体" w:cs="宋体"/>
                <w:color w:val="000000"/>
                <w:sz w:val="20"/>
                <w:szCs w:val="20"/>
              </w:rPr>
            </w:pPr>
            <w:r>
              <w:rPr>
                <w:rFonts w:hint="eastAsia"/>
                <w:color w:val="000000"/>
                <w:sz w:val="20"/>
                <w:szCs w:val="20"/>
              </w:rPr>
              <w:t>t</w:t>
            </w:r>
          </w:p>
        </w:tc>
        <w:tc>
          <w:tcPr>
            <w:tcW w:w="2293" w:type="dxa"/>
            <w:noWrap w:val="0"/>
            <w:vAlign w:val="center"/>
          </w:tcPr>
          <w:p>
            <w:pPr>
              <w:widowControl/>
              <w:snapToGrid w:val="0"/>
              <w:spacing w:line="440" w:lineRule="atLeast"/>
              <w:jc w:val="center"/>
              <w:textAlignment w:val="center"/>
              <w:rPr>
                <w:rFonts w:hint="eastAsia" w:ascii="宋体" w:hAnsi="宋体"/>
              </w:rPr>
            </w:pPr>
            <w:r>
              <w:rPr>
                <w:rFonts w:hint="eastAsia" w:ascii="宋体" w:hAnsi="宋体"/>
              </w:rPr>
              <w:t>260</w:t>
            </w:r>
          </w:p>
        </w:tc>
        <w:tc>
          <w:tcPr>
            <w:tcW w:w="2130" w:type="dxa"/>
            <w:noWrap w:val="0"/>
            <w:vAlign w:val="center"/>
          </w:tcPr>
          <w:p>
            <w:pPr>
              <w:jc w:val="center"/>
              <w:rPr>
                <w:rFonts w:ascii="宋体" w:hAnsi="宋体" w:cs="宋体"/>
                <w:color w:val="000000"/>
                <w:sz w:val="20"/>
                <w:szCs w:val="20"/>
              </w:rPr>
            </w:pPr>
            <w:r>
              <w:rPr>
                <w:rFonts w:hint="eastAsia"/>
                <w:color w:val="000000"/>
                <w:sz w:val="20"/>
                <w:szCs w:val="20"/>
              </w:rPr>
              <w:t>476.17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 w:type="dxa"/>
            <w:noWrap w:val="0"/>
            <w:vAlign w:val="center"/>
          </w:tcPr>
          <w:p>
            <w:pPr>
              <w:jc w:val="center"/>
              <w:rPr>
                <w:rFonts w:ascii="宋体" w:hAnsi="宋体" w:cs="宋体"/>
                <w:color w:val="000000"/>
                <w:sz w:val="20"/>
                <w:szCs w:val="20"/>
              </w:rPr>
            </w:pPr>
            <w:r>
              <w:rPr>
                <w:rFonts w:hint="eastAsia"/>
                <w:color w:val="000000"/>
                <w:sz w:val="20"/>
                <w:szCs w:val="20"/>
              </w:rPr>
              <w:t>10</w:t>
            </w:r>
          </w:p>
        </w:tc>
        <w:tc>
          <w:tcPr>
            <w:tcW w:w="2342" w:type="dxa"/>
            <w:noWrap w:val="0"/>
            <w:vAlign w:val="center"/>
          </w:tcPr>
          <w:p>
            <w:pPr>
              <w:rPr>
                <w:rFonts w:ascii="宋体" w:hAnsi="宋体" w:cs="宋体"/>
                <w:color w:val="000000"/>
                <w:sz w:val="20"/>
                <w:szCs w:val="20"/>
              </w:rPr>
            </w:pPr>
            <w:r>
              <w:rPr>
                <w:rFonts w:hint="eastAsia"/>
                <w:color w:val="000000"/>
                <w:sz w:val="20"/>
                <w:szCs w:val="20"/>
              </w:rPr>
              <w:t>钢筋</w:t>
            </w:r>
          </w:p>
        </w:tc>
        <w:tc>
          <w:tcPr>
            <w:tcW w:w="1278" w:type="dxa"/>
            <w:noWrap w:val="0"/>
            <w:vAlign w:val="center"/>
          </w:tcPr>
          <w:p>
            <w:pPr>
              <w:jc w:val="center"/>
              <w:rPr>
                <w:rFonts w:ascii="宋体" w:hAnsi="宋体" w:cs="宋体"/>
                <w:color w:val="000000"/>
                <w:sz w:val="20"/>
                <w:szCs w:val="20"/>
              </w:rPr>
            </w:pPr>
            <w:r>
              <w:rPr>
                <w:rFonts w:hint="eastAsia"/>
                <w:color w:val="000000"/>
                <w:sz w:val="20"/>
                <w:szCs w:val="20"/>
              </w:rPr>
              <w:t>t</w:t>
            </w:r>
          </w:p>
        </w:tc>
        <w:tc>
          <w:tcPr>
            <w:tcW w:w="2293" w:type="dxa"/>
            <w:noWrap w:val="0"/>
            <w:vAlign w:val="center"/>
          </w:tcPr>
          <w:p>
            <w:pPr>
              <w:widowControl/>
              <w:snapToGrid w:val="0"/>
              <w:spacing w:line="440" w:lineRule="atLeast"/>
              <w:jc w:val="center"/>
              <w:textAlignment w:val="center"/>
              <w:rPr>
                <w:rFonts w:hint="eastAsia" w:ascii="宋体" w:hAnsi="宋体"/>
              </w:rPr>
            </w:pPr>
            <w:r>
              <w:rPr>
                <w:rFonts w:hint="eastAsia" w:ascii="宋体" w:hAnsi="宋体"/>
              </w:rPr>
              <w:t>2600</w:t>
            </w:r>
          </w:p>
        </w:tc>
        <w:tc>
          <w:tcPr>
            <w:tcW w:w="2130" w:type="dxa"/>
            <w:noWrap w:val="0"/>
            <w:vAlign w:val="center"/>
          </w:tcPr>
          <w:p>
            <w:pPr>
              <w:jc w:val="center"/>
              <w:rPr>
                <w:rFonts w:ascii="宋体" w:hAnsi="宋体" w:cs="宋体"/>
                <w:color w:val="000000"/>
                <w:sz w:val="20"/>
                <w:szCs w:val="20"/>
              </w:rPr>
            </w:pPr>
            <w:r>
              <w:rPr>
                <w:rFonts w:hint="eastAsia"/>
                <w:color w:val="000000"/>
                <w:sz w:val="20"/>
                <w:szCs w:val="20"/>
              </w:rPr>
              <w:t>4731.9</w:t>
            </w:r>
          </w:p>
        </w:tc>
      </w:tr>
    </w:tbl>
    <w:p>
      <w:pPr>
        <w:spacing w:line="360" w:lineRule="auto"/>
        <w:ind w:firstLine="484" w:firstLineChars="200"/>
        <w:rPr>
          <w:rFonts w:ascii="宋体" w:hAnsi="宋体"/>
          <w:sz w:val="24"/>
        </w:rPr>
      </w:pPr>
      <w:r>
        <w:rPr>
          <w:rFonts w:hint="eastAsia" w:ascii="宋体" w:hAnsi="宋体"/>
          <w:sz w:val="24"/>
        </w:rPr>
        <w:t>（4）</w:t>
      </w:r>
      <w:r>
        <w:rPr>
          <w:rFonts w:ascii="宋体" w:hAnsi="宋体"/>
          <w:sz w:val="24"/>
        </w:rPr>
        <w:t>电、风、水单价</w:t>
      </w:r>
    </w:p>
    <w:p>
      <w:pPr>
        <w:snapToGrid w:val="0"/>
        <w:spacing w:line="520" w:lineRule="atLeast"/>
        <w:ind w:firstLine="484" w:firstLineChars="200"/>
        <w:rPr>
          <w:rFonts w:ascii="宋体"/>
          <w:bCs/>
          <w:sz w:val="24"/>
          <w:szCs w:val="32"/>
        </w:rPr>
      </w:pPr>
      <w:r>
        <w:rPr>
          <w:rFonts w:hint="eastAsia" w:ascii="宋体"/>
          <w:bCs/>
          <w:sz w:val="24"/>
          <w:szCs w:val="32"/>
        </w:rPr>
        <w:t>本工程施工用电80%采用柴油发电，20%采用电网供电，计算施工电价为2.86元/kW·h；根据施工组织设计，计算工程用风风价0.45元/m3，计算工程用水水价2.15元/m3。</w:t>
      </w:r>
    </w:p>
    <w:p>
      <w:pPr>
        <w:pStyle w:val="49"/>
        <w:spacing w:line="360" w:lineRule="auto"/>
        <w:ind w:left="0" w:leftChars="0" w:firstLine="0" w:firstLineChars="0"/>
        <w:rPr>
          <w:rFonts w:ascii="Times New Roman" w:hAnsi="宋体"/>
          <w:sz w:val="28"/>
        </w:rPr>
      </w:pPr>
      <w:r>
        <w:rPr>
          <w:rFonts w:hint="eastAsia" w:ascii="Times New Roman" w:hAnsi="宋体"/>
          <w:sz w:val="28"/>
        </w:rPr>
        <w:t>4.1.2.2</w:t>
      </w:r>
      <w:r>
        <w:rPr>
          <w:rFonts w:ascii="Times New Roman" w:hAnsi="宋体"/>
          <w:sz w:val="28"/>
        </w:rPr>
        <w:t>其他</w:t>
      </w:r>
    </w:p>
    <w:p>
      <w:pPr>
        <w:snapToGrid w:val="0"/>
        <w:spacing w:line="520" w:lineRule="atLeast"/>
        <w:rPr>
          <w:rFonts w:hint="eastAsia" w:ascii="宋体" w:hAnsi="宋体"/>
          <w:sz w:val="24"/>
        </w:rPr>
      </w:pPr>
      <w:r>
        <w:rPr>
          <w:rFonts w:hint="eastAsia" w:ascii="宋体" w:hAnsi="宋体"/>
          <w:sz w:val="24"/>
        </w:rPr>
        <w:t>（1）</w:t>
      </w:r>
      <w:r>
        <w:rPr>
          <w:rFonts w:ascii="宋体" w:hAnsi="宋体"/>
          <w:sz w:val="24"/>
        </w:rPr>
        <w:t>临时工程</w:t>
      </w:r>
    </w:p>
    <w:p>
      <w:pPr>
        <w:snapToGrid w:val="0"/>
        <w:spacing w:line="520" w:lineRule="atLeast"/>
        <w:ind w:firstLine="484" w:firstLineChars="200"/>
        <w:rPr>
          <w:rFonts w:ascii="宋体" w:hAnsi="宋体"/>
          <w:sz w:val="24"/>
        </w:rPr>
      </w:pPr>
      <w:r>
        <w:rPr>
          <w:rFonts w:ascii="宋体" w:hAnsi="宋体"/>
          <w:sz w:val="24"/>
        </w:rPr>
        <w:t>临时工程费参考相关工程估算，</w:t>
      </w:r>
      <w:r>
        <w:rPr>
          <w:rFonts w:hint="eastAsia" w:ascii="宋体" w:hAnsi="宋体"/>
          <w:sz w:val="24"/>
        </w:rPr>
        <w:t>按</w:t>
      </w:r>
      <w:r>
        <w:rPr>
          <w:rFonts w:ascii="宋体" w:hAnsi="宋体"/>
          <w:sz w:val="24"/>
        </w:rPr>
        <w:t>一至四部分建安工作量的</w:t>
      </w:r>
      <w:r>
        <w:rPr>
          <w:rFonts w:hint="eastAsia" w:ascii="宋体" w:hAnsi="宋体"/>
          <w:sz w:val="24"/>
        </w:rPr>
        <w:t>2</w:t>
      </w:r>
      <w:r>
        <w:rPr>
          <w:rFonts w:ascii="宋体" w:hAnsi="宋体"/>
          <w:sz w:val="24"/>
        </w:rPr>
        <w:t>%</w:t>
      </w:r>
      <w:r>
        <w:rPr>
          <w:rFonts w:hint="eastAsia" w:ascii="宋体" w:hAnsi="宋体"/>
          <w:sz w:val="24"/>
        </w:rPr>
        <w:t>计列</w:t>
      </w:r>
      <w:r>
        <w:rPr>
          <w:rFonts w:ascii="宋体" w:hAnsi="宋体"/>
          <w:sz w:val="24"/>
        </w:rPr>
        <w:t>。</w:t>
      </w:r>
    </w:p>
    <w:p>
      <w:pPr>
        <w:snapToGrid w:val="0"/>
        <w:spacing w:line="520" w:lineRule="atLeast"/>
        <w:rPr>
          <w:rFonts w:hint="eastAsia" w:ascii="宋体" w:hAnsi="宋体"/>
          <w:sz w:val="24"/>
        </w:rPr>
      </w:pPr>
      <w:r>
        <w:rPr>
          <w:rFonts w:hint="eastAsia" w:ascii="宋体" w:hAnsi="宋体"/>
          <w:sz w:val="24"/>
        </w:rPr>
        <w:t>（2）</w:t>
      </w:r>
      <w:r>
        <w:rPr>
          <w:rFonts w:ascii="宋体" w:hAnsi="宋体"/>
          <w:sz w:val="24"/>
        </w:rPr>
        <w:t>独立费用按“有关规定”计算</w:t>
      </w:r>
      <w:r>
        <w:rPr>
          <w:rFonts w:hint="eastAsia" w:ascii="宋体" w:hAnsi="宋体"/>
          <w:sz w:val="24"/>
        </w:rPr>
        <w:t>。</w:t>
      </w:r>
    </w:p>
    <w:p>
      <w:pPr>
        <w:snapToGrid w:val="0"/>
        <w:spacing w:line="520" w:lineRule="atLeast"/>
        <w:rPr>
          <w:rFonts w:hint="eastAsia" w:ascii="宋体" w:hAnsi="宋体"/>
          <w:sz w:val="24"/>
        </w:rPr>
      </w:pPr>
      <w:r>
        <w:rPr>
          <w:rFonts w:hint="eastAsia" w:ascii="宋体" w:hAnsi="宋体"/>
          <w:sz w:val="24"/>
        </w:rPr>
        <w:t>（3）</w:t>
      </w:r>
      <w:r>
        <w:rPr>
          <w:rFonts w:ascii="宋体" w:hAnsi="宋体"/>
          <w:sz w:val="24"/>
        </w:rPr>
        <w:t>基本预备费</w:t>
      </w:r>
      <w:r>
        <w:rPr>
          <w:rFonts w:hint="eastAsia" w:ascii="宋体" w:hAnsi="宋体"/>
          <w:sz w:val="24"/>
        </w:rPr>
        <w:t>按10%计算；</w:t>
      </w:r>
      <w:r>
        <w:rPr>
          <w:rFonts w:ascii="宋体" w:hAnsi="宋体"/>
          <w:sz w:val="24"/>
        </w:rPr>
        <w:t>价差预备费按照（1999）1340号文精神暂不计列</w:t>
      </w:r>
      <w:r>
        <w:rPr>
          <w:rFonts w:hint="eastAsia" w:ascii="宋体" w:hAnsi="宋体"/>
          <w:sz w:val="24"/>
        </w:rPr>
        <w:t>。</w:t>
      </w:r>
    </w:p>
    <w:p>
      <w:pPr>
        <w:pStyle w:val="49"/>
        <w:spacing w:line="360" w:lineRule="auto"/>
        <w:ind w:left="0" w:leftChars="0" w:firstLine="0" w:firstLineChars="0"/>
        <w:rPr>
          <w:rFonts w:ascii="Times New Roman" w:hAnsi="宋体"/>
          <w:sz w:val="28"/>
        </w:rPr>
      </w:pPr>
      <w:r>
        <w:rPr>
          <w:rFonts w:hint="eastAsia" w:ascii="Times New Roman" w:hAnsi="宋体"/>
          <w:sz w:val="28"/>
        </w:rPr>
        <w:t>4.1.2.3总投资估算</w:t>
      </w:r>
    </w:p>
    <w:p>
      <w:pPr>
        <w:snapToGrid w:val="0"/>
        <w:spacing w:line="520" w:lineRule="atLeast"/>
        <w:ind w:firstLine="484" w:firstLineChars="200"/>
        <w:rPr>
          <w:rFonts w:hint="eastAsia" w:ascii="宋体"/>
          <w:bCs/>
          <w:sz w:val="24"/>
          <w:szCs w:val="32"/>
        </w:rPr>
      </w:pPr>
      <w:r>
        <w:rPr>
          <w:rFonts w:hint="eastAsia" w:ascii="宋体"/>
          <w:bCs/>
          <w:sz w:val="24"/>
          <w:szCs w:val="32"/>
          <w:lang w:eastAsia="zh-CN"/>
        </w:rPr>
        <w:t>马边彝族自治县</w:t>
      </w:r>
      <w:r>
        <w:rPr>
          <w:rFonts w:hint="eastAsia" w:ascii="宋体"/>
          <w:bCs/>
          <w:sz w:val="24"/>
          <w:szCs w:val="32"/>
        </w:rPr>
        <w:t>新农村规划估算总投资</w:t>
      </w:r>
      <w:r>
        <w:rPr>
          <w:rFonts w:ascii="宋体"/>
          <w:bCs/>
          <w:sz w:val="24"/>
          <w:szCs w:val="32"/>
        </w:rPr>
        <w:t>25852.78</w:t>
      </w:r>
      <w:r>
        <w:rPr>
          <w:rFonts w:hint="eastAsia" w:ascii="宋体"/>
          <w:bCs/>
          <w:sz w:val="24"/>
          <w:szCs w:val="32"/>
        </w:rPr>
        <w:t>万元，其中建筑工程投资</w:t>
      </w:r>
      <w:r>
        <w:rPr>
          <w:rFonts w:ascii="宋体"/>
          <w:bCs/>
          <w:sz w:val="24"/>
          <w:szCs w:val="32"/>
        </w:rPr>
        <w:t>9037.83万元，</w:t>
      </w:r>
      <w:r>
        <w:rPr>
          <w:rFonts w:hint="eastAsia" w:ascii="宋体"/>
          <w:bCs/>
          <w:sz w:val="24"/>
          <w:szCs w:val="32"/>
        </w:rPr>
        <w:t>机电设备及安装工程</w:t>
      </w:r>
      <w:r>
        <w:rPr>
          <w:rFonts w:ascii="宋体"/>
          <w:bCs/>
          <w:sz w:val="24"/>
          <w:szCs w:val="32"/>
        </w:rPr>
        <w:t>11783.82万元，</w:t>
      </w:r>
      <w:r>
        <w:rPr>
          <w:rFonts w:hint="eastAsia" w:ascii="宋体"/>
          <w:bCs/>
          <w:sz w:val="24"/>
          <w:szCs w:val="32"/>
        </w:rPr>
        <w:t>施工临时工程</w:t>
      </w:r>
      <w:r>
        <w:rPr>
          <w:rFonts w:ascii="宋体"/>
          <w:bCs/>
          <w:sz w:val="24"/>
          <w:szCs w:val="32"/>
        </w:rPr>
        <w:t>416.43</w:t>
      </w:r>
      <w:r>
        <w:rPr>
          <w:rFonts w:hint="eastAsia" w:ascii="宋体"/>
          <w:bCs/>
          <w:sz w:val="24"/>
          <w:szCs w:val="32"/>
        </w:rPr>
        <w:t>万元，独立费用</w:t>
      </w:r>
      <w:r>
        <w:rPr>
          <w:rFonts w:ascii="宋体"/>
          <w:bCs/>
          <w:sz w:val="24"/>
          <w:szCs w:val="32"/>
        </w:rPr>
        <w:t>2264.45万元，基本预备费2350.25万元。分部分项工程投资详见各估算表。</w:t>
      </w:r>
    </w:p>
    <w:p>
      <w:pPr>
        <w:snapToGrid w:val="0"/>
        <w:spacing w:line="520" w:lineRule="atLeast"/>
        <w:ind w:firstLine="484" w:firstLineChars="200"/>
        <w:rPr>
          <w:rFonts w:ascii="宋体"/>
          <w:bCs/>
          <w:sz w:val="24"/>
          <w:szCs w:val="32"/>
        </w:rPr>
      </w:pPr>
    </w:p>
    <w:p>
      <w:pPr>
        <w:snapToGrid w:val="0"/>
        <w:spacing w:line="520" w:lineRule="atLeast"/>
        <w:ind w:firstLine="484" w:firstLineChars="200"/>
        <w:rPr>
          <w:rFonts w:hint="default" w:ascii="宋体" w:eastAsia="宋体"/>
          <w:bCs/>
          <w:color w:val="FF0000"/>
          <w:sz w:val="24"/>
          <w:szCs w:val="32"/>
          <w:lang w:val="en-US" w:eastAsia="zh-CN"/>
        </w:rPr>
      </w:pPr>
      <w:r>
        <w:rPr>
          <w:rFonts w:hint="eastAsia" w:ascii="宋体"/>
          <w:bCs/>
          <w:color w:val="FF0000"/>
          <w:sz w:val="24"/>
          <w:szCs w:val="32"/>
          <w:lang w:val="en-US" w:eastAsia="zh-CN"/>
        </w:rPr>
        <w:t>插入估算表</w:t>
      </w:r>
    </w:p>
    <w:p>
      <w:pPr>
        <w:pStyle w:val="5"/>
        <w:rPr>
          <w:rFonts w:hint="eastAsia" w:ascii="Times New Roman" w:hAnsi="Times New Roman" w:cs="Times New Roman"/>
          <w:b w:val="0"/>
          <w:bCs w:val="0"/>
          <w:color w:val="000000"/>
          <w:sz w:val="30"/>
          <w:szCs w:val="30"/>
          <w:lang w:val="en-US" w:eastAsia="zh-CN"/>
        </w:rPr>
      </w:pPr>
      <w:r>
        <w:rPr>
          <w:rFonts w:hint="eastAsia" w:ascii="Times New Roman" w:hAnsi="Times New Roman" w:cs="Times New Roman"/>
          <w:b w:val="0"/>
          <w:bCs w:val="0"/>
          <w:color w:val="000000"/>
          <w:sz w:val="30"/>
          <w:szCs w:val="30"/>
          <w:lang w:val="en-US" w:eastAsia="zh-CN"/>
        </w:rPr>
        <w:t>4.2资金筹措</w:t>
      </w:r>
    </w:p>
    <w:p>
      <w:pPr>
        <w:spacing w:line="440" w:lineRule="exact"/>
        <w:ind w:firstLine="473" w:firstLineChars="196"/>
        <w:rPr>
          <w:color w:val="FF0000"/>
        </w:rPr>
      </w:pPr>
      <w:r>
        <w:rPr>
          <w:rFonts w:hint="eastAsia"/>
          <w:color w:val="000000"/>
          <w:lang w:val="en-US" w:eastAsia="zh-CN"/>
        </w:rPr>
        <w:t>马边彝族自治县</w:t>
      </w:r>
      <w:r>
        <w:rPr>
          <w:color w:val="000000"/>
        </w:rPr>
        <w:t>“十四五”</w:t>
      </w:r>
      <w:r>
        <w:rPr>
          <w:rFonts w:hint="eastAsia"/>
          <w:color w:val="000000"/>
          <w:lang w:val="en-US" w:eastAsia="zh-CN"/>
        </w:rPr>
        <w:t>新农水</w:t>
      </w:r>
      <w:r>
        <w:rPr>
          <w:color w:val="000000"/>
        </w:rPr>
        <w:t>规划建设资金由地方政府负责落实，中央继续加大农村工程资金投入，重点支持中西部地区、贫困地区等农村工程建设与改造。各地要多渠道筹集建设资金，采取发行地方债券、建立财政贴息制度，扩大国家开发银行、农业发展银行等政策性银行长期低息贷款规模，有序推进政府和社会资本合作项目，大力鼓励引导社会资本参与工程建设和运营管理。</w:t>
      </w:r>
    </w:p>
    <w:p>
      <w:pPr>
        <w:spacing w:line="440" w:lineRule="exact"/>
        <w:ind w:firstLine="473" w:firstLineChars="196"/>
        <w:rPr>
          <w:color w:val="auto"/>
        </w:rPr>
      </w:pPr>
      <w:r>
        <w:rPr>
          <w:color w:val="000000"/>
        </w:rPr>
        <w:t>本次</w:t>
      </w:r>
      <w:r>
        <w:rPr>
          <w:rFonts w:hint="eastAsia"/>
          <w:color w:val="000000"/>
          <w:lang w:val="en-US" w:eastAsia="zh-CN"/>
        </w:rPr>
        <w:t>马边彝族自治县</w:t>
      </w:r>
      <w:r>
        <w:rPr>
          <w:color w:val="000000"/>
        </w:rPr>
        <w:t>“十四五”</w:t>
      </w:r>
      <w:r>
        <w:rPr>
          <w:rFonts w:hint="eastAsia"/>
          <w:color w:val="000000"/>
          <w:lang w:val="en-US" w:eastAsia="zh-CN"/>
        </w:rPr>
        <w:t>新农水</w:t>
      </w:r>
      <w:r>
        <w:rPr>
          <w:color w:val="000000"/>
        </w:rPr>
        <w:t>规划工程资金以</w:t>
      </w:r>
      <w:r>
        <w:rPr>
          <w:rFonts w:hint="eastAsia"/>
          <w:color w:val="000000"/>
        </w:rPr>
        <w:t>地方债券</w:t>
      </w:r>
      <w:r>
        <w:rPr>
          <w:color w:val="000000"/>
        </w:rPr>
        <w:t>为主，同时积极争取中央财政资金</w:t>
      </w:r>
      <w:r>
        <w:rPr>
          <w:rFonts w:hint="eastAsia"/>
          <w:color w:val="000000"/>
          <w:lang w:eastAsia="zh-CN"/>
        </w:rPr>
        <w:t>、</w:t>
      </w:r>
      <w:r>
        <w:rPr>
          <w:rFonts w:hint="eastAsia"/>
          <w:color w:val="auto"/>
          <w:lang w:eastAsia="zh-CN"/>
        </w:rPr>
        <w:t>省级财政资金</w:t>
      </w:r>
      <w:r>
        <w:rPr>
          <w:rFonts w:hint="eastAsia"/>
          <w:color w:val="auto"/>
        </w:rPr>
        <w:t>及</w:t>
      </w:r>
      <w:r>
        <w:rPr>
          <w:color w:val="auto"/>
        </w:rPr>
        <w:t>少量社会融资结合的方式进行资金筹措。</w:t>
      </w:r>
    </w:p>
    <w:p>
      <w:pPr>
        <w:spacing w:line="440" w:lineRule="exact"/>
        <w:ind w:firstLine="473" w:firstLineChars="196"/>
        <w:rPr>
          <w:rFonts w:hint="eastAsia" w:ascii="宋体" w:hAnsi="宋体" w:eastAsia="宋体" w:cs="宋体"/>
          <w:color w:val="FF0000"/>
          <w:sz w:val="24"/>
          <w:szCs w:val="24"/>
          <w:lang w:val="en-US" w:eastAsia="zh-CN"/>
        </w:rPr>
      </w:pPr>
      <w:r>
        <w:rPr>
          <w:rFonts w:hint="eastAsia" w:ascii="宋体" w:hAnsi="宋体" w:cs="宋体"/>
          <w:color w:val="auto"/>
          <w:sz w:val="24"/>
          <w:szCs w:val="24"/>
          <w:lang w:val="en-US" w:eastAsia="zh-CN"/>
        </w:rPr>
        <w:t>马边彝族自治县</w:t>
      </w:r>
      <w:r>
        <w:rPr>
          <w:rFonts w:hint="eastAsia" w:ascii="宋体" w:hAnsi="宋体" w:eastAsia="宋体" w:cs="宋体"/>
          <w:color w:val="auto"/>
          <w:sz w:val="24"/>
          <w:szCs w:val="24"/>
          <w:lang w:val="en-US" w:eastAsia="zh-CN"/>
        </w:rPr>
        <w:t>“十四五”期间规划完成投资</w:t>
      </w:r>
      <w:r>
        <w:rPr>
          <w:rFonts w:hint="eastAsia" w:ascii="Times New Roman" w:hAnsi="Times New Roman" w:eastAsia="宋体" w:cs="Times New Roman"/>
          <w:color w:val="auto"/>
          <w:lang w:val="en-US" w:eastAsia="zh-CN"/>
        </w:rPr>
        <w:t>25852.78万</w:t>
      </w:r>
      <w:r>
        <w:rPr>
          <w:rFonts w:ascii="Times New Roman" w:hAnsi="Times New Roman" w:eastAsia="宋体" w:cs="Times New Roman"/>
          <w:color w:val="auto"/>
        </w:rPr>
        <w:t>元</w:t>
      </w:r>
      <w:r>
        <w:rPr>
          <w:rFonts w:hint="eastAsia" w:ascii="宋体" w:hAnsi="宋体" w:eastAsia="宋体" w:cs="宋体"/>
          <w:color w:val="auto"/>
          <w:sz w:val="24"/>
          <w:szCs w:val="24"/>
          <w:lang w:val="en-US" w:eastAsia="zh-CN"/>
        </w:rPr>
        <w:t>，根据上述资金平衡原则估算</w:t>
      </w:r>
      <w:r>
        <w:rPr>
          <w:rFonts w:ascii="Times New Roman" w:hAnsi="Times New Roman" w:eastAsia="宋体" w:cs="Times New Roman"/>
          <w:color w:val="auto"/>
        </w:rPr>
        <w:t>中央补助投资</w:t>
      </w:r>
      <w:r>
        <w:rPr>
          <w:rFonts w:hint="eastAsia" w:ascii="Times New Roman" w:hAnsi="Times New Roman" w:eastAsia="宋体" w:cs="Times New Roman"/>
          <w:color w:val="auto"/>
          <w:lang w:val="en-US" w:eastAsia="zh-CN"/>
        </w:rPr>
        <w:t>8110.72万</w:t>
      </w:r>
      <w:r>
        <w:rPr>
          <w:rFonts w:ascii="Times New Roman" w:hAnsi="Times New Roman" w:eastAsia="宋体" w:cs="Times New Roman"/>
          <w:color w:val="auto"/>
        </w:rPr>
        <w:t>元，占规划投资的</w:t>
      </w:r>
      <w:r>
        <w:rPr>
          <w:rFonts w:hint="eastAsia" w:ascii="Times New Roman" w:hAnsi="Times New Roman" w:eastAsia="宋体" w:cs="Times New Roman"/>
          <w:color w:val="auto"/>
          <w:lang w:val="en-US" w:eastAsia="zh-CN"/>
        </w:rPr>
        <w:t>31.4</w:t>
      </w:r>
      <w:r>
        <w:rPr>
          <w:rFonts w:ascii="Times New Roman" w:hAnsi="Times New Roman" w:eastAsia="宋体" w:cs="Times New Roman"/>
          <w:color w:val="auto"/>
        </w:rPr>
        <w:t>%；省级投资</w:t>
      </w:r>
      <w:r>
        <w:rPr>
          <w:rFonts w:hint="eastAsia" w:ascii="Times New Roman" w:hAnsi="Times New Roman" w:eastAsia="宋体" w:cs="Times New Roman"/>
          <w:color w:val="auto"/>
          <w:lang w:val="en-US" w:eastAsia="zh-CN"/>
        </w:rPr>
        <w:t>2710.49万</w:t>
      </w:r>
      <w:r>
        <w:rPr>
          <w:rFonts w:ascii="Times New Roman" w:hAnsi="Times New Roman" w:eastAsia="宋体" w:cs="Times New Roman"/>
          <w:color w:val="auto"/>
        </w:rPr>
        <w:t>元，占规划投资的</w:t>
      </w:r>
      <w:r>
        <w:rPr>
          <w:rFonts w:hint="eastAsia" w:ascii="Times New Roman" w:hAnsi="Times New Roman" w:eastAsia="宋体" w:cs="Times New Roman"/>
          <w:color w:val="auto"/>
          <w:lang w:val="en-US" w:eastAsia="zh-CN"/>
        </w:rPr>
        <w:t>10.</w:t>
      </w:r>
      <w:r>
        <w:rPr>
          <w:rFonts w:hint="eastAsia" w:ascii="Times New Roman" w:hAnsi="Times New Roman" w:eastAsia="宋体" w:cs="Times New Roman"/>
          <w:color w:val="auto"/>
        </w:rPr>
        <w:t>5</w:t>
      </w:r>
      <w:r>
        <w:rPr>
          <w:rFonts w:ascii="Times New Roman" w:hAnsi="Times New Roman" w:eastAsia="宋体" w:cs="Times New Roman"/>
          <w:color w:val="auto"/>
        </w:rPr>
        <w:t>%；</w:t>
      </w:r>
      <w:r>
        <w:rPr>
          <w:rFonts w:hint="eastAsia" w:ascii="Times New Roman" w:hAnsi="Times New Roman" w:eastAsia="宋体" w:cs="Times New Roman"/>
          <w:color w:val="auto"/>
          <w:lang w:eastAsia="zh-CN"/>
        </w:rPr>
        <w:t>县级投资</w:t>
      </w:r>
      <w:r>
        <w:rPr>
          <w:rFonts w:hint="eastAsia" w:ascii="Times New Roman" w:hAnsi="Times New Roman" w:eastAsia="宋体" w:cs="Times New Roman"/>
          <w:color w:val="auto"/>
          <w:lang w:val="en-US" w:eastAsia="zh-CN"/>
        </w:rPr>
        <w:t>8.31万元，</w:t>
      </w:r>
      <w:r>
        <w:rPr>
          <w:rFonts w:ascii="Times New Roman" w:hAnsi="Times New Roman" w:eastAsia="宋体" w:cs="Times New Roman"/>
          <w:color w:val="auto"/>
        </w:rPr>
        <w:t>占规划投资的</w:t>
      </w:r>
      <w:r>
        <w:rPr>
          <w:rFonts w:hint="eastAsia" w:ascii="Times New Roman" w:hAnsi="Times New Roman" w:eastAsia="宋体" w:cs="Times New Roman"/>
          <w:color w:val="auto"/>
          <w:lang w:val="en-US" w:eastAsia="zh-CN"/>
        </w:rPr>
        <w:t>0.03</w:t>
      </w:r>
      <w:r>
        <w:rPr>
          <w:rFonts w:ascii="Times New Roman" w:hAnsi="Times New Roman" w:eastAsia="宋体" w:cs="Times New Roman"/>
          <w:color w:val="auto"/>
        </w:rPr>
        <w:t>%；地方</w:t>
      </w:r>
      <w:r>
        <w:rPr>
          <w:rFonts w:hint="eastAsia" w:ascii="Times New Roman" w:hAnsi="Times New Roman" w:eastAsia="宋体" w:cs="Times New Roman"/>
          <w:color w:val="auto"/>
          <w:lang w:eastAsia="zh-CN"/>
        </w:rPr>
        <w:t>债券</w:t>
      </w:r>
      <w:r>
        <w:rPr>
          <w:rFonts w:ascii="Times New Roman" w:hAnsi="Times New Roman" w:eastAsia="宋体" w:cs="Times New Roman"/>
          <w:color w:val="auto"/>
        </w:rPr>
        <w:t>和其他合计</w:t>
      </w:r>
      <w:r>
        <w:rPr>
          <w:rFonts w:hint="eastAsia" w:ascii="Times New Roman" w:hAnsi="Times New Roman" w:eastAsia="宋体" w:cs="Times New Roman"/>
          <w:color w:val="auto"/>
          <w:lang w:val="en-US" w:eastAsia="zh-CN"/>
        </w:rPr>
        <w:t>15023.28万</w:t>
      </w:r>
      <w:r>
        <w:rPr>
          <w:rFonts w:ascii="Times New Roman" w:hAnsi="Times New Roman" w:eastAsia="宋体" w:cs="Times New Roman"/>
          <w:color w:val="auto"/>
        </w:rPr>
        <w:t>元，占规划投资的</w:t>
      </w:r>
      <w:r>
        <w:rPr>
          <w:rFonts w:hint="eastAsia" w:ascii="Times New Roman" w:hAnsi="Times New Roman" w:eastAsia="宋体" w:cs="Times New Roman"/>
          <w:color w:val="auto"/>
          <w:lang w:val="en-US" w:eastAsia="zh-CN"/>
        </w:rPr>
        <w:t>58.1</w:t>
      </w:r>
      <w:r>
        <w:rPr>
          <w:rFonts w:ascii="Times New Roman" w:hAnsi="Times New Roman" w:eastAsia="宋体" w:cs="Times New Roman"/>
          <w:color w:val="auto"/>
        </w:rPr>
        <w:t>%。</w:t>
      </w:r>
    </w:p>
    <w:p>
      <w:pPr>
        <w:pStyle w:val="2"/>
        <w:rPr>
          <w:rFonts w:hint="eastAsia"/>
          <w:lang w:val="en-US" w:eastAsia="zh-CN"/>
        </w:rPr>
      </w:pPr>
    </w:p>
    <w:p>
      <w:pPr>
        <w:pStyle w:val="5"/>
        <w:rPr>
          <w:rFonts w:hint="eastAsia" w:ascii="Times New Roman" w:hAnsi="Times New Roman" w:cs="Times New Roman"/>
          <w:b w:val="0"/>
          <w:bCs w:val="0"/>
          <w:color w:val="auto"/>
          <w:sz w:val="30"/>
          <w:szCs w:val="30"/>
          <w:lang w:val="en-US" w:eastAsia="zh-CN"/>
        </w:rPr>
      </w:pPr>
      <w:r>
        <w:rPr>
          <w:rFonts w:hint="eastAsia" w:ascii="Times New Roman" w:hAnsi="Times New Roman" w:cs="Times New Roman"/>
          <w:b w:val="0"/>
          <w:bCs w:val="0"/>
          <w:color w:val="auto"/>
          <w:sz w:val="30"/>
          <w:szCs w:val="30"/>
          <w:lang w:val="en-US" w:eastAsia="zh-CN"/>
        </w:rPr>
        <w:t>4.3分期实施计划</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sectPr>
          <w:headerReference r:id="rId15" w:type="default"/>
          <w:footerReference r:id="rId16" w:type="default"/>
          <w:pgSz w:w="11906" w:h="16838"/>
          <w:pgMar w:top="1985" w:right="1588" w:bottom="1701" w:left="1588" w:header="851" w:footer="1134" w:gutter="0"/>
          <w:cols w:space="720" w:num="1"/>
          <w:docGrid w:type="linesAndChars" w:linePitch="469" w:charSpace="512"/>
        </w:sectPr>
      </w:pPr>
      <w:r>
        <w:rPr>
          <w:rFonts w:hint="eastAsia" w:ascii="宋体" w:hAnsi="宋体" w:eastAsia="宋体" w:cs="宋体"/>
          <w:color w:val="auto"/>
          <w:sz w:val="24"/>
          <w:szCs w:val="24"/>
          <w:lang w:val="en-US" w:eastAsia="zh-CN"/>
        </w:rPr>
        <w:t>对马边彝族自治县“十四五”新农水规划建设任务，按照工程规模。轻重缓急和投资可能的原则，逐步实施。规划至2025年具体实施计划，各年度建设内容见下表：</w:t>
      </w:r>
    </w:p>
    <w:p>
      <w:pPr>
        <w:pStyle w:val="2"/>
        <w:rPr>
          <w:rFonts w:hint="eastAsia"/>
          <w:lang w:val="en-US" w:eastAsia="zh-CN"/>
        </w:rPr>
      </w:pPr>
    </w:p>
    <w:tbl>
      <w:tblPr>
        <w:tblStyle w:val="86"/>
        <w:tblW w:w="14919" w:type="dxa"/>
        <w:jc w:val="center"/>
        <w:tblLayout w:type="autofit"/>
        <w:tblCellMar>
          <w:top w:w="0" w:type="dxa"/>
          <w:left w:w="108" w:type="dxa"/>
          <w:bottom w:w="0" w:type="dxa"/>
          <w:right w:w="108" w:type="dxa"/>
        </w:tblCellMar>
      </w:tblPr>
      <w:tblGrid>
        <w:gridCol w:w="509"/>
        <w:gridCol w:w="1125"/>
        <w:gridCol w:w="1200"/>
        <w:gridCol w:w="1545"/>
        <w:gridCol w:w="1620"/>
        <w:gridCol w:w="1304"/>
        <w:gridCol w:w="1140"/>
        <w:gridCol w:w="2895"/>
        <w:gridCol w:w="1814"/>
        <w:gridCol w:w="942"/>
        <w:gridCol w:w="681"/>
        <w:gridCol w:w="144"/>
      </w:tblGrid>
      <w:tr>
        <w:tblPrEx>
          <w:tblCellMar>
            <w:top w:w="0" w:type="dxa"/>
            <w:left w:w="108" w:type="dxa"/>
            <w:bottom w:w="0" w:type="dxa"/>
            <w:right w:w="108" w:type="dxa"/>
          </w:tblCellMar>
        </w:tblPrEx>
        <w:trPr>
          <w:gridAfter w:val="1"/>
          <w:wAfter w:w="144" w:type="dxa"/>
          <w:trHeight w:val="780" w:hRule="atLeast"/>
          <w:tblHeader/>
          <w:jc w:val="center"/>
        </w:trPr>
        <w:tc>
          <w:tcPr>
            <w:tcW w:w="14775" w:type="dxa"/>
            <w:gridSpan w:val="11"/>
            <w:tcBorders>
              <w:top w:val="nil"/>
              <w:left w:val="nil"/>
              <w:bottom w:val="nil"/>
              <w:right w:val="nil"/>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cs="宋体"/>
                <w:b/>
                <w:bCs/>
                <w:i w:val="0"/>
                <w:iCs w:val="0"/>
                <w:color w:val="000000"/>
                <w:kern w:val="0"/>
                <w:sz w:val="24"/>
                <w:szCs w:val="24"/>
                <w:u w:val="none"/>
                <w:lang w:val="en-US" w:eastAsia="zh-CN" w:bidi="ar"/>
              </w:rPr>
              <w:t>马边彝族自治县</w:t>
            </w:r>
            <w:r>
              <w:rPr>
                <w:rFonts w:hint="eastAsia" w:ascii="宋体" w:hAnsi="宋体" w:eastAsia="宋体" w:cs="宋体"/>
                <w:b/>
                <w:bCs/>
                <w:i w:val="0"/>
                <w:iCs w:val="0"/>
                <w:color w:val="000000"/>
                <w:kern w:val="0"/>
                <w:sz w:val="24"/>
                <w:szCs w:val="24"/>
                <w:u w:val="none"/>
                <w:lang w:val="en-US" w:eastAsia="zh-CN" w:bidi="ar"/>
              </w:rPr>
              <w:t>“十四五”新农水农村供水规划建设分期实施计划表</w:t>
            </w:r>
          </w:p>
        </w:tc>
      </w:tr>
      <w:tr>
        <w:tblPrEx>
          <w:tblCellMar>
            <w:top w:w="0" w:type="dxa"/>
            <w:left w:w="108" w:type="dxa"/>
            <w:bottom w:w="0" w:type="dxa"/>
            <w:right w:w="108" w:type="dxa"/>
          </w:tblCellMar>
        </w:tblPrEx>
        <w:trPr>
          <w:trHeight w:val="390" w:hRule="atLeast"/>
          <w:tblHeader/>
          <w:jc w:val="center"/>
        </w:trPr>
        <w:tc>
          <w:tcPr>
            <w:tcW w:w="50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11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工程名称</w:t>
            </w:r>
          </w:p>
        </w:tc>
        <w:tc>
          <w:tcPr>
            <w:tcW w:w="12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工程规模（m3/d）</w:t>
            </w:r>
          </w:p>
        </w:tc>
        <w:tc>
          <w:tcPr>
            <w:tcW w:w="85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主要建设内容</w:t>
            </w:r>
          </w:p>
        </w:tc>
        <w:tc>
          <w:tcPr>
            <w:tcW w:w="181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供水覆盖范围</w:t>
            </w:r>
          </w:p>
        </w:tc>
        <w:tc>
          <w:tcPr>
            <w:tcW w:w="94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受益人口（万人）</w:t>
            </w:r>
          </w:p>
        </w:tc>
        <w:tc>
          <w:tcPr>
            <w:tcW w:w="82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实施年度</w:t>
            </w:r>
          </w:p>
        </w:tc>
      </w:tr>
      <w:tr>
        <w:tblPrEx>
          <w:tblCellMar>
            <w:top w:w="0" w:type="dxa"/>
            <w:left w:w="108" w:type="dxa"/>
            <w:bottom w:w="0" w:type="dxa"/>
            <w:right w:w="108" w:type="dxa"/>
          </w:tblCellMar>
        </w:tblPrEx>
        <w:trPr>
          <w:trHeight w:val="495" w:hRule="atLeast"/>
          <w:tblHeader/>
          <w:jc w:val="center"/>
        </w:trPr>
        <w:tc>
          <w:tcPr>
            <w:tcW w:w="50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
                <w:bCs/>
                <w:i w:val="0"/>
                <w:iCs w:val="0"/>
                <w:color w:val="000000"/>
                <w:sz w:val="21"/>
                <w:szCs w:val="21"/>
                <w:u w:val="none"/>
              </w:rPr>
            </w:pPr>
          </w:p>
        </w:tc>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
                <w:bCs/>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
                <w:bCs/>
                <w:i w:val="0"/>
                <w:iCs w:val="0"/>
                <w:color w:val="000000"/>
                <w:sz w:val="21"/>
                <w:szCs w:val="21"/>
                <w:u w:val="none"/>
              </w:rPr>
            </w:pPr>
          </w:p>
        </w:tc>
        <w:tc>
          <w:tcPr>
            <w:tcW w:w="1545" w:type="dxa"/>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部位</w:t>
            </w:r>
          </w:p>
        </w:tc>
        <w:tc>
          <w:tcPr>
            <w:tcW w:w="1620" w:type="dxa"/>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名称</w:t>
            </w:r>
          </w:p>
        </w:tc>
        <w:tc>
          <w:tcPr>
            <w:tcW w:w="1304" w:type="dxa"/>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1140" w:type="dxa"/>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2895" w:type="dxa"/>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规格</w:t>
            </w:r>
          </w:p>
        </w:tc>
        <w:tc>
          <w:tcPr>
            <w:tcW w:w="18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
                <w:bCs/>
                <w:i w:val="0"/>
                <w:iCs w:val="0"/>
                <w:color w:val="000000"/>
                <w:sz w:val="21"/>
                <w:szCs w:val="21"/>
                <w:u w:val="none"/>
              </w:rPr>
            </w:pPr>
          </w:p>
        </w:tc>
        <w:tc>
          <w:tcPr>
            <w:tcW w:w="94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
                <w:bCs/>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
                <w:bCs/>
                <w:i w:val="0"/>
                <w:iCs w:val="0"/>
                <w:color w:val="000000"/>
                <w:sz w:val="21"/>
                <w:szCs w:val="21"/>
                <w:u w:val="none"/>
              </w:rPr>
            </w:pPr>
          </w:p>
        </w:tc>
      </w:tr>
      <w:tr>
        <w:tblPrEx>
          <w:tblCellMar>
            <w:top w:w="0" w:type="dxa"/>
            <w:left w:w="108" w:type="dxa"/>
            <w:bottom w:w="0" w:type="dxa"/>
            <w:right w:w="108" w:type="dxa"/>
          </w:tblCellMar>
        </w:tblPrEx>
        <w:trPr>
          <w:trHeight w:val="495" w:hRule="atLeast"/>
          <w:jc w:val="center"/>
        </w:trPr>
        <w:tc>
          <w:tcPr>
            <w:tcW w:w="509"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125"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县城片区供水工程</w:t>
            </w:r>
          </w:p>
        </w:tc>
        <w:tc>
          <w:tcPr>
            <w:tcW w:w="1200"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20000</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取水</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取水塔</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座</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L×B×H=6×5.25×11.8m</w:t>
            </w:r>
          </w:p>
        </w:tc>
        <w:tc>
          <w:tcPr>
            <w:tcW w:w="1814" w:type="dxa"/>
            <w:vMerge w:val="restart"/>
            <w:tcBorders>
              <w:top w:val="nil"/>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民建镇（</w:t>
            </w:r>
            <w:r>
              <w:rPr>
                <w:rStyle w:val="696"/>
                <w:rFonts w:hint="eastAsia" w:ascii="宋体" w:hAnsi="宋体" w:eastAsia="宋体" w:cs="宋体"/>
                <w:sz w:val="21"/>
                <w:szCs w:val="21"/>
                <w:lang w:val="en-US" w:eastAsia="zh-CN" w:bidi="ar"/>
              </w:rPr>
              <w:t>张坝社区、城南社区、红旗社区、光明社区、建新村、兴隆村、西城村</w:t>
            </w:r>
            <w:r>
              <w:rPr>
                <w:rFonts w:hint="eastAsia" w:ascii="宋体" w:hAnsi="宋体" w:eastAsia="宋体" w:cs="宋体"/>
                <w:i w:val="0"/>
                <w:iCs w:val="0"/>
                <w:color w:val="000000"/>
                <w:kern w:val="0"/>
                <w:sz w:val="21"/>
                <w:szCs w:val="21"/>
                <w:u w:val="none"/>
                <w:lang w:val="en-US" w:eastAsia="zh-CN" w:bidi="ar"/>
              </w:rPr>
              <w:t>）、建设乡（</w:t>
            </w:r>
            <w:r>
              <w:rPr>
                <w:rStyle w:val="696"/>
                <w:rFonts w:hint="eastAsia" w:ascii="宋体" w:hAnsi="宋体" w:eastAsia="宋体" w:cs="宋体"/>
                <w:sz w:val="21"/>
                <w:szCs w:val="21"/>
                <w:lang w:val="en-US" w:eastAsia="zh-CN" w:bidi="ar"/>
              </w:rPr>
              <w:t>光辉村、联河村</w:t>
            </w:r>
            <w:r>
              <w:rPr>
                <w:rFonts w:hint="eastAsia" w:ascii="宋体" w:hAnsi="宋体" w:eastAsia="宋体" w:cs="宋体"/>
                <w:i w:val="0"/>
                <w:iCs w:val="0"/>
                <w:color w:val="000000"/>
                <w:kern w:val="0"/>
                <w:sz w:val="21"/>
                <w:szCs w:val="21"/>
                <w:u w:val="none"/>
                <w:lang w:val="en-US" w:eastAsia="zh-CN" w:bidi="ar"/>
              </w:rPr>
              <w:t>）、劳动乡（</w:t>
            </w:r>
            <w:r>
              <w:rPr>
                <w:rStyle w:val="696"/>
                <w:rFonts w:hint="eastAsia" w:ascii="宋体" w:hAnsi="宋体" w:eastAsia="宋体" w:cs="宋体"/>
                <w:sz w:val="21"/>
                <w:szCs w:val="21"/>
                <w:lang w:val="en-US" w:eastAsia="zh-CN" w:bidi="ar"/>
              </w:rPr>
              <w:t>红椿村、柏林村、金星村、福来村、先锋村、官田坝村</w:t>
            </w:r>
            <w:r>
              <w:rPr>
                <w:rFonts w:hint="eastAsia" w:ascii="宋体" w:hAnsi="宋体" w:eastAsia="宋体" w:cs="宋体"/>
                <w:i w:val="0"/>
                <w:iCs w:val="0"/>
                <w:color w:val="000000"/>
                <w:kern w:val="0"/>
                <w:sz w:val="21"/>
                <w:szCs w:val="21"/>
                <w:u w:val="none"/>
                <w:lang w:val="en-US" w:eastAsia="zh-CN" w:bidi="ar"/>
              </w:rPr>
              <w:t>）</w:t>
            </w:r>
          </w:p>
        </w:tc>
        <w:tc>
          <w:tcPr>
            <w:tcW w:w="942"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近期2.8912万人，远期4.5万人</w:t>
            </w:r>
          </w:p>
        </w:tc>
        <w:tc>
          <w:tcPr>
            <w:tcW w:w="825"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3300"/>
                <w:sz w:val="21"/>
                <w:szCs w:val="21"/>
                <w:u w:val="none"/>
              </w:rPr>
            </w:pPr>
            <w:r>
              <w:rPr>
                <w:rFonts w:hint="eastAsia" w:ascii="宋体" w:hAnsi="宋体" w:eastAsia="宋体" w:cs="宋体"/>
                <w:i w:val="0"/>
                <w:iCs w:val="0"/>
                <w:color w:val="003300"/>
                <w:kern w:val="0"/>
                <w:sz w:val="21"/>
                <w:szCs w:val="21"/>
                <w:u w:val="none"/>
                <w:lang w:val="en-US" w:eastAsia="zh-CN" w:bidi="ar"/>
              </w:rPr>
              <w:t>2023</w:t>
            </w:r>
          </w:p>
        </w:tc>
      </w:tr>
      <w:tr>
        <w:tblPrEx>
          <w:tblCellMar>
            <w:top w:w="0" w:type="dxa"/>
            <w:left w:w="108" w:type="dxa"/>
            <w:bottom w:w="0" w:type="dxa"/>
            <w:right w:w="108" w:type="dxa"/>
          </w:tblCellMar>
        </w:tblPrEx>
        <w:trPr>
          <w:trHeight w:val="495" w:hRule="atLeast"/>
          <w:jc w:val="center"/>
        </w:trPr>
        <w:tc>
          <w:tcPr>
            <w:tcW w:w="50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545" w:type="dxa"/>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输水管网</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输水管</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9450</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DN600钢管</w:t>
            </w:r>
          </w:p>
        </w:tc>
        <w:tc>
          <w:tcPr>
            <w:tcW w:w="1814" w:type="dxa"/>
            <w:vMerge w:val="continue"/>
            <w:tcBorders>
              <w:top w:val="nil"/>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54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厂区</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配水井</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座</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2.4×3.5×8m</w:t>
            </w:r>
          </w:p>
        </w:tc>
        <w:tc>
          <w:tcPr>
            <w:tcW w:w="1814" w:type="dxa"/>
            <w:vMerge w:val="continue"/>
            <w:tcBorders>
              <w:top w:val="nil"/>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54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絮凝沉淀池</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座</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17.5×10.35×5.4</w:t>
            </w:r>
          </w:p>
        </w:tc>
        <w:tc>
          <w:tcPr>
            <w:tcW w:w="1814" w:type="dxa"/>
            <w:vMerge w:val="continue"/>
            <w:tcBorders>
              <w:top w:val="nil"/>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54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滤池</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座</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19.6×25.74</w:t>
            </w:r>
          </w:p>
        </w:tc>
        <w:tc>
          <w:tcPr>
            <w:tcW w:w="1814" w:type="dxa"/>
            <w:vMerge w:val="continue"/>
            <w:tcBorders>
              <w:top w:val="nil"/>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54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清水池</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座</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2500m</w:t>
            </w:r>
            <w:r>
              <w:rPr>
                <w:rFonts w:hint="eastAsia" w:ascii="宋体" w:hAnsi="宋体" w:eastAsia="宋体" w:cs="宋体"/>
                <w:i w:val="0"/>
                <w:iCs w:val="0"/>
                <w:color w:val="000000"/>
                <w:kern w:val="0"/>
                <w:sz w:val="21"/>
                <w:szCs w:val="21"/>
                <w:u w:val="none"/>
                <w:vertAlign w:val="superscript"/>
                <w:lang w:val="en-US" w:eastAsia="zh-CN" w:bidi="ar"/>
              </w:rPr>
              <w:t>3</w:t>
            </w:r>
          </w:p>
        </w:tc>
        <w:tc>
          <w:tcPr>
            <w:tcW w:w="1814" w:type="dxa"/>
            <w:vMerge w:val="continue"/>
            <w:tcBorders>
              <w:top w:val="nil"/>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54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加药加氯间</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座</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20×9</w:t>
            </w:r>
          </w:p>
        </w:tc>
        <w:tc>
          <w:tcPr>
            <w:tcW w:w="1814" w:type="dxa"/>
            <w:vMerge w:val="continue"/>
            <w:tcBorders>
              <w:top w:val="nil"/>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54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3300"/>
                <w:sz w:val="21"/>
                <w:szCs w:val="21"/>
                <w:u w:val="none"/>
              </w:rPr>
            </w:pPr>
            <w:r>
              <w:rPr>
                <w:rFonts w:hint="eastAsia" w:ascii="宋体" w:hAnsi="宋体" w:eastAsia="宋体" w:cs="宋体"/>
                <w:i w:val="0"/>
                <w:iCs w:val="0"/>
                <w:color w:val="003300"/>
                <w:kern w:val="0"/>
                <w:sz w:val="21"/>
                <w:szCs w:val="21"/>
                <w:u w:val="none"/>
                <w:lang w:val="en-US" w:eastAsia="zh-CN" w:bidi="ar"/>
              </w:rPr>
              <w:t>排水池</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座</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12×8.5×5</w:t>
            </w:r>
          </w:p>
        </w:tc>
        <w:tc>
          <w:tcPr>
            <w:tcW w:w="1814" w:type="dxa"/>
            <w:vMerge w:val="continue"/>
            <w:tcBorders>
              <w:top w:val="nil"/>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54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3300"/>
                <w:sz w:val="21"/>
                <w:szCs w:val="21"/>
                <w:u w:val="none"/>
              </w:rPr>
            </w:pPr>
            <w:r>
              <w:rPr>
                <w:rFonts w:hint="eastAsia" w:ascii="宋体" w:hAnsi="宋体" w:eastAsia="宋体" w:cs="宋体"/>
                <w:i w:val="0"/>
                <w:iCs w:val="0"/>
                <w:color w:val="003300"/>
                <w:kern w:val="0"/>
                <w:sz w:val="21"/>
                <w:szCs w:val="21"/>
                <w:u w:val="none"/>
                <w:lang w:val="en-US" w:eastAsia="zh-CN" w:bidi="ar"/>
              </w:rPr>
              <w:t>排泥池</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座</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9.4×15.2×3</w:t>
            </w:r>
          </w:p>
        </w:tc>
        <w:tc>
          <w:tcPr>
            <w:tcW w:w="1814" w:type="dxa"/>
            <w:vMerge w:val="continue"/>
            <w:tcBorders>
              <w:top w:val="nil"/>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54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3300"/>
                <w:sz w:val="21"/>
                <w:szCs w:val="21"/>
                <w:u w:val="none"/>
              </w:rPr>
            </w:pPr>
            <w:r>
              <w:rPr>
                <w:rFonts w:hint="eastAsia" w:ascii="宋体" w:hAnsi="宋体" w:eastAsia="宋体" w:cs="宋体"/>
                <w:i w:val="0"/>
                <w:iCs w:val="0"/>
                <w:color w:val="003300"/>
                <w:kern w:val="0"/>
                <w:sz w:val="21"/>
                <w:szCs w:val="21"/>
                <w:u w:val="none"/>
                <w:lang w:val="en-US" w:eastAsia="zh-CN" w:bidi="ar"/>
              </w:rPr>
              <w:t>污泥浓缩池</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座</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13.7×13.5×5.3</w:t>
            </w:r>
          </w:p>
        </w:tc>
        <w:tc>
          <w:tcPr>
            <w:tcW w:w="1814" w:type="dxa"/>
            <w:vMerge w:val="continue"/>
            <w:tcBorders>
              <w:top w:val="nil"/>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54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3300"/>
                <w:sz w:val="21"/>
                <w:szCs w:val="21"/>
                <w:u w:val="none"/>
              </w:rPr>
            </w:pPr>
            <w:r>
              <w:rPr>
                <w:rFonts w:hint="eastAsia" w:ascii="宋体" w:hAnsi="宋体" w:eastAsia="宋体" w:cs="宋体"/>
                <w:i w:val="0"/>
                <w:iCs w:val="0"/>
                <w:color w:val="003300"/>
                <w:kern w:val="0"/>
                <w:sz w:val="21"/>
                <w:szCs w:val="21"/>
                <w:u w:val="none"/>
                <w:lang w:val="en-US" w:eastAsia="zh-CN" w:bidi="ar"/>
              </w:rPr>
              <w:t>污泥脱水间</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座</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19×12×5.3</w:t>
            </w:r>
          </w:p>
        </w:tc>
        <w:tc>
          <w:tcPr>
            <w:tcW w:w="1814" w:type="dxa"/>
            <w:vMerge w:val="continue"/>
            <w:tcBorders>
              <w:top w:val="nil"/>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54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综合楼</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座</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622m</w:t>
            </w:r>
            <w:r>
              <w:rPr>
                <w:rFonts w:hint="eastAsia" w:ascii="宋体" w:hAnsi="宋体" w:eastAsia="宋体" w:cs="宋体"/>
                <w:i w:val="0"/>
                <w:iCs w:val="0"/>
                <w:color w:val="000000"/>
                <w:kern w:val="0"/>
                <w:sz w:val="21"/>
                <w:szCs w:val="21"/>
                <w:u w:val="none"/>
                <w:vertAlign w:val="superscript"/>
                <w:lang w:val="en-US" w:eastAsia="zh-CN" w:bidi="ar"/>
              </w:rPr>
              <w:t>2</w:t>
            </w:r>
          </w:p>
        </w:tc>
        <w:tc>
          <w:tcPr>
            <w:tcW w:w="1814" w:type="dxa"/>
            <w:vMerge w:val="continue"/>
            <w:tcBorders>
              <w:top w:val="nil"/>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54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配水管网</w:t>
            </w:r>
          </w:p>
        </w:tc>
        <w:tc>
          <w:tcPr>
            <w:tcW w:w="1620" w:type="dxa"/>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配水管</w:t>
            </w:r>
          </w:p>
        </w:tc>
        <w:tc>
          <w:tcPr>
            <w:tcW w:w="1304" w:type="dxa"/>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km</w:t>
            </w:r>
          </w:p>
        </w:tc>
        <w:tc>
          <w:tcPr>
            <w:tcW w:w="1140" w:type="dxa"/>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24545</w:t>
            </w:r>
          </w:p>
        </w:tc>
        <w:tc>
          <w:tcPr>
            <w:tcW w:w="0" w:type="auto"/>
            <w:tcBorders>
              <w:top w:val="nil"/>
              <w:left w:val="nil"/>
              <w:bottom w:val="nil"/>
              <w:right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钢管</w:t>
            </w:r>
          </w:p>
        </w:tc>
        <w:tc>
          <w:tcPr>
            <w:tcW w:w="1814" w:type="dxa"/>
            <w:vMerge w:val="continue"/>
            <w:tcBorders>
              <w:top w:val="nil"/>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54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620" w:type="dxa"/>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配水管</w:t>
            </w:r>
          </w:p>
        </w:tc>
        <w:tc>
          <w:tcPr>
            <w:tcW w:w="1304" w:type="dxa"/>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km</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57860</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PVC-O、AGR</w:t>
            </w:r>
          </w:p>
        </w:tc>
        <w:tc>
          <w:tcPr>
            <w:tcW w:w="1814" w:type="dxa"/>
            <w:vMerge w:val="continue"/>
            <w:tcBorders>
              <w:top w:val="nil"/>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125"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大竹堡片区供水工程</w:t>
            </w:r>
          </w:p>
        </w:tc>
        <w:tc>
          <w:tcPr>
            <w:tcW w:w="1200"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2150</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取水</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底格栏栅坝</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座</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L×B×H=23×2.6×3.5m</w:t>
            </w:r>
          </w:p>
        </w:tc>
        <w:tc>
          <w:tcPr>
            <w:tcW w:w="1814"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大竹堡乡（</w:t>
            </w:r>
            <w:r>
              <w:rPr>
                <w:rStyle w:val="696"/>
                <w:rFonts w:hint="eastAsia" w:ascii="宋体" w:hAnsi="宋体" w:eastAsia="宋体" w:cs="宋体"/>
                <w:sz w:val="21"/>
                <w:szCs w:val="21"/>
                <w:lang w:val="en-US" w:eastAsia="zh-CN" w:bidi="ar"/>
              </w:rPr>
              <w:t>白岩湾村、新山村、大竹堡村</w:t>
            </w:r>
            <w:r>
              <w:rPr>
                <w:rFonts w:hint="eastAsia" w:ascii="宋体" w:hAnsi="宋体" w:eastAsia="宋体" w:cs="宋体"/>
                <w:i w:val="0"/>
                <w:iCs w:val="0"/>
                <w:color w:val="000000"/>
                <w:kern w:val="0"/>
                <w:sz w:val="21"/>
                <w:szCs w:val="21"/>
                <w:u w:val="none"/>
                <w:lang w:val="en-US" w:eastAsia="zh-CN" w:bidi="ar"/>
              </w:rPr>
              <w:t>）、镇江庙乡（</w:t>
            </w:r>
            <w:r>
              <w:rPr>
                <w:rStyle w:val="696"/>
                <w:rFonts w:hint="eastAsia" w:ascii="宋体" w:hAnsi="宋体" w:eastAsia="宋体" w:cs="宋体"/>
                <w:sz w:val="21"/>
                <w:szCs w:val="21"/>
                <w:lang w:val="en-US" w:eastAsia="zh-CN" w:bidi="ar"/>
              </w:rPr>
              <w:t>两河口村、石龙门村</w:t>
            </w:r>
            <w:r>
              <w:rPr>
                <w:rFonts w:hint="eastAsia" w:ascii="宋体" w:hAnsi="宋体" w:eastAsia="宋体" w:cs="宋体"/>
                <w:i w:val="0"/>
                <w:iCs w:val="0"/>
                <w:color w:val="000000"/>
                <w:kern w:val="0"/>
                <w:sz w:val="21"/>
                <w:szCs w:val="21"/>
                <w:u w:val="none"/>
                <w:lang w:val="en-US" w:eastAsia="zh-CN" w:bidi="ar"/>
              </w:rPr>
              <w:t>）、下溪镇（</w:t>
            </w:r>
            <w:r>
              <w:rPr>
                <w:rStyle w:val="696"/>
                <w:rFonts w:hint="eastAsia" w:ascii="宋体" w:hAnsi="宋体" w:eastAsia="宋体" w:cs="宋体"/>
                <w:sz w:val="21"/>
                <w:szCs w:val="21"/>
                <w:lang w:val="en-US" w:eastAsia="zh-CN" w:bidi="ar"/>
              </w:rPr>
              <w:t>金马村、孙家山村、共和街社区</w:t>
            </w:r>
            <w:r>
              <w:rPr>
                <w:rFonts w:hint="eastAsia" w:ascii="宋体" w:hAnsi="宋体" w:eastAsia="宋体" w:cs="宋体"/>
                <w:i w:val="0"/>
                <w:iCs w:val="0"/>
                <w:color w:val="000000"/>
                <w:kern w:val="0"/>
                <w:sz w:val="21"/>
                <w:szCs w:val="21"/>
                <w:u w:val="none"/>
                <w:lang w:val="en-US" w:eastAsia="zh-CN" w:bidi="ar"/>
              </w:rPr>
              <w:t>）</w:t>
            </w:r>
          </w:p>
        </w:tc>
        <w:tc>
          <w:tcPr>
            <w:tcW w:w="942"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1.2152</w:t>
            </w:r>
          </w:p>
        </w:tc>
        <w:tc>
          <w:tcPr>
            <w:tcW w:w="825"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3300"/>
                <w:sz w:val="21"/>
                <w:szCs w:val="21"/>
                <w:u w:val="none"/>
              </w:rPr>
            </w:pPr>
            <w:r>
              <w:rPr>
                <w:rFonts w:hint="eastAsia" w:ascii="宋体" w:hAnsi="宋体" w:eastAsia="宋体" w:cs="宋体"/>
                <w:i w:val="0"/>
                <w:iCs w:val="0"/>
                <w:color w:val="003300"/>
                <w:kern w:val="0"/>
                <w:sz w:val="21"/>
                <w:szCs w:val="21"/>
                <w:u w:val="none"/>
                <w:lang w:val="en-US" w:eastAsia="zh-CN" w:bidi="ar"/>
              </w:rPr>
              <w:t>2022</w:t>
            </w: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输水管网</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输水管</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1970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dn200PVC-O管</w:t>
            </w:r>
          </w:p>
        </w:tc>
        <w:tc>
          <w:tcPr>
            <w:tcW w:w="1814"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0" w:type="auto"/>
            <w:vMerge w:val="restart"/>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清水池</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清水池</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座</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500m</w:t>
            </w:r>
            <w:r>
              <w:rPr>
                <w:rFonts w:hint="eastAsia" w:ascii="宋体" w:hAnsi="宋体" w:eastAsia="宋体" w:cs="宋体"/>
                <w:i w:val="0"/>
                <w:iCs w:val="0"/>
                <w:color w:val="000000"/>
                <w:kern w:val="0"/>
                <w:sz w:val="21"/>
                <w:szCs w:val="21"/>
                <w:u w:val="none"/>
                <w:vertAlign w:val="superscript"/>
                <w:lang w:val="en-US" w:eastAsia="zh-CN" w:bidi="ar"/>
              </w:rPr>
              <w:t>3</w:t>
            </w:r>
          </w:p>
        </w:tc>
        <w:tc>
          <w:tcPr>
            <w:tcW w:w="1814"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nil"/>
              <w:right w:val="single" w:color="000000" w:sz="4" w:space="0"/>
            </w:tcBorders>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消毒设备</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814"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545"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配水管网</w:t>
            </w:r>
          </w:p>
        </w:tc>
        <w:tc>
          <w:tcPr>
            <w:tcW w:w="1620" w:type="dxa"/>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配水管</w:t>
            </w:r>
          </w:p>
        </w:tc>
        <w:tc>
          <w:tcPr>
            <w:tcW w:w="1304" w:type="dxa"/>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km</w:t>
            </w:r>
          </w:p>
        </w:tc>
        <w:tc>
          <w:tcPr>
            <w:tcW w:w="1140" w:type="dxa"/>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22665</w:t>
            </w:r>
          </w:p>
        </w:tc>
        <w:tc>
          <w:tcPr>
            <w:tcW w:w="0" w:type="auto"/>
            <w:tcBorders>
              <w:top w:val="nil"/>
              <w:left w:val="nil"/>
              <w:bottom w:val="nil"/>
              <w:right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钢管</w:t>
            </w:r>
          </w:p>
        </w:tc>
        <w:tc>
          <w:tcPr>
            <w:tcW w:w="1814"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545"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620" w:type="dxa"/>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配水管</w:t>
            </w:r>
          </w:p>
        </w:tc>
        <w:tc>
          <w:tcPr>
            <w:tcW w:w="1304" w:type="dxa"/>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km</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31805</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PVC-O、AGR</w:t>
            </w:r>
          </w:p>
        </w:tc>
        <w:tc>
          <w:tcPr>
            <w:tcW w:w="1814"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125"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雪口山片区供水工程</w:t>
            </w:r>
          </w:p>
        </w:tc>
        <w:tc>
          <w:tcPr>
            <w:tcW w:w="1200"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1820</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取水</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底格栏栅坝</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座</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L×B×H= 23×2×3.5 m</w:t>
            </w:r>
          </w:p>
        </w:tc>
        <w:tc>
          <w:tcPr>
            <w:tcW w:w="1814"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雪口山乡（</w:t>
            </w:r>
            <w:r>
              <w:rPr>
                <w:rStyle w:val="696"/>
                <w:rFonts w:hint="eastAsia" w:ascii="宋体" w:hAnsi="宋体" w:eastAsia="宋体" w:cs="宋体"/>
                <w:sz w:val="21"/>
                <w:szCs w:val="21"/>
                <w:lang w:val="en-US" w:eastAsia="zh-CN" w:bidi="ar"/>
              </w:rPr>
              <w:t>黎明村、羊店儿村、永兴村、谢家岩村、田儿</w:t>
            </w:r>
            <w:r>
              <w:rPr>
                <w:rFonts w:hint="eastAsia" w:ascii="宋体" w:hAnsi="宋体" w:eastAsia="宋体" w:cs="宋体"/>
                <w:i w:val="0"/>
                <w:iCs w:val="0"/>
                <w:color w:val="000000"/>
                <w:kern w:val="0"/>
                <w:sz w:val="21"/>
                <w:szCs w:val="21"/>
                <w:u w:val="none"/>
                <w:lang w:val="en-US" w:eastAsia="zh-CN" w:bidi="ar"/>
              </w:rPr>
              <w:t>塆</w:t>
            </w:r>
            <w:r>
              <w:rPr>
                <w:rStyle w:val="696"/>
                <w:rFonts w:hint="eastAsia" w:ascii="宋体" w:hAnsi="宋体" w:eastAsia="宋体" w:cs="宋体"/>
                <w:sz w:val="21"/>
                <w:szCs w:val="21"/>
                <w:lang w:val="en-US" w:eastAsia="zh-CN" w:bidi="ar"/>
              </w:rPr>
              <w:t>村</w:t>
            </w:r>
            <w:r>
              <w:rPr>
                <w:rFonts w:hint="eastAsia" w:ascii="宋体" w:hAnsi="宋体" w:eastAsia="宋体" w:cs="宋体"/>
                <w:i w:val="0"/>
                <w:iCs w:val="0"/>
                <w:color w:val="000000"/>
                <w:kern w:val="0"/>
                <w:sz w:val="21"/>
                <w:szCs w:val="21"/>
                <w:u w:val="none"/>
                <w:lang w:val="en-US" w:eastAsia="zh-CN" w:bidi="ar"/>
              </w:rPr>
              <w:t>）、下溪镇（</w:t>
            </w:r>
            <w:r>
              <w:rPr>
                <w:rStyle w:val="696"/>
                <w:rFonts w:hint="eastAsia" w:ascii="宋体" w:hAnsi="宋体" w:eastAsia="宋体" w:cs="宋体"/>
                <w:sz w:val="21"/>
                <w:szCs w:val="21"/>
                <w:lang w:val="en-US" w:eastAsia="zh-CN" w:bidi="ar"/>
              </w:rPr>
              <w:t>大池塘村、共和街社区、观音岩村</w:t>
            </w:r>
            <w:r>
              <w:rPr>
                <w:rFonts w:hint="eastAsia" w:ascii="宋体" w:hAnsi="宋体" w:eastAsia="宋体" w:cs="宋体"/>
                <w:i w:val="0"/>
                <w:iCs w:val="0"/>
                <w:color w:val="000000"/>
                <w:kern w:val="0"/>
                <w:sz w:val="21"/>
                <w:szCs w:val="21"/>
                <w:u w:val="none"/>
                <w:lang w:val="en-US" w:eastAsia="zh-CN" w:bidi="ar"/>
              </w:rPr>
              <w:t>）</w:t>
            </w:r>
          </w:p>
        </w:tc>
        <w:tc>
          <w:tcPr>
            <w:tcW w:w="942" w:type="dxa"/>
            <w:vMerge w:val="restart"/>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1.04</w:t>
            </w:r>
          </w:p>
        </w:tc>
        <w:tc>
          <w:tcPr>
            <w:tcW w:w="825"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3300"/>
                <w:sz w:val="21"/>
                <w:szCs w:val="21"/>
                <w:u w:val="none"/>
              </w:rPr>
            </w:pPr>
            <w:r>
              <w:rPr>
                <w:rFonts w:hint="eastAsia" w:ascii="宋体" w:hAnsi="宋体" w:eastAsia="宋体" w:cs="宋体"/>
                <w:i w:val="0"/>
                <w:iCs w:val="0"/>
                <w:color w:val="003300"/>
                <w:kern w:val="0"/>
                <w:sz w:val="21"/>
                <w:szCs w:val="21"/>
                <w:u w:val="none"/>
                <w:lang w:val="en-US" w:eastAsia="zh-CN" w:bidi="ar"/>
              </w:rPr>
              <w:t>2024</w:t>
            </w: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输水管网</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输水管</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0" w:type="auto"/>
            <w:tcBorders>
              <w:top w:val="nil"/>
              <w:left w:val="nil"/>
              <w:bottom w:val="nil"/>
              <w:right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405</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dn315mmPVC-O管</w:t>
            </w:r>
          </w:p>
        </w:tc>
        <w:tc>
          <w:tcPr>
            <w:tcW w:w="1814"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0" w:type="auto"/>
            <w:vMerge w:val="restart"/>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清水池</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清水池</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座</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800m</w:t>
            </w:r>
            <w:r>
              <w:rPr>
                <w:rFonts w:hint="eastAsia" w:ascii="宋体" w:hAnsi="宋体" w:eastAsia="宋体" w:cs="宋体"/>
                <w:i w:val="0"/>
                <w:iCs w:val="0"/>
                <w:color w:val="000000"/>
                <w:kern w:val="0"/>
                <w:sz w:val="21"/>
                <w:szCs w:val="21"/>
                <w:u w:val="none"/>
                <w:vertAlign w:val="superscript"/>
                <w:lang w:val="en-US" w:eastAsia="zh-CN" w:bidi="ar"/>
              </w:rPr>
              <w:t>3</w:t>
            </w:r>
          </w:p>
        </w:tc>
        <w:tc>
          <w:tcPr>
            <w:tcW w:w="1814"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nil"/>
              <w:right w:val="single" w:color="000000" w:sz="4" w:space="0"/>
            </w:tcBorders>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消毒设备</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814"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545" w:type="dxa"/>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配水管网</w:t>
            </w:r>
          </w:p>
        </w:tc>
        <w:tc>
          <w:tcPr>
            <w:tcW w:w="1620" w:type="dxa"/>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配水管</w:t>
            </w:r>
          </w:p>
        </w:tc>
        <w:tc>
          <w:tcPr>
            <w:tcW w:w="1304" w:type="dxa"/>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km</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45.19</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PVC-O、AGR</w:t>
            </w:r>
          </w:p>
        </w:tc>
        <w:tc>
          <w:tcPr>
            <w:tcW w:w="1814"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nil"/>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3300"/>
                <w:sz w:val="21"/>
                <w:szCs w:val="21"/>
                <w:u w:val="none"/>
              </w:rPr>
            </w:pPr>
            <w:r>
              <w:rPr>
                <w:rFonts w:hint="eastAsia" w:ascii="宋体" w:hAnsi="宋体" w:eastAsia="宋体" w:cs="宋体"/>
                <w:i w:val="0"/>
                <w:iCs w:val="0"/>
                <w:color w:val="003300"/>
                <w:kern w:val="0"/>
                <w:sz w:val="21"/>
                <w:szCs w:val="21"/>
                <w:u w:val="none"/>
                <w:lang w:val="en-US" w:eastAsia="zh-CN" w:bidi="ar"/>
              </w:rPr>
              <w:t>4</w:t>
            </w:r>
          </w:p>
        </w:tc>
        <w:tc>
          <w:tcPr>
            <w:tcW w:w="11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3300"/>
                <w:sz w:val="21"/>
                <w:szCs w:val="21"/>
                <w:u w:val="none"/>
              </w:rPr>
            </w:pPr>
            <w:r>
              <w:rPr>
                <w:rFonts w:hint="eastAsia" w:ascii="宋体" w:hAnsi="宋体" w:eastAsia="宋体" w:cs="宋体"/>
                <w:i w:val="0"/>
                <w:iCs w:val="0"/>
                <w:color w:val="003300"/>
                <w:kern w:val="0"/>
                <w:sz w:val="21"/>
                <w:szCs w:val="21"/>
                <w:u w:val="none"/>
                <w:lang w:val="en-US" w:eastAsia="zh-CN" w:bidi="ar"/>
              </w:rPr>
              <w:t>荣丁片区供水工程</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3300"/>
                <w:sz w:val="21"/>
                <w:szCs w:val="21"/>
                <w:u w:val="none"/>
              </w:rPr>
            </w:pPr>
            <w:r>
              <w:rPr>
                <w:rFonts w:hint="eastAsia" w:ascii="宋体" w:hAnsi="宋体" w:eastAsia="宋体" w:cs="宋体"/>
                <w:i w:val="0"/>
                <w:iCs w:val="0"/>
                <w:color w:val="003300"/>
                <w:kern w:val="0"/>
                <w:sz w:val="21"/>
                <w:szCs w:val="21"/>
                <w:u w:val="none"/>
                <w:lang w:val="en-US" w:eastAsia="zh-CN" w:bidi="ar"/>
              </w:rPr>
              <w:t>1640</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取水</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底格栏栅坝</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座</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L×B×H= 23×2×3.5 m和21×2×3.5 m</w:t>
            </w:r>
          </w:p>
        </w:tc>
        <w:tc>
          <w:tcPr>
            <w:tcW w:w="181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荣丁镇（解放街社区（含新华村）、裕坪村、新桥村、后池村）</w:t>
            </w:r>
          </w:p>
        </w:tc>
        <w:tc>
          <w:tcPr>
            <w:tcW w:w="942"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3300"/>
                <w:sz w:val="21"/>
                <w:szCs w:val="21"/>
                <w:u w:val="none"/>
              </w:rPr>
            </w:pPr>
            <w:r>
              <w:rPr>
                <w:rFonts w:hint="eastAsia" w:ascii="宋体" w:hAnsi="宋体" w:eastAsia="宋体" w:cs="宋体"/>
                <w:i w:val="0"/>
                <w:iCs w:val="0"/>
                <w:color w:val="003300"/>
                <w:kern w:val="0"/>
                <w:sz w:val="21"/>
                <w:szCs w:val="21"/>
                <w:u w:val="none"/>
                <w:lang w:val="en-US" w:eastAsia="zh-CN" w:bidi="ar"/>
              </w:rPr>
              <w:t>1.0101</w:t>
            </w:r>
          </w:p>
        </w:tc>
        <w:tc>
          <w:tcPr>
            <w:tcW w:w="825"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3300"/>
                <w:sz w:val="21"/>
                <w:szCs w:val="21"/>
                <w:u w:val="none"/>
              </w:rPr>
            </w:pPr>
            <w:r>
              <w:rPr>
                <w:rFonts w:hint="eastAsia" w:ascii="宋体" w:hAnsi="宋体" w:eastAsia="宋体" w:cs="宋体"/>
                <w:i w:val="0"/>
                <w:iCs w:val="0"/>
                <w:color w:val="003300"/>
                <w:kern w:val="0"/>
                <w:sz w:val="21"/>
                <w:szCs w:val="21"/>
                <w:u w:val="none"/>
                <w:lang w:val="en-US" w:eastAsia="zh-CN" w:bidi="ar"/>
              </w:rPr>
              <w:t>2023</w:t>
            </w:r>
          </w:p>
        </w:tc>
      </w:tr>
      <w:tr>
        <w:tblPrEx>
          <w:tblCellMar>
            <w:top w:w="0" w:type="dxa"/>
            <w:left w:w="108" w:type="dxa"/>
            <w:bottom w:w="0" w:type="dxa"/>
            <w:right w:w="108" w:type="dxa"/>
          </w:tblCellMar>
        </w:tblPrEx>
        <w:trPr>
          <w:trHeight w:val="499"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33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c>
          <w:tcPr>
            <w:tcW w:w="1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输水管网</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输水管</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2042</w:t>
            </w:r>
          </w:p>
        </w:tc>
        <w:tc>
          <w:tcPr>
            <w:tcW w:w="0" w:type="auto"/>
            <w:tcBorders>
              <w:top w:val="nil"/>
              <w:left w:val="nil"/>
              <w:bottom w:val="nil"/>
              <w:right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dn200mmpvc-0管</w:t>
            </w:r>
          </w:p>
        </w:tc>
        <w:tc>
          <w:tcPr>
            <w:tcW w:w="18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33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c>
          <w:tcPr>
            <w:tcW w:w="0" w:type="auto"/>
            <w:vMerge w:val="restart"/>
            <w:tcBorders>
              <w:top w:val="nil"/>
              <w:left w:val="single" w:color="000000" w:sz="4" w:space="0"/>
              <w:bottom w:val="nil"/>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厂区</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清水池</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座</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500m</w:t>
            </w:r>
            <w:r>
              <w:rPr>
                <w:rFonts w:hint="eastAsia" w:ascii="宋体" w:hAnsi="宋体" w:eastAsia="宋体" w:cs="宋体"/>
                <w:i w:val="0"/>
                <w:iCs w:val="0"/>
                <w:color w:val="000000"/>
                <w:kern w:val="0"/>
                <w:sz w:val="21"/>
                <w:szCs w:val="21"/>
                <w:u w:val="none"/>
                <w:vertAlign w:val="superscript"/>
                <w:lang w:val="en-US" w:eastAsia="zh-CN" w:bidi="ar"/>
              </w:rPr>
              <w:t>3</w:t>
            </w:r>
          </w:p>
        </w:tc>
        <w:tc>
          <w:tcPr>
            <w:tcW w:w="18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33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c>
          <w:tcPr>
            <w:tcW w:w="0" w:type="auto"/>
            <w:vMerge w:val="continue"/>
            <w:tcBorders>
              <w:top w:val="nil"/>
              <w:left w:val="single" w:color="000000" w:sz="4" w:space="0"/>
              <w:bottom w:val="nil"/>
              <w:right w:val="single" w:color="000000" w:sz="4" w:space="0"/>
            </w:tcBorders>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消毒设备</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0" w:type="auto"/>
            <w:tcBorders>
              <w:top w:val="nil"/>
              <w:left w:val="nil"/>
              <w:bottom w:val="nil"/>
              <w:right w:val="nil"/>
            </w:tcBorders>
            <w:noWrap/>
            <w:vAlign w:val="center"/>
          </w:tcPr>
          <w:p>
            <w:pPr>
              <w:jc w:val="center"/>
              <w:rPr>
                <w:rFonts w:hint="eastAsia" w:ascii="宋体" w:hAnsi="宋体" w:eastAsia="宋体" w:cs="宋体"/>
                <w:i w:val="0"/>
                <w:iCs w:val="0"/>
                <w:color w:val="003300"/>
                <w:sz w:val="21"/>
                <w:szCs w:val="21"/>
                <w:u w:val="none"/>
              </w:rPr>
            </w:pPr>
          </w:p>
        </w:tc>
        <w:tc>
          <w:tcPr>
            <w:tcW w:w="18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33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c>
          <w:tcPr>
            <w:tcW w:w="1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配水管网</w:t>
            </w:r>
          </w:p>
        </w:tc>
        <w:tc>
          <w:tcPr>
            <w:tcW w:w="1620" w:type="dxa"/>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配水管</w:t>
            </w:r>
          </w:p>
        </w:tc>
        <w:tc>
          <w:tcPr>
            <w:tcW w:w="1304" w:type="dxa"/>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km</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37.12</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PVC-O、AGR</w:t>
            </w:r>
          </w:p>
        </w:tc>
        <w:tc>
          <w:tcPr>
            <w:tcW w:w="18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1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苏坝片区供水工程</w:t>
            </w:r>
          </w:p>
        </w:tc>
        <w:tc>
          <w:tcPr>
            <w:tcW w:w="12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2000</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取水</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底格栏栅坝</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座</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81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苏坝镇（</w:t>
            </w:r>
            <w:r>
              <w:rPr>
                <w:rStyle w:val="696"/>
                <w:rFonts w:hint="eastAsia" w:ascii="宋体" w:hAnsi="宋体" w:eastAsia="宋体" w:cs="宋体"/>
                <w:sz w:val="21"/>
                <w:szCs w:val="21"/>
                <w:lang w:val="en-US" w:eastAsia="zh-CN" w:bidi="ar"/>
              </w:rPr>
              <w:t>袁家溪村、越胜村、苏坝场镇、周边社区及村庄</w:t>
            </w:r>
            <w:r>
              <w:rPr>
                <w:rFonts w:hint="eastAsia" w:ascii="宋体" w:hAnsi="宋体" w:eastAsia="宋体" w:cs="宋体"/>
                <w:i w:val="0"/>
                <w:iCs w:val="0"/>
                <w:color w:val="000000"/>
                <w:kern w:val="0"/>
                <w:sz w:val="21"/>
                <w:szCs w:val="21"/>
                <w:u w:val="none"/>
                <w:lang w:val="en-US" w:eastAsia="zh-CN" w:bidi="ar"/>
              </w:rPr>
              <w:t>）</w:t>
            </w:r>
          </w:p>
        </w:tc>
        <w:tc>
          <w:tcPr>
            <w:tcW w:w="94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1.15</w:t>
            </w:r>
          </w:p>
        </w:tc>
        <w:tc>
          <w:tcPr>
            <w:tcW w:w="825"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3300"/>
                <w:sz w:val="21"/>
                <w:szCs w:val="21"/>
                <w:u w:val="none"/>
              </w:rPr>
            </w:pPr>
            <w:r>
              <w:rPr>
                <w:rFonts w:hint="eastAsia" w:ascii="宋体" w:hAnsi="宋体" w:eastAsia="宋体" w:cs="宋体"/>
                <w:i w:val="0"/>
                <w:iCs w:val="0"/>
                <w:color w:val="003300"/>
                <w:kern w:val="0"/>
                <w:sz w:val="21"/>
                <w:szCs w:val="21"/>
                <w:u w:val="none"/>
                <w:lang w:val="en-US" w:eastAsia="zh-CN" w:bidi="ar"/>
              </w:rPr>
              <w:t>2024</w:t>
            </w: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输水管网</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输水管</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dn250PVC-O管</w:t>
            </w:r>
          </w:p>
        </w:tc>
        <w:tc>
          <w:tcPr>
            <w:tcW w:w="18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清水池</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清水池</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座</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500m</w:t>
            </w:r>
            <w:r>
              <w:rPr>
                <w:rFonts w:hint="eastAsia" w:ascii="宋体" w:hAnsi="宋体" w:eastAsia="宋体" w:cs="宋体"/>
                <w:i w:val="0"/>
                <w:iCs w:val="0"/>
                <w:color w:val="000000"/>
                <w:kern w:val="0"/>
                <w:sz w:val="21"/>
                <w:szCs w:val="21"/>
                <w:u w:val="none"/>
                <w:vertAlign w:val="superscript"/>
                <w:lang w:val="en-US" w:eastAsia="zh-CN" w:bidi="ar"/>
              </w:rPr>
              <w:t>3</w:t>
            </w:r>
          </w:p>
        </w:tc>
        <w:tc>
          <w:tcPr>
            <w:tcW w:w="18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消毒设备</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8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54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配水管网</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配水管</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km</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钢管</w:t>
            </w:r>
          </w:p>
        </w:tc>
        <w:tc>
          <w:tcPr>
            <w:tcW w:w="18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54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配水管</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km</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31952</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PVC-O、AGR</w:t>
            </w:r>
          </w:p>
        </w:tc>
        <w:tc>
          <w:tcPr>
            <w:tcW w:w="18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5" w:hRule="atLeast"/>
          <w:jc w:val="center"/>
        </w:trPr>
        <w:tc>
          <w:tcPr>
            <w:tcW w:w="50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1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民主工业园区供水工程</w:t>
            </w:r>
          </w:p>
        </w:tc>
        <w:tc>
          <w:tcPr>
            <w:tcW w:w="12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7500</w:t>
            </w:r>
          </w:p>
        </w:tc>
        <w:tc>
          <w:tcPr>
            <w:tcW w:w="154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取水</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底格栏栅坝</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座</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81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民主镇工业园区及周边农村</w:t>
            </w:r>
          </w:p>
        </w:tc>
        <w:tc>
          <w:tcPr>
            <w:tcW w:w="94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0.46</w:t>
            </w:r>
          </w:p>
        </w:tc>
        <w:tc>
          <w:tcPr>
            <w:tcW w:w="825"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3300"/>
                <w:sz w:val="21"/>
                <w:szCs w:val="21"/>
                <w:u w:val="none"/>
              </w:rPr>
            </w:pPr>
            <w:r>
              <w:rPr>
                <w:rFonts w:hint="eastAsia" w:ascii="宋体" w:hAnsi="宋体" w:eastAsia="宋体" w:cs="宋体"/>
                <w:i w:val="0"/>
                <w:iCs w:val="0"/>
                <w:color w:val="003300"/>
                <w:kern w:val="0"/>
                <w:sz w:val="21"/>
                <w:szCs w:val="21"/>
                <w:u w:val="none"/>
                <w:lang w:val="en-US" w:eastAsia="zh-CN" w:bidi="ar"/>
              </w:rPr>
              <w:t>2022</w:t>
            </w:r>
          </w:p>
        </w:tc>
      </w:tr>
      <w:tr>
        <w:tblPrEx>
          <w:tblCellMar>
            <w:top w:w="0" w:type="dxa"/>
            <w:left w:w="108" w:type="dxa"/>
            <w:bottom w:w="0" w:type="dxa"/>
            <w:right w:w="108" w:type="dxa"/>
          </w:tblCellMar>
        </w:tblPrEx>
        <w:trPr>
          <w:trHeight w:val="495" w:hRule="atLeast"/>
          <w:jc w:val="center"/>
        </w:trPr>
        <w:tc>
          <w:tcPr>
            <w:tcW w:w="50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54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3300"/>
                <w:sz w:val="21"/>
                <w:szCs w:val="21"/>
                <w:u w:val="none"/>
              </w:rPr>
            </w:pPr>
            <w:r>
              <w:rPr>
                <w:rFonts w:hint="eastAsia" w:ascii="宋体" w:hAnsi="宋体" w:eastAsia="宋体" w:cs="宋体"/>
                <w:i w:val="0"/>
                <w:iCs w:val="0"/>
                <w:color w:val="003300"/>
                <w:kern w:val="0"/>
                <w:sz w:val="21"/>
                <w:szCs w:val="21"/>
                <w:u w:val="none"/>
                <w:lang w:val="en-US" w:eastAsia="zh-CN" w:bidi="ar"/>
              </w:rPr>
              <w:t>取水泵房</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座</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3300"/>
                <w:sz w:val="21"/>
                <w:szCs w:val="21"/>
                <w:u w:val="none"/>
              </w:rPr>
            </w:pPr>
            <w:r>
              <w:rPr>
                <w:rFonts w:hint="eastAsia" w:ascii="宋体" w:hAnsi="宋体" w:eastAsia="宋体" w:cs="宋体"/>
                <w:i w:val="0"/>
                <w:iCs w:val="0"/>
                <w:color w:val="0033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c>
          <w:tcPr>
            <w:tcW w:w="18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5" w:hRule="atLeast"/>
          <w:jc w:val="center"/>
        </w:trPr>
        <w:tc>
          <w:tcPr>
            <w:tcW w:w="50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54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输水管网</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输水管</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10535</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钢管、PVC-O</w:t>
            </w:r>
          </w:p>
        </w:tc>
        <w:tc>
          <w:tcPr>
            <w:tcW w:w="18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5" w:hRule="atLeast"/>
          <w:jc w:val="center"/>
        </w:trPr>
        <w:tc>
          <w:tcPr>
            <w:tcW w:w="50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54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调节水池</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座</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200m</w:t>
            </w:r>
            <w:r>
              <w:rPr>
                <w:rFonts w:hint="eastAsia" w:ascii="宋体" w:hAnsi="宋体" w:eastAsia="宋体" w:cs="宋体"/>
                <w:i w:val="0"/>
                <w:iCs w:val="0"/>
                <w:color w:val="000000"/>
                <w:kern w:val="0"/>
                <w:sz w:val="21"/>
                <w:szCs w:val="21"/>
                <w:u w:val="none"/>
                <w:vertAlign w:val="superscript"/>
                <w:lang w:val="en-US" w:eastAsia="zh-CN" w:bidi="ar"/>
              </w:rPr>
              <w:t>3</w:t>
            </w:r>
          </w:p>
        </w:tc>
        <w:tc>
          <w:tcPr>
            <w:tcW w:w="18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54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厂区</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絮凝沉淀池</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座</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14.7×10.4×5.1</w:t>
            </w:r>
          </w:p>
        </w:tc>
        <w:tc>
          <w:tcPr>
            <w:tcW w:w="18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54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3300"/>
                <w:sz w:val="21"/>
                <w:szCs w:val="21"/>
                <w:u w:val="none"/>
              </w:rPr>
            </w:pPr>
            <w:r>
              <w:rPr>
                <w:rFonts w:hint="eastAsia" w:ascii="宋体" w:hAnsi="宋体" w:eastAsia="宋体" w:cs="宋体"/>
                <w:i w:val="0"/>
                <w:iCs w:val="0"/>
                <w:color w:val="003300"/>
                <w:kern w:val="0"/>
                <w:sz w:val="21"/>
                <w:szCs w:val="21"/>
                <w:u w:val="none"/>
                <w:lang w:val="en-US" w:eastAsia="zh-CN" w:bidi="ar"/>
              </w:rPr>
              <w:t>蓄水池</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座</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2000m</w:t>
            </w:r>
            <w:r>
              <w:rPr>
                <w:rFonts w:hint="eastAsia" w:ascii="宋体" w:hAnsi="宋体" w:eastAsia="宋体" w:cs="宋体"/>
                <w:i w:val="0"/>
                <w:iCs w:val="0"/>
                <w:color w:val="000000"/>
                <w:kern w:val="0"/>
                <w:sz w:val="21"/>
                <w:szCs w:val="21"/>
                <w:u w:val="none"/>
                <w:vertAlign w:val="superscript"/>
                <w:lang w:val="en-US" w:eastAsia="zh-CN" w:bidi="ar"/>
              </w:rPr>
              <w:t>3</w:t>
            </w:r>
          </w:p>
        </w:tc>
        <w:tc>
          <w:tcPr>
            <w:tcW w:w="18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54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清水池</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座</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200m</w:t>
            </w:r>
            <w:r>
              <w:rPr>
                <w:rFonts w:hint="eastAsia" w:ascii="宋体" w:hAnsi="宋体" w:eastAsia="宋体" w:cs="宋体"/>
                <w:i w:val="0"/>
                <w:iCs w:val="0"/>
                <w:color w:val="000000"/>
                <w:kern w:val="0"/>
                <w:sz w:val="21"/>
                <w:szCs w:val="21"/>
                <w:u w:val="none"/>
                <w:vertAlign w:val="superscript"/>
                <w:lang w:val="en-US" w:eastAsia="zh-CN" w:bidi="ar"/>
              </w:rPr>
              <w:t>3</w:t>
            </w:r>
          </w:p>
        </w:tc>
        <w:tc>
          <w:tcPr>
            <w:tcW w:w="18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54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超滤净水设备</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300m</w:t>
            </w:r>
            <w:r>
              <w:rPr>
                <w:rFonts w:hint="eastAsia" w:ascii="宋体" w:hAnsi="宋体" w:eastAsia="宋体" w:cs="宋体"/>
                <w:i w:val="0"/>
                <w:iCs w:val="0"/>
                <w:color w:val="000000"/>
                <w:kern w:val="0"/>
                <w:sz w:val="21"/>
                <w:szCs w:val="21"/>
                <w:u w:val="none"/>
                <w:vertAlign w:val="superscript"/>
                <w:lang w:val="en-US" w:eastAsia="zh-CN" w:bidi="ar"/>
              </w:rPr>
              <w:t>3</w:t>
            </w:r>
          </w:p>
        </w:tc>
        <w:tc>
          <w:tcPr>
            <w:tcW w:w="18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54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3300"/>
                <w:sz w:val="21"/>
                <w:szCs w:val="21"/>
                <w:u w:val="none"/>
              </w:rPr>
            </w:pPr>
            <w:r>
              <w:rPr>
                <w:rFonts w:hint="eastAsia" w:ascii="宋体" w:hAnsi="宋体" w:eastAsia="宋体" w:cs="宋体"/>
                <w:i w:val="0"/>
                <w:iCs w:val="0"/>
                <w:color w:val="003300"/>
                <w:kern w:val="0"/>
                <w:sz w:val="21"/>
                <w:szCs w:val="21"/>
                <w:u w:val="none"/>
                <w:lang w:val="en-US" w:eastAsia="zh-CN" w:bidi="ar"/>
              </w:rPr>
              <w:t>管理房</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座</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50m</w:t>
            </w:r>
            <w:r>
              <w:rPr>
                <w:rFonts w:hint="eastAsia" w:ascii="宋体" w:hAnsi="宋体" w:eastAsia="宋体" w:cs="宋体"/>
                <w:i w:val="0"/>
                <w:iCs w:val="0"/>
                <w:color w:val="000000"/>
                <w:kern w:val="0"/>
                <w:sz w:val="21"/>
                <w:szCs w:val="21"/>
                <w:u w:val="none"/>
                <w:vertAlign w:val="superscript"/>
                <w:lang w:val="en-US" w:eastAsia="zh-CN" w:bidi="ar"/>
              </w:rPr>
              <w:t>2</w:t>
            </w:r>
          </w:p>
        </w:tc>
        <w:tc>
          <w:tcPr>
            <w:tcW w:w="18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r>
        <w:tblPrEx>
          <w:tblCellMar>
            <w:top w:w="0" w:type="dxa"/>
            <w:left w:w="108" w:type="dxa"/>
            <w:bottom w:w="0" w:type="dxa"/>
            <w:right w:w="108" w:type="dxa"/>
          </w:tblCellMar>
        </w:tblPrEx>
        <w:trPr>
          <w:trHeight w:val="499" w:hRule="atLeast"/>
          <w:jc w:val="center"/>
        </w:trPr>
        <w:tc>
          <w:tcPr>
            <w:tcW w:w="509"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1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2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54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送水泵房</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座</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8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50m</w:t>
            </w:r>
            <w:r>
              <w:rPr>
                <w:rFonts w:hint="eastAsia" w:ascii="宋体" w:hAnsi="宋体" w:eastAsia="宋体" w:cs="宋体"/>
                <w:i w:val="0"/>
                <w:iCs w:val="0"/>
                <w:color w:val="000000"/>
                <w:kern w:val="0"/>
                <w:sz w:val="21"/>
                <w:szCs w:val="21"/>
                <w:u w:val="none"/>
                <w:vertAlign w:val="superscript"/>
                <w:lang w:val="en-US" w:eastAsia="zh-CN" w:bidi="ar"/>
              </w:rPr>
              <w:t>2</w:t>
            </w:r>
          </w:p>
        </w:tc>
        <w:tc>
          <w:tcPr>
            <w:tcW w:w="181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94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1"/>
                <w:szCs w:val="21"/>
                <w:u w:val="none"/>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3300"/>
                <w:sz w:val="21"/>
                <w:szCs w:val="21"/>
                <w:u w:val="none"/>
              </w:rPr>
            </w:pPr>
          </w:p>
        </w:tc>
      </w:tr>
    </w:tbl>
    <w:p>
      <w:pPr>
        <w:rPr>
          <w:rFonts w:hint="eastAsia"/>
          <w:lang w:val="en-US" w:eastAsia="zh-CN"/>
        </w:rPr>
        <w:sectPr>
          <w:pgSz w:w="16838" w:h="11906" w:orient="landscape"/>
          <w:pgMar w:top="1588" w:right="1985" w:bottom="1588" w:left="1701" w:header="851" w:footer="1134" w:gutter="0"/>
          <w:cols w:space="720" w:num="1"/>
          <w:docGrid w:type="linesAndChars" w:linePitch="469" w:charSpace="512"/>
        </w:sectPr>
      </w:pPr>
    </w:p>
    <w:tbl>
      <w:tblPr>
        <w:tblStyle w:val="86"/>
        <w:tblW w:w="7570" w:type="dxa"/>
        <w:jc w:val="center"/>
        <w:tblLayout w:type="autofit"/>
        <w:tblCellMar>
          <w:top w:w="0" w:type="dxa"/>
          <w:left w:w="108" w:type="dxa"/>
          <w:bottom w:w="0" w:type="dxa"/>
          <w:right w:w="108" w:type="dxa"/>
        </w:tblCellMar>
      </w:tblPr>
      <w:tblGrid>
        <w:gridCol w:w="915"/>
        <w:gridCol w:w="1230"/>
        <w:gridCol w:w="1515"/>
        <w:gridCol w:w="2185"/>
        <w:gridCol w:w="1160"/>
        <w:gridCol w:w="565"/>
      </w:tblGrid>
      <w:tr>
        <w:tblPrEx>
          <w:tblCellMar>
            <w:top w:w="0" w:type="dxa"/>
            <w:left w:w="108" w:type="dxa"/>
            <w:bottom w:w="0" w:type="dxa"/>
            <w:right w:w="108" w:type="dxa"/>
          </w:tblCellMar>
        </w:tblPrEx>
        <w:trPr>
          <w:gridAfter w:val="1"/>
          <w:wAfter w:w="565" w:type="dxa"/>
          <w:trHeight w:val="660" w:hRule="atLeast"/>
          <w:jc w:val="center"/>
        </w:trPr>
        <w:tc>
          <w:tcPr>
            <w:tcW w:w="7005" w:type="dxa"/>
            <w:gridSpan w:val="5"/>
            <w:tcBorders>
              <w:top w:val="nil"/>
              <w:left w:val="nil"/>
              <w:bottom w:val="nil"/>
              <w:right w:val="nil"/>
            </w:tcBorders>
            <w:noWrap w:val="0"/>
            <w:vAlign w:val="center"/>
          </w:tcPr>
          <w:p>
            <w:pPr>
              <w:keepNext w:val="0"/>
              <w:keepLines w:val="0"/>
              <w:widowControl/>
              <w:suppressLineNumbers w:val="0"/>
              <w:jc w:val="center"/>
              <w:textAlignment w:val="center"/>
              <w:rPr>
                <w:rFonts w:ascii="仿宋_GB2312" w:hAnsi="宋体" w:eastAsia="仿宋_GB2312" w:cs="仿宋_GB2312"/>
                <w:b/>
                <w:bCs/>
                <w:i w:val="0"/>
                <w:iCs w:val="0"/>
                <w:color w:val="000000"/>
                <w:sz w:val="22"/>
                <w:szCs w:val="22"/>
                <w:u w:val="none"/>
              </w:rPr>
            </w:pPr>
            <w:r>
              <w:rPr>
                <w:rFonts w:hint="default" w:ascii="仿宋_GB2312" w:hAnsi="宋体" w:eastAsia="仿宋_GB2312" w:cs="仿宋_GB2312"/>
                <w:b/>
                <w:bCs/>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 xml:space="preserve"> </w:t>
            </w:r>
            <w:r>
              <w:rPr>
                <w:rFonts w:hint="eastAsia" w:ascii="宋体" w:hAnsi="宋体" w:eastAsia="宋体" w:cs="宋体"/>
                <w:b/>
                <w:bCs/>
                <w:i w:val="0"/>
                <w:iCs w:val="0"/>
                <w:color w:val="000000"/>
                <w:kern w:val="0"/>
                <w:sz w:val="22"/>
                <w:szCs w:val="22"/>
                <w:u w:val="none"/>
                <w:lang w:val="en-US" w:eastAsia="zh-CN" w:bidi="ar"/>
              </w:rPr>
              <w:t xml:space="preserve"> </w:t>
            </w:r>
            <w:r>
              <w:rPr>
                <w:rFonts w:hint="eastAsia" w:ascii="仿宋_GB2312" w:hAnsi="宋体" w:eastAsia="仿宋_GB2312" w:cs="仿宋_GB2312"/>
                <w:b/>
                <w:bCs/>
                <w:i w:val="0"/>
                <w:iCs w:val="0"/>
                <w:color w:val="000000"/>
                <w:kern w:val="0"/>
                <w:sz w:val="22"/>
                <w:szCs w:val="22"/>
                <w:u w:val="none"/>
                <w:lang w:val="en-US" w:eastAsia="zh-CN" w:bidi="ar"/>
              </w:rPr>
              <w:t>马边彝族自治县</w:t>
            </w:r>
            <w:r>
              <w:rPr>
                <w:rFonts w:hint="eastAsia" w:ascii="宋体" w:hAnsi="宋体" w:eastAsia="宋体" w:cs="宋体"/>
                <w:b/>
                <w:bCs/>
                <w:i w:val="0"/>
                <w:iCs w:val="0"/>
                <w:color w:val="000000"/>
                <w:kern w:val="0"/>
                <w:sz w:val="22"/>
                <w:szCs w:val="22"/>
                <w:u w:val="none"/>
                <w:lang w:val="en-US" w:eastAsia="zh-CN" w:bidi="ar"/>
              </w:rPr>
              <w:t>“十四五”水美新村建设规划分期实施计划表</w:t>
            </w:r>
          </w:p>
        </w:tc>
      </w:tr>
      <w:tr>
        <w:tblPrEx>
          <w:tblCellMar>
            <w:top w:w="0" w:type="dxa"/>
            <w:left w:w="108" w:type="dxa"/>
            <w:bottom w:w="0" w:type="dxa"/>
            <w:right w:w="108" w:type="dxa"/>
          </w:tblCellMar>
        </w:tblPrEx>
        <w:trPr>
          <w:trHeight w:val="1005" w:hRule="atLeast"/>
          <w:jc w:val="center"/>
        </w:trPr>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实施年度</w:t>
            </w:r>
          </w:p>
        </w:tc>
        <w:tc>
          <w:tcPr>
            <w:tcW w:w="1515" w:type="dxa"/>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所属乡镇</w:t>
            </w:r>
          </w:p>
        </w:tc>
        <w:tc>
          <w:tcPr>
            <w:tcW w:w="2185" w:type="dxa"/>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村名</w:t>
            </w:r>
          </w:p>
        </w:tc>
        <w:tc>
          <w:tcPr>
            <w:tcW w:w="1725" w:type="dxa"/>
            <w:gridSpan w:val="2"/>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覆盖人口</w:t>
            </w:r>
          </w:p>
        </w:tc>
      </w:tr>
      <w:tr>
        <w:tblPrEx>
          <w:tblCellMar>
            <w:top w:w="0" w:type="dxa"/>
            <w:left w:w="108" w:type="dxa"/>
            <w:bottom w:w="0" w:type="dxa"/>
            <w:right w:w="108" w:type="dxa"/>
          </w:tblCellMar>
        </w:tblPrEx>
        <w:trPr>
          <w:trHeight w:val="705" w:hRule="atLeast"/>
          <w:jc w:val="center"/>
        </w:trPr>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2021</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民主镇</w:t>
            </w:r>
          </w:p>
        </w:tc>
        <w:tc>
          <w:tcPr>
            <w:tcW w:w="21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龙秧坪村、小谷溪村</w:t>
            </w:r>
          </w:p>
        </w:tc>
        <w:tc>
          <w:tcPr>
            <w:tcW w:w="172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3781</w:t>
            </w:r>
          </w:p>
        </w:tc>
      </w:tr>
      <w:tr>
        <w:tblPrEx>
          <w:tblCellMar>
            <w:top w:w="0" w:type="dxa"/>
            <w:left w:w="108" w:type="dxa"/>
            <w:bottom w:w="0" w:type="dxa"/>
            <w:right w:w="108" w:type="dxa"/>
          </w:tblCellMar>
        </w:tblPrEx>
        <w:trPr>
          <w:trHeight w:val="825" w:hRule="atLeast"/>
          <w:jc w:val="center"/>
        </w:trPr>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2022</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民建镇</w:t>
            </w:r>
          </w:p>
        </w:tc>
        <w:tc>
          <w:tcPr>
            <w:tcW w:w="21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西城社区</w:t>
            </w:r>
          </w:p>
        </w:tc>
        <w:tc>
          <w:tcPr>
            <w:tcW w:w="172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2782</w:t>
            </w:r>
          </w:p>
        </w:tc>
      </w:tr>
      <w:tr>
        <w:tblPrEx>
          <w:tblCellMar>
            <w:top w:w="0" w:type="dxa"/>
            <w:left w:w="108" w:type="dxa"/>
            <w:bottom w:w="0" w:type="dxa"/>
            <w:right w:w="108" w:type="dxa"/>
          </w:tblCellMar>
        </w:tblPrEx>
        <w:trPr>
          <w:trHeight w:val="765" w:hRule="atLeast"/>
          <w:jc w:val="center"/>
        </w:trPr>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2023</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荣丁镇</w:t>
            </w:r>
          </w:p>
        </w:tc>
        <w:tc>
          <w:tcPr>
            <w:tcW w:w="21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新华村</w:t>
            </w:r>
          </w:p>
        </w:tc>
        <w:tc>
          <w:tcPr>
            <w:tcW w:w="172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2386</w:t>
            </w:r>
          </w:p>
        </w:tc>
      </w:tr>
      <w:tr>
        <w:tblPrEx>
          <w:tblCellMar>
            <w:top w:w="0" w:type="dxa"/>
            <w:left w:w="108" w:type="dxa"/>
            <w:bottom w:w="0" w:type="dxa"/>
            <w:right w:w="108" w:type="dxa"/>
          </w:tblCellMar>
        </w:tblPrEx>
        <w:trPr>
          <w:trHeight w:val="735" w:hRule="atLeast"/>
          <w:jc w:val="center"/>
        </w:trPr>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雪口山镇</w:t>
            </w:r>
          </w:p>
        </w:tc>
        <w:tc>
          <w:tcPr>
            <w:tcW w:w="21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黎明村、荍坝镇桃溪村</w:t>
            </w:r>
          </w:p>
        </w:tc>
        <w:tc>
          <w:tcPr>
            <w:tcW w:w="172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4490</w:t>
            </w:r>
          </w:p>
        </w:tc>
      </w:tr>
      <w:tr>
        <w:tblPrEx>
          <w:tblCellMar>
            <w:top w:w="0" w:type="dxa"/>
            <w:left w:w="108" w:type="dxa"/>
            <w:bottom w:w="0" w:type="dxa"/>
            <w:right w:w="108" w:type="dxa"/>
          </w:tblCellMar>
        </w:tblPrEx>
        <w:trPr>
          <w:trHeight w:val="795" w:hRule="atLeast"/>
          <w:jc w:val="center"/>
        </w:trPr>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三河口</w:t>
            </w:r>
          </w:p>
        </w:tc>
        <w:tc>
          <w:tcPr>
            <w:tcW w:w="21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先家普村</w:t>
            </w:r>
          </w:p>
        </w:tc>
        <w:tc>
          <w:tcPr>
            <w:tcW w:w="172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1476</w:t>
            </w:r>
          </w:p>
        </w:tc>
      </w:tr>
    </w:tbl>
    <w:p>
      <w:pPr>
        <w:pStyle w:val="2"/>
        <w:rPr>
          <w:rFonts w:hint="eastAsia"/>
          <w:lang w:val="en-US" w:eastAsia="zh-CN"/>
        </w:rPr>
      </w:pPr>
    </w:p>
    <w:p>
      <w:pPr>
        <w:rPr>
          <w:rFonts w:hint="default"/>
          <w:lang w:val="en-US" w:eastAsia="zh-CN"/>
        </w:rPr>
      </w:pPr>
    </w:p>
    <w:p>
      <w:pPr>
        <w:pStyle w:val="4"/>
        <w:spacing w:line="240" w:lineRule="auto"/>
        <w:jc w:val="center"/>
        <w:rPr>
          <w:rFonts w:eastAsia="黑体"/>
          <w:b w:val="0"/>
          <w:sz w:val="36"/>
          <w:szCs w:val="36"/>
        </w:rPr>
      </w:pPr>
      <w:r>
        <w:rPr>
          <w:rFonts w:eastAsia="黑体"/>
          <w:b w:val="0"/>
          <w:color w:val="FF0000"/>
          <w:sz w:val="36"/>
          <w:szCs w:val="36"/>
        </w:rPr>
        <w:br w:type="page"/>
      </w:r>
      <w:bookmarkStart w:id="75" w:name="_Toc36029020"/>
      <w:r>
        <w:rPr>
          <w:rFonts w:hint="eastAsia" w:eastAsia="黑体"/>
          <w:b w:val="0"/>
          <w:sz w:val="36"/>
          <w:szCs w:val="36"/>
          <w:lang w:val="en-US" w:eastAsia="zh-CN"/>
        </w:rPr>
        <w:t>5效益分析和环境影响评价</w:t>
      </w:r>
      <w:bookmarkEnd w:id="75"/>
    </w:p>
    <w:p>
      <w:pPr>
        <w:pStyle w:val="5"/>
        <w:rPr>
          <w:rFonts w:hint="default" w:ascii="Times New Roman" w:hAnsi="Times New Roman"/>
          <w:b w:val="0"/>
          <w:color w:val="auto"/>
          <w:sz w:val="30"/>
          <w:szCs w:val="30"/>
          <w:lang w:val="en-US" w:eastAsia="zh-CN"/>
        </w:rPr>
      </w:pPr>
      <w:r>
        <w:rPr>
          <w:rFonts w:hint="eastAsia" w:ascii="Times New Roman" w:hAnsi="Times New Roman"/>
          <w:b w:val="0"/>
          <w:color w:val="auto"/>
          <w:sz w:val="30"/>
          <w:szCs w:val="30"/>
          <w:lang w:val="en-US" w:eastAsia="zh-CN"/>
        </w:rPr>
        <w:t>5.1效益分析</w:t>
      </w:r>
    </w:p>
    <w:p>
      <w:pPr>
        <w:rPr>
          <w:rFonts w:hint="eastAsia" w:ascii="Times New Roman" w:hAnsi="Times New Roman" w:eastAsia="黑体" w:cs="Times New Roman"/>
          <w:color w:val="000000"/>
          <w:sz w:val="28"/>
          <w:szCs w:val="28"/>
          <w:lang w:val="en-US" w:eastAsia="zh-CN"/>
        </w:rPr>
      </w:pPr>
      <w:bookmarkStart w:id="76" w:name="_Toc36029029"/>
      <w:r>
        <w:rPr>
          <w:rFonts w:hint="eastAsia" w:ascii="Times New Roman" w:hAnsi="Times New Roman" w:eastAsia="黑体" w:cs="Times New Roman"/>
          <w:color w:val="000000"/>
          <w:sz w:val="28"/>
          <w:szCs w:val="28"/>
          <w:lang w:val="en-US" w:eastAsia="zh-CN"/>
        </w:rPr>
        <w:t>5.1.1经济效益分析</w:t>
      </w:r>
      <w:bookmarkEnd w:id="76"/>
    </w:p>
    <w:p>
      <w:pPr>
        <w:ind w:firstLine="544" w:firstLineChars="225"/>
      </w:pPr>
      <w:r>
        <w:t>解决农村</w:t>
      </w:r>
      <w:r>
        <w:rPr>
          <w:rFonts w:hint="eastAsia"/>
          <w:lang w:eastAsia="zh-CN"/>
        </w:rPr>
        <w:t>水利</w:t>
      </w:r>
      <w:r>
        <w:t>工程量大面广，项目分散，涉及千家万户。经济效益包括直接效益和间接效益两部分。</w:t>
      </w:r>
    </w:p>
    <w:p>
      <w:r>
        <w:t>1、直接效益</w:t>
      </w:r>
    </w:p>
    <w:p>
      <w:pPr>
        <w:ind w:firstLine="544" w:firstLineChars="225"/>
      </w:pPr>
      <w:r>
        <w:t>主要是指供水收益。由于本该工程是一项民生工程、安居工程，主要是解决农村饮水安全，按照薄利养水的原则收取水费，根据水价分析，得出水价直接效益如下：</w:t>
      </w:r>
    </w:p>
    <w:tbl>
      <w:tblPr>
        <w:tblStyle w:val="86"/>
        <w:tblW w:w="8235" w:type="dxa"/>
        <w:jc w:val="center"/>
        <w:tblLayout w:type="autofit"/>
        <w:tblCellMar>
          <w:top w:w="0" w:type="dxa"/>
          <w:left w:w="0" w:type="dxa"/>
          <w:bottom w:w="0" w:type="dxa"/>
          <w:right w:w="0" w:type="dxa"/>
        </w:tblCellMar>
      </w:tblPr>
      <w:tblGrid>
        <w:gridCol w:w="2445"/>
        <w:gridCol w:w="1830"/>
        <w:gridCol w:w="2070"/>
        <w:gridCol w:w="1890"/>
      </w:tblGrid>
      <w:tr>
        <w:tblPrEx>
          <w:tblCellMar>
            <w:top w:w="0" w:type="dxa"/>
            <w:left w:w="0" w:type="dxa"/>
            <w:bottom w:w="0" w:type="dxa"/>
            <w:right w:w="0" w:type="dxa"/>
          </w:tblCellMar>
        </w:tblPrEx>
        <w:trPr>
          <w:trHeight w:val="600" w:hRule="atLeast"/>
          <w:jc w:val="center"/>
        </w:trPr>
        <w:tc>
          <w:tcPr>
            <w:tcW w:w="8235" w:type="dxa"/>
            <w:gridSpan w:val="4"/>
            <w:tcBorders>
              <w:top w:val="nil"/>
              <w:left w:val="nil"/>
              <w:bottom w:val="single" w:color="000000" w:sz="12" w:space="0"/>
              <w:right w:val="nil"/>
            </w:tcBorders>
            <w:noWrap/>
            <w:tcMar>
              <w:top w:w="15" w:type="dxa"/>
              <w:left w:w="15" w:type="dxa"/>
              <w:right w:w="15" w:type="dxa"/>
            </w:tcMar>
            <w:vAlign w:val="center"/>
          </w:tcPr>
          <w:p>
            <w:pPr>
              <w:widowControl/>
              <w:jc w:val="center"/>
              <w:textAlignment w:val="center"/>
              <w:rPr>
                <w:b/>
                <w:color w:val="auto"/>
              </w:rPr>
            </w:pPr>
            <w:r>
              <w:rPr>
                <w:b/>
                <w:color w:val="auto"/>
                <w:kern w:val="0"/>
                <w:lang w:bidi="ar"/>
              </w:rPr>
              <w:t>供水水价收益计算表</w:t>
            </w:r>
          </w:p>
        </w:tc>
      </w:tr>
      <w:tr>
        <w:tblPrEx>
          <w:tblCellMar>
            <w:top w:w="0" w:type="dxa"/>
            <w:left w:w="0" w:type="dxa"/>
            <w:bottom w:w="0" w:type="dxa"/>
            <w:right w:w="0" w:type="dxa"/>
          </w:tblCellMar>
        </w:tblPrEx>
        <w:trPr>
          <w:trHeight w:val="600" w:hRule="atLeast"/>
          <w:jc w:val="center"/>
        </w:trPr>
        <w:tc>
          <w:tcPr>
            <w:tcW w:w="0" w:type="auto"/>
            <w:vMerge w:val="restart"/>
            <w:tcBorders>
              <w:top w:val="single" w:color="000000" w:sz="12" w:space="0"/>
              <w:left w:val="single" w:color="000000" w:sz="12"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工程类型</w:t>
            </w:r>
          </w:p>
        </w:tc>
        <w:tc>
          <w:tcPr>
            <w:tcW w:w="1830" w:type="dxa"/>
            <w:vMerge w:val="restart"/>
            <w:tcBorders>
              <w:top w:val="single" w:color="000000" w:sz="12" w:space="0"/>
              <w:left w:val="single" w:color="000000" w:sz="6" w:space="0"/>
              <w:bottom w:val="single" w:color="000000" w:sz="6" w:space="0"/>
              <w:right w:val="single" w:color="000000" w:sz="6" w:space="0"/>
            </w:tcBorders>
            <w:noWrap w:val="0"/>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销售水价（元/m3）</w:t>
            </w:r>
          </w:p>
        </w:tc>
        <w:tc>
          <w:tcPr>
            <w:tcW w:w="2070" w:type="dxa"/>
            <w:vMerge w:val="restart"/>
            <w:tcBorders>
              <w:top w:val="single" w:color="000000" w:sz="12" w:space="0"/>
              <w:left w:val="single" w:color="000000" w:sz="6" w:space="0"/>
              <w:bottom w:val="single" w:color="000000" w:sz="6" w:space="0"/>
              <w:right w:val="single" w:color="000000" w:sz="6" w:space="0"/>
            </w:tcBorders>
            <w:noWrap w:val="0"/>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供水水量（万m3/a）</w:t>
            </w:r>
          </w:p>
        </w:tc>
        <w:tc>
          <w:tcPr>
            <w:tcW w:w="1890" w:type="dxa"/>
            <w:vMerge w:val="restart"/>
            <w:tcBorders>
              <w:top w:val="single" w:color="000000" w:sz="12" w:space="0"/>
              <w:left w:val="single" w:color="000000" w:sz="6" w:space="0"/>
              <w:bottom w:val="single" w:color="000000" w:sz="6" w:space="0"/>
              <w:right w:val="single" w:color="000000" w:sz="12" w:space="0"/>
            </w:tcBorders>
            <w:noWrap w:val="0"/>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供水收益（万元/a）</w:t>
            </w:r>
          </w:p>
        </w:tc>
      </w:tr>
      <w:tr>
        <w:tblPrEx>
          <w:tblCellMar>
            <w:top w:w="0" w:type="dxa"/>
            <w:left w:w="0" w:type="dxa"/>
            <w:bottom w:w="0" w:type="dxa"/>
            <w:right w:w="0" w:type="dxa"/>
          </w:tblCellMar>
        </w:tblPrEx>
        <w:trPr>
          <w:trHeight w:val="600" w:hRule="atLeast"/>
          <w:jc w:val="center"/>
        </w:trPr>
        <w:tc>
          <w:tcPr>
            <w:tcW w:w="0" w:type="auto"/>
            <w:vMerge w:val="continue"/>
            <w:tcBorders>
              <w:top w:val="single" w:color="000000" w:sz="6" w:space="0"/>
              <w:left w:val="single" w:color="000000" w:sz="12" w:space="0"/>
              <w:bottom w:val="single" w:color="000000" w:sz="6" w:space="0"/>
              <w:right w:val="single" w:color="000000" w:sz="6" w:space="0"/>
            </w:tcBorders>
            <w:noWrap/>
            <w:tcMar>
              <w:top w:w="15" w:type="dxa"/>
              <w:left w:w="15" w:type="dxa"/>
              <w:right w:w="15" w:type="dxa"/>
            </w:tcMar>
            <w:vAlign w:val="center"/>
          </w:tcPr>
          <w:p>
            <w:pPr>
              <w:jc w:val="center"/>
              <w:rPr>
                <w:color w:val="auto"/>
                <w:sz w:val="20"/>
                <w:szCs w:val="20"/>
              </w:rPr>
            </w:pPr>
          </w:p>
        </w:tc>
        <w:tc>
          <w:tcPr>
            <w:tcW w:w="1830" w:type="dxa"/>
            <w:vMerge w:val="continue"/>
            <w:tcBorders>
              <w:top w:val="single" w:color="000000" w:sz="6" w:space="0"/>
              <w:left w:val="single" w:color="000000" w:sz="6" w:space="0"/>
              <w:bottom w:val="single" w:color="000000" w:sz="6" w:space="0"/>
              <w:right w:val="single" w:color="000000" w:sz="6" w:space="0"/>
            </w:tcBorders>
            <w:noWrap w:val="0"/>
            <w:tcMar>
              <w:top w:w="15" w:type="dxa"/>
              <w:left w:w="15" w:type="dxa"/>
              <w:right w:w="15" w:type="dxa"/>
            </w:tcMar>
            <w:vAlign w:val="center"/>
          </w:tcPr>
          <w:p>
            <w:pPr>
              <w:jc w:val="center"/>
              <w:rPr>
                <w:color w:val="auto"/>
                <w:sz w:val="20"/>
                <w:szCs w:val="20"/>
              </w:rPr>
            </w:pPr>
          </w:p>
        </w:tc>
        <w:tc>
          <w:tcPr>
            <w:tcW w:w="2070" w:type="dxa"/>
            <w:vMerge w:val="continue"/>
            <w:tcBorders>
              <w:top w:val="single" w:color="000000" w:sz="6" w:space="0"/>
              <w:left w:val="single" w:color="000000" w:sz="6" w:space="0"/>
              <w:bottom w:val="single" w:color="000000" w:sz="6" w:space="0"/>
              <w:right w:val="single" w:color="000000" w:sz="6" w:space="0"/>
            </w:tcBorders>
            <w:noWrap w:val="0"/>
            <w:tcMar>
              <w:top w:w="15" w:type="dxa"/>
              <w:left w:w="15" w:type="dxa"/>
              <w:right w:w="15" w:type="dxa"/>
            </w:tcMar>
            <w:vAlign w:val="center"/>
          </w:tcPr>
          <w:p>
            <w:pPr>
              <w:jc w:val="center"/>
              <w:rPr>
                <w:color w:val="auto"/>
                <w:sz w:val="20"/>
                <w:szCs w:val="20"/>
              </w:rPr>
            </w:pPr>
          </w:p>
        </w:tc>
        <w:tc>
          <w:tcPr>
            <w:tcW w:w="1890" w:type="dxa"/>
            <w:vMerge w:val="continue"/>
            <w:tcBorders>
              <w:top w:val="single" w:color="000000" w:sz="6" w:space="0"/>
              <w:left w:val="single" w:color="000000" w:sz="6" w:space="0"/>
              <w:bottom w:val="single" w:color="000000" w:sz="6" w:space="0"/>
              <w:right w:val="single" w:color="000000" w:sz="12" w:space="0"/>
            </w:tcBorders>
            <w:noWrap w:val="0"/>
            <w:tcMar>
              <w:top w:w="15" w:type="dxa"/>
              <w:left w:w="15" w:type="dxa"/>
              <w:right w:w="15" w:type="dxa"/>
            </w:tcMar>
            <w:vAlign w:val="center"/>
          </w:tcPr>
          <w:p>
            <w:pPr>
              <w:jc w:val="center"/>
              <w:rPr>
                <w:color w:val="auto"/>
                <w:sz w:val="20"/>
                <w:szCs w:val="20"/>
              </w:rPr>
            </w:pPr>
          </w:p>
        </w:tc>
      </w:tr>
      <w:tr>
        <w:tblPrEx>
          <w:tblCellMar>
            <w:top w:w="0" w:type="dxa"/>
            <w:left w:w="0" w:type="dxa"/>
            <w:bottom w:w="0" w:type="dxa"/>
            <w:right w:w="0" w:type="dxa"/>
          </w:tblCellMar>
        </w:tblPrEx>
        <w:trPr>
          <w:trHeight w:val="600" w:hRule="atLeast"/>
          <w:jc w:val="center"/>
        </w:trPr>
        <w:tc>
          <w:tcPr>
            <w:tcW w:w="2445" w:type="dxa"/>
            <w:tcBorders>
              <w:top w:val="single" w:color="000000" w:sz="6" w:space="0"/>
              <w:left w:val="single" w:color="000000" w:sz="12" w:space="0"/>
              <w:bottom w:val="single" w:color="000000" w:sz="6" w:space="0"/>
              <w:right w:val="single" w:color="000000" w:sz="6"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县城片区供水工程</w:t>
            </w:r>
          </w:p>
        </w:tc>
        <w:tc>
          <w:tcPr>
            <w:tcW w:w="1830"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1.97</w:t>
            </w:r>
          </w:p>
        </w:tc>
        <w:tc>
          <w:tcPr>
            <w:tcW w:w="2070"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267.67</w:t>
            </w:r>
          </w:p>
        </w:tc>
        <w:tc>
          <w:tcPr>
            <w:tcW w:w="1890" w:type="dxa"/>
            <w:tcBorders>
              <w:top w:val="single" w:color="000000" w:sz="6" w:space="0"/>
              <w:left w:val="single" w:color="000000" w:sz="6" w:space="0"/>
              <w:bottom w:val="single" w:color="000000" w:sz="6" w:space="0"/>
              <w:right w:val="single" w:color="000000" w:sz="12"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 xml:space="preserve">527.31 </w:t>
            </w:r>
          </w:p>
        </w:tc>
      </w:tr>
      <w:tr>
        <w:tblPrEx>
          <w:tblCellMar>
            <w:top w:w="0" w:type="dxa"/>
            <w:left w:w="0" w:type="dxa"/>
            <w:bottom w:w="0" w:type="dxa"/>
            <w:right w:w="0" w:type="dxa"/>
          </w:tblCellMar>
        </w:tblPrEx>
        <w:trPr>
          <w:trHeight w:val="600" w:hRule="atLeast"/>
          <w:jc w:val="center"/>
        </w:trPr>
        <w:tc>
          <w:tcPr>
            <w:tcW w:w="2445" w:type="dxa"/>
            <w:tcBorders>
              <w:top w:val="single" w:color="000000" w:sz="6" w:space="0"/>
              <w:left w:val="single" w:color="000000" w:sz="12" w:space="0"/>
              <w:bottom w:val="single" w:color="000000" w:sz="6" w:space="0"/>
              <w:right w:val="single" w:color="000000" w:sz="6"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大竹堡片区供水工程</w:t>
            </w:r>
          </w:p>
        </w:tc>
        <w:tc>
          <w:tcPr>
            <w:tcW w:w="1830"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1.53</w:t>
            </w:r>
          </w:p>
        </w:tc>
        <w:tc>
          <w:tcPr>
            <w:tcW w:w="2070"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52.32</w:t>
            </w:r>
          </w:p>
        </w:tc>
        <w:tc>
          <w:tcPr>
            <w:tcW w:w="1890" w:type="dxa"/>
            <w:tcBorders>
              <w:top w:val="single" w:color="000000" w:sz="6" w:space="0"/>
              <w:left w:val="single" w:color="000000" w:sz="6" w:space="0"/>
              <w:bottom w:val="single" w:color="000000" w:sz="6" w:space="0"/>
              <w:right w:val="single" w:color="000000" w:sz="12"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 xml:space="preserve">80.05 </w:t>
            </w:r>
          </w:p>
        </w:tc>
      </w:tr>
      <w:tr>
        <w:tblPrEx>
          <w:tblCellMar>
            <w:top w:w="0" w:type="dxa"/>
            <w:left w:w="0" w:type="dxa"/>
            <w:bottom w:w="0" w:type="dxa"/>
            <w:right w:w="0" w:type="dxa"/>
          </w:tblCellMar>
        </w:tblPrEx>
        <w:trPr>
          <w:trHeight w:val="600" w:hRule="atLeast"/>
          <w:jc w:val="center"/>
        </w:trPr>
        <w:tc>
          <w:tcPr>
            <w:tcW w:w="2445" w:type="dxa"/>
            <w:tcBorders>
              <w:top w:val="single" w:color="000000" w:sz="6" w:space="0"/>
              <w:left w:val="single" w:color="000000" w:sz="12" w:space="0"/>
              <w:bottom w:val="single" w:color="000000" w:sz="6" w:space="0"/>
              <w:right w:val="single" w:color="000000" w:sz="6"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雪口山片区供水工程</w:t>
            </w:r>
          </w:p>
        </w:tc>
        <w:tc>
          <w:tcPr>
            <w:tcW w:w="1830"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1.46</w:t>
            </w:r>
          </w:p>
        </w:tc>
        <w:tc>
          <w:tcPr>
            <w:tcW w:w="2070"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44.29</w:t>
            </w:r>
          </w:p>
        </w:tc>
        <w:tc>
          <w:tcPr>
            <w:tcW w:w="1890" w:type="dxa"/>
            <w:tcBorders>
              <w:top w:val="single" w:color="000000" w:sz="6" w:space="0"/>
              <w:left w:val="single" w:color="000000" w:sz="6" w:space="0"/>
              <w:bottom w:val="single" w:color="000000" w:sz="6" w:space="0"/>
              <w:right w:val="single" w:color="000000" w:sz="12"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 xml:space="preserve">64.66 </w:t>
            </w:r>
          </w:p>
        </w:tc>
      </w:tr>
      <w:tr>
        <w:tblPrEx>
          <w:tblCellMar>
            <w:top w:w="0" w:type="dxa"/>
            <w:left w:w="0" w:type="dxa"/>
            <w:bottom w:w="0" w:type="dxa"/>
            <w:right w:w="0" w:type="dxa"/>
          </w:tblCellMar>
        </w:tblPrEx>
        <w:trPr>
          <w:trHeight w:val="600" w:hRule="atLeast"/>
          <w:jc w:val="center"/>
        </w:trPr>
        <w:tc>
          <w:tcPr>
            <w:tcW w:w="2445" w:type="dxa"/>
            <w:tcBorders>
              <w:top w:val="single" w:color="000000" w:sz="6" w:space="0"/>
              <w:left w:val="single" w:color="000000" w:sz="12" w:space="0"/>
              <w:bottom w:val="single" w:color="000000" w:sz="6" w:space="0"/>
              <w:right w:val="single" w:color="000000" w:sz="6"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荣丁片区供水工程</w:t>
            </w:r>
          </w:p>
        </w:tc>
        <w:tc>
          <w:tcPr>
            <w:tcW w:w="1830"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1.97</w:t>
            </w:r>
          </w:p>
        </w:tc>
        <w:tc>
          <w:tcPr>
            <w:tcW w:w="2070"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39.91</w:t>
            </w:r>
          </w:p>
        </w:tc>
        <w:tc>
          <w:tcPr>
            <w:tcW w:w="1890" w:type="dxa"/>
            <w:tcBorders>
              <w:top w:val="single" w:color="000000" w:sz="6" w:space="0"/>
              <w:left w:val="single" w:color="000000" w:sz="6" w:space="0"/>
              <w:bottom w:val="single" w:color="000000" w:sz="6" w:space="0"/>
              <w:right w:val="single" w:color="000000" w:sz="12"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 xml:space="preserve">78.62 </w:t>
            </w:r>
          </w:p>
        </w:tc>
      </w:tr>
      <w:tr>
        <w:tblPrEx>
          <w:tblCellMar>
            <w:top w:w="0" w:type="dxa"/>
            <w:left w:w="0" w:type="dxa"/>
            <w:bottom w:w="0" w:type="dxa"/>
            <w:right w:w="0" w:type="dxa"/>
          </w:tblCellMar>
        </w:tblPrEx>
        <w:trPr>
          <w:trHeight w:val="600" w:hRule="atLeast"/>
          <w:jc w:val="center"/>
        </w:trPr>
        <w:tc>
          <w:tcPr>
            <w:tcW w:w="2445" w:type="dxa"/>
            <w:tcBorders>
              <w:top w:val="single" w:color="000000" w:sz="6" w:space="0"/>
              <w:left w:val="single" w:color="000000" w:sz="12" w:space="0"/>
              <w:bottom w:val="single" w:color="000000" w:sz="6" w:space="0"/>
              <w:right w:val="single" w:color="000000" w:sz="6"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default" w:eastAsia="宋体"/>
                <w:color w:val="auto"/>
                <w:kern w:val="0"/>
                <w:sz w:val="20"/>
                <w:szCs w:val="20"/>
                <w:lang w:val="en-US" w:eastAsia="zh-CN" w:bidi="ar"/>
              </w:rPr>
            </w:pPr>
            <w:r>
              <w:rPr>
                <w:rFonts w:hint="eastAsia" w:ascii="宋体" w:hAnsi="宋体" w:eastAsia="宋体" w:cs="宋体"/>
                <w:i w:val="0"/>
                <w:iCs w:val="0"/>
                <w:color w:val="auto"/>
                <w:kern w:val="0"/>
                <w:sz w:val="20"/>
                <w:szCs w:val="20"/>
                <w:u w:val="none"/>
                <w:lang w:val="en-US" w:eastAsia="zh-CN" w:bidi="ar"/>
              </w:rPr>
              <w:t>民主工业园区供水工程</w:t>
            </w:r>
          </w:p>
        </w:tc>
        <w:tc>
          <w:tcPr>
            <w:tcW w:w="1830"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center"/>
              <w:textAlignment w:val="center"/>
              <w:rPr>
                <w:color w:val="auto"/>
                <w:kern w:val="0"/>
                <w:sz w:val="20"/>
                <w:szCs w:val="20"/>
                <w:lang w:bidi="ar"/>
              </w:rPr>
            </w:pPr>
            <w:r>
              <w:rPr>
                <w:rFonts w:hint="eastAsia" w:ascii="宋体" w:hAnsi="宋体" w:eastAsia="宋体" w:cs="宋体"/>
                <w:i w:val="0"/>
                <w:iCs w:val="0"/>
                <w:color w:val="auto"/>
                <w:kern w:val="0"/>
                <w:sz w:val="20"/>
                <w:szCs w:val="20"/>
                <w:u w:val="none"/>
                <w:lang w:val="en-US" w:eastAsia="zh-CN" w:bidi="ar"/>
              </w:rPr>
              <w:t>1.61</w:t>
            </w:r>
          </w:p>
        </w:tc>
        <w:tc>
          <w:tcPr>
            <w:tcW w:w="2070"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center"/>
              <w:textAlignment w:val="center"/>
              <w:rPr>
                <w:color w:val="auto"/>
                <w:kern w:val="0"/>
                <w:sz w:val="20"/>
                <w:szCs w:val="20"/>
                <w:lang w:bidi="ar"/>
              </w:rPr>
            </w:pPr>
            <w:r>
              <w:rPr>
                <w:rFonts w:hint="eastAsia" w:ascii="宋体" w:hAnsi="宋体" w:eastAsia="宋体" w:cs="宋体"/>
                <w:i w:val="0"/>
                <w:iCs w:val="0"/>
                <w:color w:val="auto"/>
                <w:kern w:val="0"/>
                <w:sz w:val="20"/>
                <w:szCs w:val="20"/>
                <w:u w:val="none"/>
                <w:lang w:val="en-US" w:eastAsia="zh-CN" w:bidi="ar"/>
              </w:rPr>
              <w:t>221.59</w:t>
            </w:r>
          </w:p>
        </w:tc>
        <w:tc>
          <w:tcPr>
            <w:tcW w:w="1890" w:type="dxa"/>
            <w:tcBorders>
              <w:top w:val="single" w:color="000000" w:sz="6" w:space="0"/>
              <w:left w:val="single" w:color="000000" w:sz="6" w:space="0"/>
              <w:bottom w:val="single" w:color="000000" w:sz="6" w:space="0"/>
              <w:right w:val="single" w:color="000000" w:sz="12" w:space="0"/>
            </w:tcBorders>
            <w:noWrap/>
            <w:tcMar>
              <w:top w:w="15" w:type="dxa"/>
              <w:left w:w="15" w:type="dxa"/>
              <w:right w:w="15" w:type="dxa"/>
            </w:tcMar>
            <w:vAlign w:val="center"/>
          </w:tcPr>
          <w:p>
            <w:pPr>
              <w:keepNext w:val="0"/>
              <w:keepLines w:val="0"/>
              <w:widowControl/>
              <w:suppressLineNumbers w:val="0"/>
              <w:jc w:val="center"/>
              <w:textAlignment w:val="center"/>
              <w:rPr>
                <w:color w:val="auto"/>
                <w:kern w:val="0"/>
                <w:sz w:val="20"/>
                <w:szCs w:val="20"/>
                <w:lang w:bidi="ar"/>
              </w:rPr>
            </w:pPr>
            <w:r>
              <w:rPr>
                <w:rFonts w:hint="eastAsia" w:ascii="宋体" w:hAnsi="宋体" w:eastAsia="宋体" w:cs="宋体"/>
                <w:i w:val="0"/>
                <w:iCs w:val="0"/>
                <w:color w:val="auto"/>
                <w:kern w:val="0"/>
                <w:sz w:val="20"/>
                <w:szCs w:val="20"/>
                <w:u w:val="none"/>
                <w:lang w:val="en-US" w:eastAsia="zh-CN" w:bidi="ar"/>
              </w:rPr>
              <w:t xml:space="preserve">356.76 </w:t>
            </w:r>
          </w:p>
        </w:tc>
      </w:tr>
      <w:tr>
        <w:tblPrEx>
          <w:tblCellMar>
            <w:top w:w="0" w:type="dxa"/>
            <w:left w:w="0" w:type="dxa"/>
            <w:bottom w:w="0" w:type="dxa"/>
            <w:right w:w="0" w:type="dxa"/>
          </w:tblCellMar>
        </w:tblPrEx>
        <w:trPr>
          <w:trHeight w:val="600" w:hRule="atLeast"/>
          <w:jc w:val="center"/>
        </w:trPr>
        <w:tc>
          <w:tcPr>
            <w:tcW w:w="2445" w:type="dxa"/>
            <w:tcBorders>
              <w:top w:val="single" w:color="000000" w:sz="6" w:space="0"/>
              <w:left w:val="single" w:color="000000" w:sz="12" w:space="0"/>
              <w:bottom w:val="single" w:color="000000" w:sz="6" w:space="0"/>
              <w:right w:val="single" w:color="000000" w:sz="6"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default" w:eastAsia="宋体"/>
                <w:color w:val="auto"/>
                <w:kern w:val="0"/>
                <w:sz w:val="20"/>
                <w:szCs w:val="20"/>
                <w:lang w:val="en-US" w:eastAsia="zh-CN" w:bidi="ar"/>
              </w:rPr>
            </w:pPr>
            <w:r>
              <w:rPr>
                <w:rFonts w:hint="eastAsia" w:ascii="宋体" w:hAnsi="宋体" w:eastAsia="宋体" w:cs="宋体"/>
                <w:i w:val="0"/>
                <w:iCs w:val="0"/>
                <w:color w:val="auto"/>
                <w:kern w:val="0"/>
                <w:sz w:val="20"/>
                <w:szCs w:val="20"/>
                <w:u w:val="none"/>
                <w:lang w:val="en-US" w:eastAsia="zh-CN" w:bidi="ar"/>
              </w:rPr>
              <w:t>苏坝片区供水工程</w:t>
            </w:r>
          </w:p>
        </w:tc>
        <w:tc>
          <w:tcPr>
            <w:tcW w:w="1830"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center"/>
              <w:textAlignment w:val="center"/>
              <w:rPr>
                <w:color w:val="auto"/>
                <w:kern w:val="0"/>
                <w:sz w:val="20"/>
                <w:szCs w:val="20"/>
                <w:lang w:bidi="ar"/>
              </w:rPr>
            </w:pPr>
            <w:r>
              <w:rPr>
                <w:rFonts w:hint="eastAsia" w:ascii="宋体" w:hAnsi="宋体" w:eastAsia="宋体" w:cs="宋体"/>
                <w:i w:val="0"/>
                <w:iCs w:val="0"/>
                <w:color w:val="auto"/>
                <w:kern w:val="0"/>
                <w:sz w:val="20"/>
                <w:szCs w:val="20"/>
                <w:u w:val="none"/>
                <w:lang w:val="en-US" w:eastAsia="zh-CN" w:bidi="ar"/>
              </w:rPr>
              <w:t>1.48</w:t>
            </w:r>
          </w:p>
        </w:tc>
        <w:tc>
          <w:tcPr>
            <w:tcW w:w="2070"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center"/>
              <w:textAlignment w:val="center"/>
              <w:rPr>
                <w:color w:val="auto"/>
                <w:kern w:val="0"/>
                <w:sz w:val="20"/>
                <w:szCs w:val="20"/>
                <w:lang w:bidi="ar"/>
              </w:rPr>
            </w:pPr>
            <w:r>
              <w:rPr>
                <w:rFonts w:hint="eastAsia" w:ascii="宋体" w:hAnsi="宋体" w:eastAsia="宋体" w:cs="宋体"/>
                <w:i w:val="0"/>
                <w:iCs w:val="0"/>
                <w:color w:val="auto"/>
                <w:kern w:val="0"/>
                <w:sz w:val="20"/>
                <w:szCs w:val="20"/>
                <w:u w:val="none"/>
                <w:lang w:val="en-US" w:eastAsia="zh-CN" w:bidi="ar"/>
              </w:rPr>
              <w:t>48.67</w:t>
            </w:r>
          </w:p>
        </w:tc>
        <w:tc>
          <w:tcPr>
            <w:tcW w:w="1890" w:type="dxa"/>
            <w:tcBorders>
              <w:top w:val="single" w:color="000000" w:sz="6" w:space="0"/>
              <w:left w:val="single" w:color="000000" w:sz="6" w:space="0"/>
              <w:bottom w:val="single" w:color="000000" w:sz="6" w:space="0"/>
              <w:right w:val="single" w:color="000000" w:sz="12" w:space="0"/>
            </w:tcBorders>
            <w:noWrap/>
            <w:tcMar>
              <w:top w:w="15" w:type="dxa"/>
              <w:left w:w="15" w:type="dxa"/>
              <w:right w:w="15" w:type="dxa"/>
            </w:tcMar>
            <w:vAlign w:val="center"/>
          </w:tcPr>
          <w:p>
            <w:pPr>
              <w:keepNext w:val="0"/>
              <w:keepLines w:val="0"/>
              <w:widowControl/>
              <w:suppressLineNumbers w:val="0"/>
              <w:jc w:val="center"/>
              <w:textAlignment w:val="center"/>
              <w:rPr>
                <w:color w:val="auto"/>
                <w:kern w:val="0"/>
                <w:sz w:val="20"/>
                <w:szCs w:val="20"/>
                <w:lang w:bidi="ar"/>
              </w:rPr>
            </w:pPr>
            <w:r>
              <w:rPr>
                <w:rFonts w:hint="eastAsia" w:ascii="宋体" w:hAnsi="宋体" w:eastAsia="宋体" w:cs="宋体"/>
                <w:i w:val="0"/>
                <w:iCs w:val="0"/>
                <w:color w:val="auto"/>
                <w:kern w:val="0"/>
                <w:sz w:val="20"/>
                <w:szCs w:val="20"/>
                <w:u w:val="none"/>
                <w:lang w:val="en-US" w:eastAsia="zh-CN" w:bidi="ar"/>
              </w:rPr>
              <w:t xml:space="preserve">72.03 </w:t>
            </w:r>
          </w:p>
        </w:tc>
      </w:tr>
      <w:tr>
        <w:tblPrEx>
          <w:tblCellMar>
            <w:top w:w="0" w:type="dxa"/>
            <w:left w:w="0" w:type="dxa"/>
            <w:bottom w:w="0" w:type="dxa"/>
            <w:right w:w="0" w:type="dxa"/>
          </w:tblCellMar>
        </w:tblPrEx>
        <w:trPr>
          <w:trHeight w:val="600" w:hRule="atLeast"/>
          <w:jc w:val="center"/>
        </w:trPr>
        <w:tc>
          <w:tcPr>
            <w:tcW w:w="2445" w:type="dxa"/>
            <w:tcBorders>
              <w:top w:val="single" w:color="000000" w:sz="6" w:space="0"/>
              <w:left w:val="single" w:color="000000" w:sz="12" w:space="0"/>
              <w:bottom w:val="single" w:color="000000" w:sz="12" w:space="0"/>
              <w:right w:val="single" w:color="000000" w:sz="6" w:space="0"/>
            </w:tcBorders>
            <w:noWrap/>
            <w:tcMar>
              <w:top w:w="15" w:type="dxa"/>
              <w:left w:w="15" w:type="dxa"/>
              <w:right w:w="15" w:type="dxa"/>
            </w:tcMar>
            <w:vAlign w:val="center"/>
          </w:tcPr>
          <w:p>
            <w:pPr>
              <w:keepNext w:val="0"/>
              <w:keepLines w:val="0"/>
              <w:widowControl/>
              <w:suppressLineNumbers w:val="0"/>
              <w:jc w:val="center"/>
              <w:textAlignment w:val="center"/>
              <w:rPr>
                <w:color w:val="auto"/>
                <w:sz w:val="20"/>
                <w:szCs w:val="20"/>
              </w:rPr>
            </w:pPr>
            <w:r>
              <w:rPr>
                <w:rFonts w:hint="eastAsia" w:ascii="宋体" w:hAnsi="宋体" w:eastAsia="宋体" w:cs="宋体"/>
                <w:i w:val="0"/>
                <w:iCs w:val="0"/>
                <w:color w:val="auto"/>
                <w:kern w:val="0"/>
                <w:sz w:val="20"/>
                <w:szCs w:val="20"/>
                <w:u w:val="none"/>
                <w:lang w:val="en-US" w:eastAsia="zh-CN" w:bidi="ar"/>
              </w:rPr>
              <w:t>合计</w:t>
            </w:r>
          </w:p>
        </w:tc>
        <w:tc>
          <w:tcPr>
            <w:tcW w:w="1830" w:type="dxa"/>
            <w:tcBorders>
              <w:top w:val="single" w:color="000000" w:sz="6" w:space="0"/>
              <w:left w:val="single" w:color="000000" w:sz="6" w:space="0"/>
              <w:bottom w:val="single" w:color="000000" w:sz="12" w:space="0"/>
              <w:right w:val="single" w:color="000000" w:sz="6" w:space="0"/>
            </w:tcBorders>
            <w:noWrap/>
            <w:tcMar>
              <w:top w:w="15" w:type="dxa"/>
              <w:left w:w="15" w:type="dxa"/>
              <w:right w:w="15" w:type="dxa"/>
            </w:tcMar>
            <w:vAlign w:val="center"/>
          </w:tcPr>
          <w:p>
            <w:pPr>
              <w:jc w:val="center"/>
              <w:rPr>
                <w:color w:val="auto"/>
                <w:sz w:val="20"/>
                <w:szCs w:val="20"/>
              </w:rPr>
            </w:pPr>
          </w:p>
        </w:tc>
        <w:tc>
          <w:tcPr>
            <w:tcW w:w="2070" w:type="dxa"/>
            <w:tcBorders>
              <w:top w:val="single" w:color="000000" w:sz="6" w:space="0"/>
              <w:left w:val="single" w:color="000000" w:sz="6" w:space="0"/>
              <w:bottom w:val="single" w:color="000000" w:sz="12" w:space="0"/>
              <w:right w:val="single" w:color="000000" w:sz="6" w:space="0"/>
            </w:tcBorders>
            <w:noWrap/>
            <w:tcMar>
              <w:top w:w="15" w:type="dxa"/>
              <w:left w:w="15" w:type="dxa"/>
              <w:right w:w="15" w:type="dxa"/>
            </w:tcMar>
            <w:vAlign w:val="center"/>
          </w:tcPr>
          <w:p>
            <w:pPr>
              <w:keepNext w:val="0"/>
              <w:keepLines w:val="0"/>
              <w:widowControl/>
              <w:suppressLineNumbers w:val="0"/>
              <w:jc w:val="center"/>
              <w:textAlignment w:val="center"/>
              <w:rPr>
                <w:color w:val="auto"/>
                <w:sz w:val="20"/>
                <w:szCs w:val="20"/>
              </w:rPr>
            </w:pPr>
            <w:r>
              <w:rPr>
                <w:rFonts w:hint="eastAsia" w:ascii="宋体" w:hAnsi="宋体" w:eastAsia="宋体" w:cs="宋体"/>
                <w:i w:val="0"/>
                <w:iCs w:val="0"/>
                <w:color w:val="auto"/>
                <w:kern w:val="0"/>
                <w:sz w:val="20"/>
                <w:szCs w:val="20"/>
                <w:u w:val="none"/>
                <w:lang w:val="en-US" w:eastAsia="zh-CN" w:bidi="ar"/>
              </w:rPr>
              <w:t xml:space="preserve">674.45 </w:t>
            </w:r>
          </w:p>
        </w:tc>
        <w:tc>
          <w:tcPr>
            <w:tcW w:w="1890" w:type="dxa"/>
            <w:tcBorders>
              <w:top w:val="single" w:color="000000" w:sz="6" w:space="0"/>
              <w:left w:val="single" w:color="000000" w:sz="6" w:space="0"/>
              <w:bottom w:val="single" w:color="000000" w:sz="12" w:space="0"/>
              <w:right w:val="single" w:color="000000" w:sz="12" w:space="0"/>
            </w:tcBorders>
            <w:noWrap/>
            <w:tcMar>
              <w:top w:w="15" w:type="dxa"/>
              <w:left w:w="15" w:type="dxa"/>
              <w:right w:w="15" w:type="dxa"/>
            </w:tcMar>
            <w:vAlign w:val="center"/>
          </w:tcPr>
          <w:p>
            <w:pPr>
              <w:keepNext w:val="0"/>
              <w:keepLines w:val="0"/>
              <w:widowControl/>
              <w:suppressLineNumbers w:val="0"/>
              <w:jc w:val="center"/>
              <w:textAlignment w:val="center"/>
              <w:rPr>
                <w:color w:val="auto"/>
                <w:sz w:val="20"/>
                <w:szCs w:val="20"/>
              </w:rPr>
            </w:pPr>
            <w:r>
              <w:rPr>
                <w:rFonts w:hint="eastAsia" w:ascii="宋体" w:hAnsi="宋体" w:eastAsia="宋体" w:cs="宋体"/>
                <w:i w:val="0"/>
                <w:iCs w:val="0"/>
                <w:color w:val="auto"/>
                <w:kern w:val="0"/>
                <w:sz w:val="20"/>
                <w:szCs w:val="20"/>
                <w:u w:val="none"/>
                <w:lang w:val="en-US" w:eastAsia="zh-CN" w:bidi="ar"/>
              </w:rPr>
              <w:t xml:space="preserve">1179.44 </w:t>
            </w:r>
          </w:p>
        </w:tc>
      </w:tr>
    </w:tbl>
    <w:p>
      <w:pPr>
        <w:rPr>
          <w:color w:val="auto"/>
        </w:rPr>
      </w:pPr>
      <w:r>
        <w:rPr>
          <w:color w:val="auto"/>
        </w:rPr>
        <w:t>2、间接效益</w:t>
      </w:r>
    </w:p>
    <w:p>
      <w:pPr>
        <w:ind w:firstLine="544" w:firstLineChars="225"/>
        <w:rPr>
          <w:color w:val="auto"/>
        </w:rPr>
      </w:pPr>
      <w:r>
        <w:rPr>
          <w:color w:val="auto"/>
        </w:rPr>
        <w:t>本项目间接效益不易计算，可从以下几个方面来进行分析：减少农民医药费支出、节省劳动力、发展庭院（池园）经济（增加菜篮子和畜产量）所带来的收益。根据全县已解决饮水安全的农户的典型调查结果，具体分析如下：</w:t>
      </w:r>
    </w:p>
    <w:p>
      <w:pPr>
        <w:ind w:firstLine="544" w:firstLineChars="225"/>
        <w:rPr>
          <w:color w:val="auto"/>
        </w:rPr>
      </w:pPr>
      <w:r>
        <w:rPr>
          <w:color w:val="auto"/>
        </w:rPr>
        <w:t>1）、减少农民医药费支出</w:t>
      </w:r>
    </w:p>
    <w:p>
      <w:pPr>
        <w:ind w:firstLine="544" w:firstLineChars="225"/>
        <w:rPr>
          <w:color w:val="auto"/>
        </w:rPr>
      </w:pPr>
      <w:r>
        <w:rPr>
          <w:color w:val="auto"/>
        </w:rPr>
        <w:t>该项目的实施，使区内农民群众饮用上了清洁卫生水，一些疾病的发生率得到降低，农民在医药费方面的支出大大减少。根据对项目村饮水地区的农户的调查，项目区共计</w:t>
      </w:r>
      <w:r>
        <w:rPr>
          <w:rFonts w:hint="eastAsia"/>
          <w:color w:val="auto"/>
          <w:lang w:val="en-US" w:eastAsia="zh-CN"/>
        </w:rPr>
        <w:t>9.37</w:t>
      </w:r>
      <w:r>
        <w:rPr>
          <w:color w:val="auto"/>
        </w:rPr>
        <w:t>53万人，在解决了饮水安全问题后，可使疾病发生率降低25%。每人每年减少医药费支出20元，全部项目实施完成后，每年可减少医药费支出</w:t>
      </w:r>
      <w:r>
        <w:rPr>
          <w:rFonts w:hint="eastAsia"/>
          <w:color w:val="auto"/>
          <w:lang w:val="en-US" w:eastAsia="zh-CN"/>
        </w:rPr>
        <w:t>187.51</w:t>
      </w:r>
      <w:r>
        <w:rPr>
          <w:color w:val="auto"/>
        </w:rPr>
        <w:t>万元。</w:t>
      </w:r>
    </w:p>
    <w:p>
      <w:pPr>
        <w:ind w:firstLine="544" w:firstLineChars="225"/>
        <w:rPr>
          <w:color w:val="auto"/>
        </w:rPr>
      </w:pPr>
      <w:r>
        <w:rPr>
          <w:color w:val="auto"/>
        </w:rPr>
        <w:t>2）、节省劳动力</w:t>
      </w:r>
    </w:p>
    <w:p>
      <w:pPr>
        <w:ind w:firstLine="544" w:firstLineChars="225"/>
        <w:rPr>
          <w:color w:val="auto"/>
        </w:rPr>
      </w:pPr>
      <w:r>
        <w:rPr>
          <w:color w:val="auto"/>
        </w:rPr>
        <w:t>解决农村饮水安全项目的实施完成，可使缺水区广大农民群众从每天找水、挑水、背水的繁重体力劳动中解放出来，节省出来的劳动力可以从事其它生产劳动，促进地方经济的发展。根据对已解决农村饮水地区的农户的典型调查，在解决了饮水安全问题后，每人每年可节约挑水工日7个（可折合70元）。据调查，节省的劳动力中转化为经济效益的比例约为50%（人均35元），全部项目实施完成后，每年可节省挑水劳动工日的经济效益为</w:t>
      </w:r>
      <w:r>
        <w:rPr>
          <w:rFonts w:hint="eastAsia"/>
          <w:color w:val="auto"/>
          <w:lang w:val="en-US" w:eastAsia="zh-CN"/>
        </w:rPr>
        <w:t>328.14</w:t>
      </w:r>
      <w:r>
        <w:rPr>
          <w:color w:val="auto"/>
        </w:rPr>
        <w:t>万元。</w:t>
      </w:r>
    </w:p>
    <w:p>
      <w:pPr>
        <w:rPr>
          <w:rFonts w:eastAsia="黑体"/>
          <w:color w:val="auto"/>
          <w:sz w:val="28"/>
          <w:szCs w:val="28"/>
        </w:rPr>
      </w:pPr>
      <w:r>
        <w:rPr>
          <w:rFonts w:hint="eastAsia" w:eastAsia="黑体"/>
          <w:color w:val="auto"/>
          <w:sz w:val="28"/>
          <w:szCs w:val="28"/>
          <w:lang w:val="en-US" w:eastAsia="zh-CN"/>
        </w:rPr>
        <w:t>5.</w:t>
      </w:r>
      <w:r>
        <w:rPr>
          <w:rFonts w:eastAsia="黑体"/>
          <w:color w:val="auto"/>
          <w:sz w:val="28"/>
          <w:szCs w:val="28"/>
        </w:rPr>
        <w:t>1.2国民经济评价</w:t>
      </w:r>
    </w:p>
    <w:p>
      <w:pPr>
        <w:ind w:firstLine="450"/>
        <w:rPr>
          <w:color w:val="auto"/>
        </w:rPr>
      </w:pPr>
      <w:r>
        <w:rPr>
          <w:color w:val="auto"/>
        </w:rPr>
        <w:t>解决农村人口饮水安全工程，其工程费用表现为工程投资和运行期的运行费用，工程效益主要表现为供水直接收益、减少农民医药费支出、节省劳动力、发展庭园（池园）经济（增加菜蓝子和畜产量）所带来的收益。按照国民经济评价的有关要求，应采用影子价格来估算建设项目的费用和收益，但由于许多货物的影子价格不易确定，因此，在进行项目的费用和效益计算分析时采用的是现行的市场价格。</w:t>
      </w:r>
    </w:p>
    <w:p>
      <w:pPr>
        <w:ind w:firstLine="450"/>
        <w:rPr>
          <w:color w:val="auto"/>
        </w:rPr>
      </w:pPr>
      <w:r>
        <w:rPr>
          <w:color w:val="auto"/>
        </w:rPr>
        <w:t>1、工程投资估算</w:t>
      </w:r>
    </w:p>
    <w:p>
      <w:pPr>
        <w:ind w:firstLine="450"/>
        <w:rPr>
          <w:color w:val="auto"/>
        </w:rPr>
      </w:pPr>
      <w:r>
        <w:rPr>
          <w:color w:val="auto"/>
        </w:rPr>
        <w:t>本次解决农村饮水安全项目工程总投资为</w:t>
      </w:r>
      <w:r>
        <w:rPr>
          <w:rFonts w:hint="eastAsia"/>
          <w:color w:val="auto"/>
          <w:lang w:val="en-US" w:eastAsia="zh-CN"/>
        </w:rPr>
        <w:t>24642.19</w:t>
      </w:r>
      <w:r>
        <w:rPr>
          <w:color w:val="auto"/>
        </w:rPr>
        <w:t>万元。固定资产形成率取为85%，固定资产余值取为固定资产原值的4%，固定资产余值作为现金流入参加国民经济评价。</w:t>
      </w:r>
    </w:p>
    <w:p>
      <w:pPr>
        <w:ind w:firstLine="450"/>
        <w:rPr>
          <w:color w:val="auto"/>
        </w:rPr>
      </w:pPr>
      <w:r>
        <w:rPr>
          <w:color w:val="auto"/>
        </w:rPr>
        <w:t>2、年运行费</w:t>
      </w:r>
    </w:p>
    <w:p>
      <w:pPr>
        <w:ind w:firstLine="450"/>
        <w:rPr>
          <w:color w:val="auto"/>
        </w:rPr>
      </w:pPr>
      <w:r>
        <w:rPr>
          <w:color w:val="auto"/>
        </w:rPr>
        <w:t>解决农村人口饮水安全工程的年运行费主要包括动力（提水用电）费、维修养护费、药剂费、管理人员工资补助等费用，具体分析时主要参考了《全国乡镇供水2000年发展规划》中的有关参数指标。</w:t>
      </w:r>
    </w:p>
    <w:p>
      <w:pPr>
        <w:ind w:firstLine="450"/>
        <w:rPr>
          <w:color w:val="auto"/>
        </w:rPr>
      </w:pPr>
      <w:r>
        <w:rPr>
          <w:color w:val="auto"/>
        </w:rPr>
        <w:t>（1）动力费</w:t>
      </w:r>
    </w:p>
    <w:p>
      <w:pPr>
        <w:ind w:firstLine="450"/>
        <w:rPr>
          <w:color w:val="auto"/>
        </w:rPr>
      </w:pPr>
      <w:r>
        <w:rPr>
          <w:color w:val="auto"/>
        </w:rPr>
        <w:t>主要指泵站提水工程等的提水用电费用，可采用下式计算：</w:t>
      </w:r>
    </w:p>
    <w:p>
      <w:pPr>
        <w:ind w:firstLine="448"/>
        <w:rPr>
          <w:color w:val="auto"/>
        </w:rPr>
      </w:pPr>
      <w:r>
        <w:rPr>
          <w:color w:val="auto"/>
        </w:rPr>
        <w:t>年动力费=</w:t>
      </w:r>
      <w:r>
        <w:rPr>
          <w:color w:val="auto"/>
          <w:position w:val="-28"/>
        </w:rPr>
        <w:object>
          <v:shape id="_x0000_i1026" o:spt="75" type="#_x0000_t75" style="height:34pt;width:288pt;" o:ole="t" filled="f" o:preferrelative="t" stroked="f" coordsize="21600,21600">
            <v:path/>
            <v:fill on="f" alignshape="1" focussize="0,0"/>
            <v:stroke on="f"/>
            <v:imagedata r:id="rId21" o:title=""/>
            <o:lock v:ext="edit" aspectratio="t"/>
            <w10:wrap type="none"/>
            <w10:anchorlock/>
          </v:shape>
          <o:OLEObject Type="Embed" ProgID="Equation.3" ShapeID="_x0000_i1026" DrawAspect="Content" ObjectID="_1468075726" r:id="rId20">
            <o:LockedField>false</o:LockedField>
          </o:OLEObject>
        </w:object>
      </w:r>
    </w:p>
    <w:p>
      <w:pPr>
        <w:ind w:firstLine="450"/>
        <w:rPr>
          <w:color w:val="auto"/>
        </w:rPr>
      </w:pPr>
      <w:r>
        <w:rPr>
          <w:color w:val="auto"/>
        </w:rPr>
        <w:t>（2）维修养护费</w:t>
      </w:r>
    </w:p>
    <w:p>
      <w:pPr>
        <w:ind w:firstLine="450"/>
        <w:rPr>
          <w:color w:val="auto"/>
        </w:rPr>
      </w:pPr>
      <w:r>
        <w:rPr>
          <w:color w:val="auto"/>
        </w:rPr>
        <w:t>包括所有工程。年日常维修养护费取固定资产原值的1%，年大修费取固定资产原值的1.5%，合计取2.5%。</w:t>
      </w:r>
    </w:p>
    <w:p>
      <w:pPr>
        <w:ind w:firstLine="450"/>
        <w:rPr>
          <w:color w:val="auto"/>
        </w:rPr>
      </w:pPr>
      <w:r>
        <w:rPr>
          <w:color w:val="auto"/>
        </w:rPr>
        <w:t>（3）药剂费</w:t>
      </w:r>
    </w:p>
    <w:p>
      <w:pPr>
        <w:ind w:firstLine="450"/>
        <w:rPr>
          <w:color w:val="auto"/>
        </w:rPr>
      </w:pPr>
      <w:r>
        <w:rPr>
          <w:color w:val="auto"/>
        </w:rPr>
        <w:t>按处理每立方米原水所需药剂费0.075元作为计算指标。</w:t>
      </w:r>
    </w:p>
    <w:p>
      <w:pPr>
        <w:ind w:firstLine="450"/>
        <w:rPr>
          <w:color w:val="auto"/>
        </w:rPr>
      </w:pPr>
      <w:r>
        <w:rPr>
          <w:color w:val="auto"/>
        </w:rPr>
        <w:t>（4）管理人员工资补助</w:t>
      </w:r>
    </w:p>
    <w:p>
      <w:pPr>
        <w:ind w:firstLine="450"/>
        <w:rPr>
          <w:color w:val="auto"/>
        </w:rPr>
      </w:pPr>
      <w:r>
        <w:rPr>
          <w:color w:val="auto"/>
        </w:rPr>
        <w:t>供水工程配备</w:t>
      </w:r>
      <w:r>
        <w:rPr>
          <w:rFonts w:hint="eastAsia"/>
          <w:color w:val="auto"/>
        </w:rPr>
        <w:t>26</w:t>
      </w:r>
      <w:r>
        <w:rPr>
          <w:color w:val="auto"/>
        </w:rPr>
        <w:t>名管理人员，其补助标准为县城片区4000元/人·月，其他片区3000元/人·月计算。</w:t>
      </w:r>
    </w:p>
    <w:p>
      <w:pPr>
        <w:ind w:firstLine="450"/>
        <w:rPr>
          <w:color w:val="auto"/>
        </w:rPr>
      </w:pPr>
      <w:r>
        <w:rPr>
          <w:color w:val="auto"/>
        </w:rPr>
        <w:t>（5）水资源费</w:t>
      </w:r>
    </w:p>
    <w:p>
      <w:pPr>
        <w:ind w:firstLine="450"/>
        <w:rPr>
          <w:color w:val="auto"/>
        </w:rPr>
      </w:pPr>
      <w:r>
        <w:rPr>
          <w:color w:val="auto"/>
        </w:rPr>
        <w:t>按现行标准，水资源费收取标准为0.09元/m</w:t>
      </w:r>
      <w:r>
        <w:rPr>
          <w:color w:val="auto"/>
          <w:vertAlign w:val="superscript"/>
        </w:rPr>
        <w:t>3</w:t>
      </w:r>
      <w:r>
        <w:rPr>
          <w:color w:val="auto"/>
        </w:rPr>
        <w:t>。</w:t>
      </w:r>
    </w:p>
    <w:p>
      <w:pPr>
        <w:ind w:firstLine="450"/>
        <w:rPr>
          <w:color w:val="auto"/>
        </w:rPr>
      </w:pPr>
      <w:r>
        <w:rPr>
          <w:color w:val="auto"/>
        </w:rPr>
        <w:t>年运行费C1=动力费+维修养护费+药剂费+管理人员工资补助+水资源费=</w:t>
      </w:r>
      <w:r>
        <w:rPr>
          <w:rFonts w:hint="eastAsia"/>
          <w:color w:val="auto"/>
          <w:lang w:val="en-US" w:eastAsia="zh-CN"/>
        </w:rPr>
        <w:t>814.59</w:t>
      </w:r>
      <w:r>
        <w:rPr>
          <w:color w:val="auto"/>
        </w:rPr>
        <w:t>万元</w:t>
      </w:r>
    </w:p>
    <w:p>
      <w:pPr>
        <w:ind w:firstLine="450"/>
        <w:rPr>
          <w:color w:val="auto"/>
        </w:rPr>
      </w:pPr>
      <w:r>
        <w:rPr>
          <w:color w:val="auto"/>
        </w:rPr>
        <w:t>（三）效益计算</w:t>
      </w:r>
    </w:p>
    <w:p>
      <w:pPr>
        <w:ind w:firstLine="450"/>
        <w:rPr>
          <w:color w:val="auto"/>
        </w:rPr>
      </w:pPr>
      <w:r>
        <w:rPr>
          <w:color w:val="auto"/>
        </w:rPr>
        <w:t>本项目年效益为</w:t>
      </w:r>
      <w:r>
        <w:rPr>
          <w:rFonts w:hint="eastAsia"/>
          <w:color w:val="auto"/>
          <w:lang w:val="en-US" w:eastAsia="zh-CN"/>
        </w:rPr>
        <w:t>1179.44+187.51+328.14</w:t>
      </w:r>
      <w:r>
        <w:rPr>
          <w:color w:val="auto"/>
        </w:rPr>
        <w:t>=</w:t>
      </w:r>
      <w:r>
        <w:rPr>
          <w:rFonts w:hint="eastAsia"/>
          <w:color w:val="auto"/>
          <w:lang w:val="en-US" w:eastAsia="zh-CN"/>
        </w:rPr>
        <w:t>1695.09</w:t>
      </w:r>
      <w:r>
        <w:rPr>
          <w:color w:val="auto"/>
        </w:rPr>
        <w:t>万元。</w:t>
      </w:r>
    </w:p>
    <w:p>
      <w:pPr>
        <w:ind w:firstLine="450"/>
        <w:rPr>
          <w:color w:val="auto"/>
        </w:rPr>
      </w:pPr>
      <w:r>
        <w:rPr>
          <w:color w:val="auto"/>
        </w:rPr>
        <w:t>年净效益为</w:t>
      </w:r>
      <w:r>
        <w:rPr>
          <w:rFonts w:hint="eastAsia"/>
          <w:color w:val="auto"/>
          <w:lang w:val="en-US" w:eastAsia="zh-CN"/>
        </w:rPr>
        <w:t>1695.09-814.59</w:t>
      </w:r>
      <w:r>
        <w:rPr>
          <w:color w:val="auto"/>
        </w:rPr>
        <w:t>=</w:t>
      </w:r>
      <w:r>
        <w:rPr>
          <w:rFonts w:hint="eastAsia"/>
          <w:color w:val="auto"/>
          <w:lang w:val="en-US" w:eastAsia="zh-CN"/>
        </w:rPr>
        <w:t>880.5</w:t>
      </w:r>
      <w:r>
        <w:rPr>
          <w:color w:val="auto"/>
        </w:rPr>
        <w:t>万元</w:t>
      </w:r>
    </w:p>
    <w:p>
      <w:pPr>
        <w:rPr>
          <w:rFonts w:eastAsia="黑体"/>
          <w:color w:val="auto"/>
          <w:sz w:val="28"/>
          <w:szCs w:val="28"/>
        </w:rPr>
      </w:pPr>
      <w:r>
        <w:rPr>
          <w:rFonts w:hint="eastAsia" w:eastAsia="黑体"/>
          <w:color w:val="auto"/>
          <w:sz w:val="28"/>
          <w:szCs w:val="28"/>
          <w:lang w:val="en-US" w:eastAsia="zh-CN"/>
        </w:rPr>
        <w:t>5</w:t>
      </w:r>
      <w:r>
        <w:rPr>
          <w:rFonts w:eastAsia="黑体"/>
          <w:color w:val="auto"/>
          <w:sz w:val="28"/>
          <w:szCs w:val="28"/>
        </w:rPr>
        <w:t>.1.3国民经济评价</w:t>
      </w:r>
    </w:p>
    <w:p>
      <w:pPr>
        <w:ind w:firstLine="450"/>
        <w:rPr>
          <w:color w:val="auto"/>
        </w:rPr>
      </w:pPr>
      <w:r>
        <w:rPr>
          <w:color w:val="auto"/>
        </w:rPr>
        <w:t>解决农村人口饮水安全规划项目属于社会公益性质的水利建设项目。按照《水利建设项目经济评价规范》（SL72-94），社会折现率采用8%进行国民经济评价，但因本项目为公益性供水项目，社会折现率应降低，本次采用用3%。</w:t>
      </w:r>
    </w:p>
    <w:p>
      <w:pPr>
        <w:ind w:firstLine="484" w:firstLineChars="200"/>
        <w:rPr>
          <w:color w:val="auto"/>
        </w:rPr>
      </w:pPr>
      <w:r>
        <w:rPr>
          <w:color w:val="auto"/>
        </w:rPr>
        <w:t>按设计施工计划，该实施方案各项目建设工期4～6个月，设计使用年限15年（折旧年限约15年），假定年内各项费用与效益均发生在年未。计算基准点为2022年年末。经济现金流量如下：</w:t>
      </w:r>
    </w:p>
    <w:p>
      <w:pPr>
        <w:ind w:right="140" w:firstLine="242" w:firstLineChars="100"/>
        <w:rPr>
          <w:color w:val="FF0000"/>
        </w:rPr>
      </w:pPr>
      <w:r>
        <w:rPr>
          <w:color w:val="FF0000"/>
        </w:rPr>
        <w:t xml:space="preserve">                                                  </w:t>
      </w:r>
    </w:p>
    <w:p>
      <w:pPr>
        <w:rPr>
          <w:color w:val="FF0000"/>
        </w:rPr>
      </w:pPr>
    </w:p>
    <w:tbl>
      <w:tblPr>
        <w:tblStyle w:val="86"/>
        <w:tblW w:w="9097" w:type="dxa"/>
        <w:tblInd w:w="0" w:type="dxa"/>
        <w:tblLayout w:type="fixed"/>
        <w:tblCellMar>
          <w:top w:w="0" w:type="dxa"/>
          <w:left w:w="0" w:type="dxa"/>
          <w:bottom w:w="0" w:type="dxa"/>
          <w:right w:w="0" w:type="dxa"/>
        </w:tblCellMar>
      </w:tblPr>
      <w:tblGrid>
        <w:gridCol w:w="416"/>
        <w:gridCol w:w="1133"/>
        <w:gridCol w:w="1244"/>
        <w:gridCol w:w="1244"/>
        <w:gridCol w:w="1244"/>
        <w:gridCol w:w="458"/>
        <w:gridCol w:w="978"/>
        <w:gridCol w:w="978"/>
        <w:gridCol w:w="1239"/>
        <w:gridCol w:w="163"/>
      </w:tblGrid>
      <w:tr>
        <w:tblPrEx>
          <w:tblCellMar>
            <w:top w:w="0" w:type="dxa"/>
            <w:left w:w="0" w:type="dxa"/>
            <w:bottom w:w="0" w:type="dxa"/>
            <w:right w:w="0" w:type="dxa"/>
          </w:tblCellMar>
        </w:tblPrEx>
        <w:trPr>
          <w:gridAfter w:val="1"/>
          <w:wAfter w:w="163" w:type="dxa"/>
          <w:trHeight w:val="585" w:hRule="atLeast"/>
        </w:trPr>
        <w:tc>
          <w:tcPr>
            <w:tcW w:w="8934" w:type="dxa"/>
            <w:gridSpan w:val="9"/>
            <w:tcBorders>
              <w:top w:val="nil"/>
              <w:left w:val="nil"/>
              <w:bottom w:val="nil"/>
              <w:right w:val="nil"/>
            </w:tcBorders>
            <w:noWrap/>
            <w:tcMar>
              <w:top w:w="15" w:type="dxa"/>
              <w:left w:w="15" w:type="dxa"/>
              <w:right w:w="15" w:type="dxa"/>
            </w:tcMar>
            <w:vAlign w:val="center"/>
          </w:tcPr>
          <w:p>
            <w:pPr>
              <w:widowControl/>
              <w:jc w:val="center"/>
              <w:textAlignment w:val="center"/>
              <w:rPr>
                <w:b/>
                <w:color w:val="auto"/>
                <w:sz w:val="22"/>
                <w:szCs w:val="22"/>
              </w:rPr>
            </w:pPr>
            <w:r>
              <w:rPr>
                <w:rFonts w:eastAsia="黑体"/>
                <w:color w:val="auto"/>
              </w:rPr>
              <w:t>经济现金流量表</w:t>
            </w:r>
          </w:p>
        </w:tc>
      </w:tr>
      <w:tr>
        <w:tblPrEx>
          <w:tblCellMar>
            <w:top w:w="0" w:type="dxa"/>
            <w:left w:w="0" w:type="dxa"/>
            <w:bottom w:w="0" w:type="dxa"/>
            <w:right w:w="0" w:type="dxa"/>
          </w:tblCellMar>
        </w:tblPrEx>
        <w:trPr>
          <w:trHeight w:val="413" w:hRule="atLeast"/>
        </w:trPr>
        <w:tc>
          <w:tcPr>
            <w:tcW w:w="416" w:type="dxa"/>
            <w:tcBorders>
              <w:top w:val="nil"/>
              <w:left w:val="nil"/>
              <w:bottom w:val="single" w:color="000000" w:sz="12" w:space="0"/>
              <w:right w:val="nil"/>
            </w:tcBorders>
            <w:noWrap/>
            <w:tcMar>
              <w:top w:w="15" w:type="dxa"/>
              <w:left w:w="15" w:type="dxa"/>
              <w:right w:w="15" w:type="dxa"/>
            </w:tcMar>
            <w:vAlign w:val="center"/>
          </w:tcPr>
          <w:p>
            <w:pPr>
              <w:widowControl/>
              <w:jc w:val="center"/>
              <w:textAlignment w:val="center"/>
              <w:rPr>
                <w:color w:val="auto"/>
                <w:sz w:val="20"/>
                <w:szCs w:val="20"/>
              </w:rPr>
            </w:pPr>
          </w:p>
        </w:tc>
        <w:tc>
          <w:tcPr>
            <w:tcW w:w="1133" w:type="dxa"/>
            <w:tcBorders>
              <w:top w:val="nil"/>
              <w:left w:val="nil"/>
              <w:bottom w:val="single" w:color="000000" w:sz="12" w:space="0"/>
              <w:right w:val="nil"/>
            </w:tcBorders>
            <w:noWrap/>
            <w:tcMar>
              <w:top w:w="15" w:type="dxa"/>
              <w:left w:w="15" w:type="dxa"/>
              <w:right w:w="15" w:type="dxa"/>
            </w:tcMar>
            <w:vAlign w:val="center"/>
          </w:tcPr>
          <w:p>
            <w:pPr>
              <w:widowControl/>
              <w:jc w:val="left"/>
              <w:textAlignment w:val="center"/>
              <w:rPr>
                <w:color w:val="auto"/>
                <w:sz w:val="20"/>
                <w:szCs w:val="20"/>
              </w:rPr>
            </w:pPr>
          </w:p>
        </w:tc>
        <w:tc>
          <w:tcPr>
            <w:tcW w:w="1244" w:type="dxa"/>
            <w:tcBorders>
              <w:top w:val="nil"/>
              <w:left w:val="nil"/>
              <w:bottom w:val="single" w:color="000000" w:sz="12" w:space="0"/>
              <w:right w:val="nil"/>
            </w:tcBorders>
            <w:noWrap/>
            <w:tcMar>
              <w:top w:w="15" w:type="dxa"/>
              <w:left w:w="15" w:type="dxa"/>
              <w:right w:w="15" w:type="dxa"/>
            </w:tcMar>
            <w:vAlign w:val="center"/>
          </w:tcPr>
          <w:p>
            <w:pPr>
              <w:rPr>
                <w:color w:val="auto"/>
                <w:sz w:val="20"/>
                <w:szCs w:val="20"/>
              </w:rPr>
            </w:pPr>
          </w:p>
        </w:tc>
        <w:tc>
          <w:tcPr>
            <w:tcW w:w="1244" w:type="dxa"/>
            <w:tcBorders>
              <w:top w:val="nil"/>
              <w:left w:val="nil"/>
              <w:bottom w:val="single" w:color="000000" w:sz="12" w:space="0"/>
              <w:right w:val="nil"/>
            </w:tcBorders>
            <w:noWrap/>
            <w:tcMar>
              <w:top w:w="15" w:type="dxa"/>
              <w:left w:w="15" w:type="dxa"/>
              <w:right w:w="15" w:type="dxa"/>
            </w:tcMar>
            <w:vAlign w:val="center"/>
          </w:tcPr>
          <w:p>
            <w:pPr>
              <w:rPr>
                <w:color w:val="auto"/>
                <w:sz w:val="20"/>
                <w:szCs w:val="20"/>
              </w:rPr>
            </w:pPr>
          </w:p>
        </w:tc>
        <w:tc>
          <w:tcPr>
            <w:tcW w:w="1244" w:type="dxa"/>
            <w:tcBorders>
              <w:top w:val="nil"/>
              <w:left w:val="nil"/>
              <w:bottom w:val="single" w:color="000000" w:sz="12" w:space="0"/>
              <w:right w:val="nil"/>
            </w:tcBorders>
            <w:noWrap/>
            <w:tcMar>
              <w:top w:w="15" w:type="dxa"/>
              <w:left w:w="15" w:type="dxa"/>
              <w:right w:w="15" w:type="dxa"/>
            </w:tcMar>
            <w:vAlign w:val="center"/>
          </w:tcPr>
          <w:p>
            <w:pPr>
              <w:rPr>
                <w:color w:val="auto"/>
                <w:sz w:val="20"/>
                <w:szCs w:val="20"/>
              </w:rPr>
            </w:pPr>
          </w:p>
        </w:tc>
        <w:tc>
          <w:tcPr>
            <w:tcW w:w="458" w:type="dxa"/>
            <w:tcBorders>
              <w:top w:val="nil"/>
              <w:left w:val="nil"/>
              <w:bottom w:val="single" w:color="000000" w:sz="12" w:space="0"/>
              <w:right w:val="nil"/>
            </w:tcBorders>
            <w:noWrap/>
            <w:tcMar>
              <w:top w:w="15" w:type="dxa"/>
              <w:left w:w="15" w:type="dxa"/>
              <w:right w:w="15" w:type="dxa"/>
            </w:tcMar>
            <w:vAlign w:val="center"/>
          </w:tcPr>
          <w:p>
            <w:pPr>
              <w:rPr>
                <w:color w:val="auto"/>
                <w:sz w:val="20"/>
                <w:szCs w:val="20"/>
              </w:rPr>
            </w:pPr>
          </w:p>
        </w:tc>
        <w:tc>
          <w:tcPr>
            <w:tcW w:w="978" w:type="dxa"/>
            <w:tcBorders>
              <w:top w:val="nil"/>
              <w:left w:val="nil"/>
              <w:bottom w:val="single" w:color="000000" w:sz="12" w:space="0"/>
              <w:right w:val="nil"/>
            </w:tcBorders>
            <w:noWrap/>
            <w:tcMar>
              <w:top w:w="15" w:type="dxa"/>
              <w:left w:w="15" w:type="dxa"/>
              <w:right w:w="15" w:type="dxa"/>
            </w:tcMar>
            <w:vAlign w:val="center"/>
          </w:tcPr>
          <w:p>
            <w:pPr>
              <w:rPr>
                <w:color w:val="auto"/>
                <w:sz w:val="20"/>
                <w:szCs w:val="20"/>
              </w:rPr>
            </w:pPr>
          </w:p>
        </w:tc>
        <w:tc>
          <w:tcPr>
            <w:tcW w:w="978" w:type="dxa"/>
            <w:tcBorders>
              <w:top w:val="nil"/>
              <w:left w:val="nil"/>
              <w:bottom w:val="single" w:color="000000" w:sz="12" w:space="0"/>
              <w:right w:val="nil"/>
            </w:tcBorders>
            <w:noWrap/>
            <w:tcMar>
              <w:top w:w="15" w:type="dxa"/>
              <w:left w:w="15" w:type="dxa"/>
              <w:right w:w="15" w:type="dxa"/>
            </w:tcMar>
            <w:vAlign w:val="center"/>
          </w:tcPr>
          <w:p>
            <w:pPr>
              <w:rPr>
                <w:color w:val="auto"/>
                <w:sz w:val="20"/>
                <w:szCs w:val="20"/>
              </w:rPr>
            </w:pPr>
          </w:p>
        </w:tc>
        <w:tc>
          <w:tcPr>
            <w:tcW w:w="1402" w:type="dxa"/>
            <w:gridSpan w:val="2"/>
            <w:tcBorders>
              <w:top w:val="nil"/>
              <w:left w:val="nil"/>
              <w:bottom w:val="single" w:color="000000" w:sz="12" w:space="0"/>
              <w:right w:val="nil"/>
            </w:tcBorders>
            <w:noWrap/>
            <w:tcMar>
              <w:top w:w="15" w:type="dxa"/>
              <w:left w:w="15" w:type="dxa"/>
              <w:right w:w="15" w:type="dxa"/>
            </w:tcMar>
            <w:vAlign w:val="center"/>
          </w:tcPr>
          <w:p>
            <w:pPr>
              <w:widowControl/>
              <w:jc w:val="left"/>
              <w:textAlignment w:val="center"/>
              <w:rPr>
                <w:color w:val="auto"/>
                <w:sz w:val="20"/>
                <w:szCs w:val="20"/>
              </w:rPr>
            </w:pPr>
            <w:r>
              <w:rPr>
                <w:color w:val="auto"/>
              </w:rPr>
              <w:t xml:space="preserve">  单位：万元</w:t>
            </w:r>
          </w:p>
        </w:tc>
      </w:tr>
      <w:tr>
        <w:tblPrEx>
          <w:tblCellMar>
            <w:top w:w="0" w:type="dxa"/>
            <w:left w:w="0" w:type="dxa"/>
            <w:bottom w:w="0" w:type="dxa"/>
            <w:right w:w="0" w:type="dxa"/>
          </w:tblCellMar>
        </w:tblPrEx>
        <w:trPr>
          <w:trHeight w:val="421" w:hRule="atLeast"/>
        </w:trPr>
        <w:tc>
          <w:tcPr>
            <w:tcW w:w="416" w:type="dxa"/>
            <w:vMerge w:val="restart"/>
            <w:tcBorders>
              <w:top w:val="single" w:color="000000" w:sz="12" w:space="0"/>
              <w:left w:val="single" w:color="000000" w:sz="12"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序号</w:t>
            </w:r>
          </w:p>
        </w:tc>
        <w:tc>
          <w:tcPr>
            <w:tcW w:w="1133" w:type="dxa"/>
            <w:vMerge w:val="restart"/>
            <w:tcBorders>
              <w:top w:val="single" w:color="000000" w:sz="12" w:space="0"/>
              <w:left w:val="single" w:color="000000" w:sz="6" w:space="0"/>
              <w:bottom w:val="single" w:color="000000" w:sz="6" w:space="0"/>
              <w:right w:val="single" w:color="000000" w:sz="6" w:space="0"/>
            </w:tcBorders>
            <w:noWrap w:val="0"/>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项目</w:t>
            </w:r>
          </w:p>
        </w:tc>
        <w:tc>
          <w:tcPr>
            <w:tcW w:w="1244" w:type="dxa"/>
            <w:tcBorders>
              <w:top w:val="single" w:color="000000" w:sz="12" w:space="0"/>
              <w:left w:val="single" w:color="000000" w:sz="6"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建设期</w:t>
            </w:r>
          </w:p>
        </w:tc>
        <w:tc>
          <w:tcPr>
            <w:tcW w:w="1244" w:type="dxa"/>
            <w:tcBorders>
              <w:top w:val="single" w:color="000000" w:sz="12" w:space="0"/>
              <w:left w:val="single" w:color="000000" w:sz="6"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运行期</w:t>
            </w:r>
          </w:p>
        </w:tc>
        <w:tc>
          <w:tcPr>
            <w:tcW w:w="1244" w:type="dxa"/>
            <w:tcBorders>
              <w:top w:val="single" w:color="000000" w:sz="12" w:space="0"/>
              <w:left w:val="single" w:color="000000" w:sz="6" w:space="0"/>
              <w:bottom w:val="single" w:color="000000" w:sz="6" w:space="0"/>
              <w:right w:val="single" w:color="000000" w:sz="6" w:space="0"/>
            </w:tcBorders>
            <w:noWrap/>
            <w:tcMar>
              <w:top w:w="15" w:type="dxa"/>
              <w:left w:w="15" w:type="dxa"/>
              <w:right w:w="15" w:type="dxa"/>
            </w:tcMar>
            <w:vAlign w:val="center"/>
          </w:tcPr>
          <w:p>
            <w:pPr>
              <w:jc w:val="center"/>
              <w:rPr>
                <w:color w:val="auto"/>
                <w:sz w:val="20"/>
                <w:szCs w:val="20"/>
              </w:rPr>
            </w:pPr>
          </w:p>
        </w:tc>
        <w:tc>
          <w:tcPr>
            <w:tcW w:w="458" w:type="dxa"/>
            <w:tcBorders>
              <w:top w:val="single" w:color="000000" w:sz="12" w:space="0"/>
              <w:left w:val="single" w:color="000000" w:sz="6" w:space="0"/>
              <w:bottom w:val="single" w:color="000000" w:sz="6" w:space="0"/>
              <w:right w:val="single" w:color="000000" w:sz="6" w:space="0"/>
            </w:tcBorders>
            <w:noWrap/>
            <w:tcMar>
              <w:top w:w="15" w:type="dxa"/>
              <w:left w:w="15" w:type="dxa"/>
              <w:right w:w="15" w:type="dxa"/>
            </w:tcMar>
            <w:vAlign w:val="center"/>
          </w:tcPr>
          <w:p>
            <w:pPr>
              <w:jc w:val="center"/>
              <w:rPr>
                <w:color w:val="auto"/>
                <w:sz w:val="20"/>
                <w:szCs w:val="20"/>
              </w:rPr>
            </w:pPr>
          </w:p>
        </w:tc>
        <w:tc>
          <w:tcPr>
            <w:tcW w:w="978" w:type="dxa"/>
            <w:tcBorders>
              <w:top w:val="single" w:color="000000" w:sz="12" w:space="0"/>
              <w:left w:val="single" w:color="000000" w:sz="6" w:space="0"/>
              <w:bottom w:val="single" w:color="000000" w:sz="6" w:space="0"/>
              <w:right w:val="single" w:color="000000" w:sz="6" w:space="0"/>
            </w:tcBorders>
            <w:noWrap/>
            <w:tcMar>
              <w:top w:w="15" w:type="dxa"/>
              <w:left w:w="15" w:type="dxa"/>
              <w:right w:w="15" w:type="dxa"/>
            </w:tcMar>
            <w:vAlign w:val="center"/>
          </w:tcPr>
          <w:p>
            <w:pPr>
              <w:jc w:val="center"/>
              <w:rPr>
                <w:color w:val="auto"/>
                <w:sz w:val="20"/>
                <w:szCs w:val="20"/>
              </w:rPr>
            </w:pPr>
          </w:p>
        </w:tc>
        <w:tc>
          <w:tcPr>
            <w:tcW w:w="978" w:type="dxa"/>
            <w:tcBorders>
              <w:top w:val="single" w:color="000000" w:sz="12" w:space="0"/>
              <w:left w:val="single" w:color="000000" w:sz="6" w:space="0"/>
              <w:bottom w:val="single" w:color="000000" w:sz="6" w:space="0"/>
              <w:right w:val="single" w:color="000000" w:sz="6" w:space="0"/>
            </w:tcBorders>
            <w:noWrap/>
            <w:tcMar>
              <w:top w:w="15" w:type="dxa"/>
              <w:left w:w="15" w:type="dxa"/>
              <w:right w:w="15" w:type="dxa"/>
            </w:tcMar>
            <w:vAlign w:val="center"/>
          </w:tcPr>
          <w:p>
            <w:pPr>
              <w:jc w:val="center"/>
              <w:rPr>
                <w:color w:val="auto"/>
                <w:sz w:val="20"/>
                <w:szCs w:val="20"/>
              </w:rPr>
            </w:pPr>
          </w:p>
        </w:tc>
        <w:tc>
          <w:tcPr>
            <w:tcW w:w="1402" w:type="dxa"/>
            <w:gridSpan w:val="2"/>
            <w:tcBorders>
              <w:top w:val="single" w:color="000000" w:sz="12" w:space="0"/>
              <w:left w:val="single" w:color="000000" w:sz="6" w:space="0"/>
              <w:bottom w:val="single" w:color="000000" w:sz="6" w:space="0"/>
              <w:right w:val="single" w:color="000000" w:sz="12"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合计</w:t>
            </w:r>
          </w:p>
        </w:tc>
      </w:tr>
      <w:tr>
        <w:tblPrEx>
          <w:tblCellMar>
            <w:top w:w="0" w:type="dxa"/>
            <w:left w:w="0" w:type="dxa"/>
            <w:bottom w:w="0" w:type="dxa"/>
            <w:right w:w="0" w:type="dxa"/>
          </w:tblCellMar>
        </w:tblPrEx>
        <w:trPr>
          <w:trHeight w:val="421" w:hRule="atLeast"/>
        </w:trPr>
        <w:tc>
          <w:tcPr>
            <w:tcW w:w="416" w:type="dxa"/>
            <w:vMerge w:val="continue"/>
            <w:tcBorders>
              <w:top w:val="single" w:color="000000" w:sz="6" w:space="0"/>
              <w:left w:val="single" w:color="000000" w:sz="12" w:space="0"/>
              <w:bottom w:val="single" w:color="000000" w:sz="6" w:space="0"/>
              <w:right w:val="single" w:color="000000" w:sz="6" w:space="0"/>
            </w:tcBorders>
            <w:noWrap/>
            <w:tcMar>
              <w:top w:w="15" w:type="dxa"/>
              <w:left w:w="15" w:type="dxa"/>
              <w:right w:w="15" w:type="dxa"/>
            </w:tcMar>
            <w:vAlign w:val="center"/>
          </w:tcPr>
          <w:p>
            <w:pPr>
              <w:jc w:val="center"/>
              <w:rPr>
                <w:color w:val="auto"/>
                <w:sz w:val="20"/>
                <w:szCs w:val="20"/>
              </w:rPr>
            </w:pPr>
          </w:p>
        </w:tc>
        <w:tc>
          <w:tcPr>
            <w:tcW w:w="1133" w:type="dxa"/>
            <w:vMerge w:val="continue"/>
            <w:tcBorders>
              <w:top w:val="single" w:color="000000" w:sz="6" w:space="0"/>
              <w:left w:val="single" w:color="000000" w:sz="6" w:space="0"/>
              <w:bottom w:val="single" w:color="000000" w:sz="6" w:space="0"/>
              <w:right w:val="single" w:color="000000" w:sz="6" w:space="0"/>
            </w:tcBorders>
            <w:noWrap w:val="0"/>
            <w:tcMar>
              <w:top w:w="15" w:type="dxa"/>
              <w:left w:w="15" w:type="dxa"/>
              <w:right w:w="15" w:type="dxa"/>
            </w:tcMar>
            <w:vAlign w:val="center"/>
          </w:tcPr>
          <w:p>
            <w:pPr>
              <w:jc w:val="center"/>
              <w:rPr>
                <w:color w:val="auto"/>
                <w:sz w:val="20"/>
                <w:szCs w:val="20"/>
              </w:rPr>
            </w:pP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1</w:t>
            </w: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2</w:t>
            </w: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3</w:t>
            </w:r>
          </w:p>
        </w:tc>
        <w:tc>
          <w:tcPr>
            <w:tcW w:w="45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sz w:val="20"/>
                <w:szCs w:val="20"/>
              </w:rPr>
              <w:t>......</w:t>
            </w:r>
          </w:p>
        </w:tc>
        <w:tc>
          <w:tcPr>
            <w:tcW w:w="97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15</w:t>
            </w:r>
          </w:p>
        </w:tc>
        <w:tc>
          <w:tcPr>
            <w:tcW w:w="97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16</w:t>
            </w:r>
          </w:p>
        </w:tc>
        <w:tc>
          <w:tcPr>
            <w:tcW w:w="1402" w:type="dxa"/>
            <w:gridSpan w:val="2"/>
            <w:tcBorders>
              <w:top w:val="single" w:color="000000" w:sz="6" w:space="0"/>
              <w:left w:val="single" w:color="000000" w:sz="6" w:space="0"/>
              <w:bottom w:val="single" w:color="000000" w:sz="6" w:space="0"/>
              <w:right w:val="single" w:color="000000" w:sz="12" w:space="0"/>
            </w:tcBorders>
            <w:noWrap/>
            <w:tcMar>
              <w:top w:w="15" w:type="dxa"/>
              <w:left w:w="15" w:type="dxa"/>
              <w:right w:w="15" w:type="dxa"/>
            </w:tcMar>
            <w:vAlign w:val="center"/>
          </w:tcPr>
          <w:p>
            <w:pPr>
              <w:jc w:val="center"/>
              <w:rPr>
                <w:color w:val="auto"/>
                <w:sz w:val="20"/>
                <w:szCs w:val="20"/>
              </w:rPr>
            </w:pPr>
          </w:p>
        </w:tc>
      </w:tr>
      <w:tr>
        <w:tblPrEx>
          <w:tblCellMar>
            <w:top w:w="0" w:type="dxa"/>
            <w:left w:w="0" w:type="dxa"/>
            <w:bottom w:w="0" w:type="dxa"/>
            <w:right w:w="0" w:type="dxa"/>
          </w:tblCellMar>
        </w:tblPrEx>
        <w:trPr>
          <w:trHeight w:val="421" w:hRule="atLeast"/>
        </w:trPr>
        <w:tc>
          <w:tcPr>
            <w:tcW w:w="416" w:type="dxa"/>
            <w:tcBorders>
              <w:top w:val="single" w:color="000000" w:sz="6" w:space="0"/>
              <w:left w:val="single" w:color="000000" w:sz="12"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1</w:t>
            </w:r>
          </w:p>
        </w:tc>
        <w:tc>
          <w:tcPr>
            <w:tcW w:w="1133" w:type="dxa"/>
            <w:tcBorders>
              <w:top w:val="single" w:color="000000" w:sz="6" w:space="0"/>
              <w:left w:val="single" w:color="000000" w:sz="6" w:space="0"/>
              <w:bottom w:val="single" w:color="000000" w:sz="6" w:space="0"/>
              <w:right w:val="single" w:color="000000" w:sz="6" w:space="0"/>
            </w:tcBorders>
            <w:noWrap w:val="0"/>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效益流量B</w:t>
            </w: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0.00 </w:t>
            </w: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2616.79 </w:t>
            </w: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2616.79 </w:t>
            </w:r>
          </w:p>
        </w:tc>
        <w:tc>
          <w:tcPr>
            <w:tcW w:w="45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sz w:val="20"/>
                <w:szCs w:val="20"/>
              </w:rPr>
              <w:t>......</w:t>
            </w:r>
          </w:p>
        </w:tc>
        <w:tc>
          <w:tcPr>
            <w:tcW w:w="97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2616.79 </w:t>
            </w:r>
          </w:p>
        </w:tc>
        <w:tc>
          <w:tcPr>
            <w:tcW w:w="97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5731.32 </w:t>
            </w:r>
          </w:p>
        </w:tc>
        <w:tc>
          <w:tcPr>
            <w:tcW w:w="1402" w:type="dxa"/>
            <w:gridSpan w:val="2"/>
            <w:tcBorders>
              <w:top w:val="single" w:color="000000" w:sz="6" w:space="0"/>
              <w:left w:val="single" w:color="000000" w:sz="6" w:space="0"/>
              <w:bottom w:val="single" w:color="000000" w:sz="6" w:space="0"/>
              <w:right w:val="single" w:color="000000" w:sz="12"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42366.38 </w:t>
            </w:r>
          </w:p>
        </w:tc>
      </w:tr>
      <w:tr>
        <w:tblPrEx>
          <w:tblCellMar>
            <w:top w:w="0" w:type="dxa"/>
            <w:left w:w="0" w:type="dxa"/>
            <w:bottom w:w="0" w:type="dxa"/>
            <w:right w:w="0" w:type="dxa"/>
          </w:tblCellMar>
        </w:tblPrEx>
        <w:trPr>
          <w:trHeight w:val="421" w:hRule="atLeast"/>
        </w:trPr>
        <w:tc>
          <w:tcPr>
            <w:tcW w:w="416" w:type="dxa"/>
            <w:tcBorders>
              <w:top w:val="single" w:color="000000" w:sz="6" w:space="0"/>
              <w:left w:val="single" w:color="000000" w:sz="12"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1.1</w:t>
            </w:r>
          </w:p>
        </w:tc>
        <w:tc>
          <w:tcPr>
            <w:tcW w:w="1133" w:type="dxa"/>
            <w:tcBorders>
              <w:top w:val="single" w:color="000000" w:sz="6" w:space="0"/>
              <w:left w:val="single" w:color="000000" w:sz="6" w:space="0"/>
              <w:bottom w:val="single" w:color="000000" w:sz="6" w:space="0"/>
              <w:right w:val="single" w:color="000000" w:sz="6" w:space="0"/>
            </w:tcBorders>
            <w:noWrap w:val="0"/>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项目各项功能的效益</w:t>
            </w: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0.00 </w:t>
            </w: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1179.44 </w:t>
            </w: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1179.44 </w:t>
            </w:r>
          </w:p>
        </w:tc>
        <w:tc>
          <w:tcPr>
            <w:tcW w:w="45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sz w:val="20"/>
                <w:szCs w:val="20"/>
              </w:rPr>
              <w:t>......</w:t>
            </w:r>
          </w:p>
        </w:tc>
        <w:tc>
          <w:tcPr>
            <w:tcW w:w="97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1179.44 </w:t>
            </w:r>
          </w:p>
        </w:tc>
        <w:tc>
          <w:tcPr>
            <w:tcW w:w="97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1179.44 </w:t>
            </w:r>
          </w:p>
        </w:tc>
        <w:tc>
          <w:tcPr>
            <w:tcW w:w="1402" w:type="dxa"/>
            <w:gridSpan w:val="2"/>
            <w:tcBorders>
              <w:top w:val="single" w:color="000000" w:sz="6" w:space="0"/>
              <w:left w:val="single" w:color="000000" w:sz="6" w:space="0"/>
              <w:bottom w:val="single" w:color="000000" w:sz="6" w:space="0"/>
              <w:right w:val="single" w:color="000000" w:sz="12"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17691.60 </w:t>
            </w:r>
          </w:p>
        </w:tc>
      </w:tr>
      <w:tr>
        <w:tblPrEx>
          <w:tblCellMar>
            <w:top w:w="0" w:type="dxa"/>
            <w:left w:w="0" w:type="dxa"/>
            <w:bottom w:w="0" w:type="dxa"/>
            <w:right w:w="0" w:type="dxa"/>
          </w:tblCellMar>
        </w:tblPrEx>
        <w:trPr>
          <w:trHeight w:val="421" w:hRule="atLeast"/>
        </w:trPr>
        <w:tc>
          <w:tcPr>
            <w:tcW w:w="416" w:type="dxa"/>
            <w:tcBorders>
              <w:top w:val="single" w:color="000000" w:sz="6" w:space="0"/>
              <w:left w:val="single" w:color="000000" w:sz="12"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1.1.1</w:t>
            </w:r>
          </w:p>
        </w:tc>
        <w:tc>
          <w:tcPr>
            <w:tcW w:w="1133" w:type="dxa"/>
            <w:tcBorders>
              <w:top w:val="single" w:color="000000" w:sz="6" w:space="0"/>
              <w:left w:val="single" w:color="000000" w:sz="6" w:space="0"/>
              <w:bottom w:val="single" w:color="000000" w:sz="6" w:space="0"/>
              <w:right w:val="single" w:color="000000" w:sz="6" w:space="0"/>
            </w:tcBorders>
            <w:noWrap w:val="0"/>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供水效益</w:t>
            </w: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rPr>
                <w:color w:val="auto"/>
                <w:sz w:val="20"/>
                <w:szCs w:val="20"/>
              </w:rPr>
            </w:pP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1179.44 </w:t>
            </w: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1179.44 </w:t>
            </w:r>
          </w:p>
        </w:tc>
        <w:tc>
          <w:tcPr>
            <w:tcW w:w="45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sz w:val="20"/>
                <w:szCs w:val="20"/>
              </w:rPr>
              <w:t>......</w:t>
            </w:r>
          </w:p>
        </w:tc>
        <w:tc>
          <w:tcPr>
            <w:tcW w:w="97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1179.44 </w:t>
            </w:r>
          </w:p>
        </w:tc>
        <w:tc>
          <w:tcPr>
            <w:tcW w:w="97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1179.44 </w:t>
            </w:r>
          </w:p>
        </w:tc>
        <w:tc>
          <w:tcPr>
            <w:tcW w:w="1402" w:type="dxa"/>
            <w:gridSpan w:val="2"/>
            <w:tcBorders>
              <w:top w:val="single" w:color="000000" w:sz="6" w:space="0"/>
              <w:left w:val="single" w:color="000000" w:sz="6" w:space="0"/>
              <w:bottom w:val="single" w:color="000000" w:sz="6" w:space="0"/>
              <w:right w:val="single" w:color="000000" w:sz="12"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17691.60 </w:t>
            </w:r>
          </w:p>
        </w:tc>
      </w:tr>
      <w:tr>
        <w:tblPrEx>
          <w:tblCellMar>
            <w:top w:w="0" w:type="dxa"/>
            <w:left w:w="0" w:type="dxa"/>
            <w:bottom w:w="0" w:type="dxa"/>
            <w:right w:w="0" w:type="dxa"/>
          </w:tblCellMar>
        </w:tblPrEx>
        <w:trPr>
          <w:trHeight w:val="421" w:hRule="atLeast"/>
        </w:trPr>
        <w:tc>
          <w:tcPr>
            <w:tcW w:w="416" w:type="dxa"/>
            <w:tcBorders>
              <w:top w:val="single" w:color="000000" w:sz="6" w:space="0"/>
              <w:left w:val="single" w:color="000000" w:sz="12"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1.2</w:t>
            </w:r>
          </w:p>
        </w:tc>
        <w:tc>
          <w:tcPr>
            <w:tcW w:w="1133" w:type="dxa"/>
            <w:tcBorders>
              <w:top w:val="single" w:color="000000" w:sz="6" w:space="0"/>
              <w:left w:val="single" w:color="000000" w:sz="6" w:space="0"/>
              <w:bottom w:val="single" w:color="000000" w:sz="6" w:space="0"/>
              <w:right w:val="single" w:color="000000" w:sz="6" w:space="0"/>
            </w:tcBorders>
            <w:noWrap w:val="0"/>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回收固定资产余值</w:t>
            </w: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rPr>
                <w:color w:val="auto"/>
                <w:sz w:val="20"/>
                <w:szCs w:val="20"/>
              </w:rPr>
            </w:pP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rPr>
                <w:color w:val="auto"/>
                <w:sz w:val="20"/>
                <w:szCs w:val="20"/>
              </w:rPr>
            </w:pP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rPr>
                <w:color w:val="auto"/>
                <w:sz w:val="20"/>
                <w:szCs w:val="20"/>
              </w:rPr>
            </w:pPr>
          </w:p>
        </w:tc>
        <w:tc>
          <w:tcPr>
            <w:tcW w:w="45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sz w:val="20"/>
                <w:szCs w:val="20"/>
              </w:rPr>
              <w:t>......</w:t>
            </w:r>
          </w:p>
        </w:tc>
        <w:tc>
          <w:tcPr>
            <w:tcW w:w="97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rPr>
                <w:color w:val="auto"/>
                <w:sz w:val="20"/>
                <w:szCs w:val="20"/>
              </w:rPr>
            </w:pPr>
          </w:p>
        </w:tc>
        <w:tc>
          <w:tcPr>
            <w:tcW w:w="97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2224.66 </w:t>
            </w:r>
          </w:p>
        </w:tc>
        <w:tc>
          <w:tcPr>
            <w:tcW w:w="1402" w:type="dxa"/>
            <w:gridSpan w:val="2"/>
            <w:tcBorders>
              <w:top w:val="single" w:color="000000" w:sz="6" w:space="0"/>
              <w:left w:val="single" w:color="000000" w:sz="6" w:space="0"/>
              <w:bottom w:val="single" w:color="000000" w:sz="6" w:space="0"/>
              <w:right w:val="single" w:color="000000" w:sz="12"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2224.66 </w:t>
            </w:r>
          </w:p>
        </w:tc>
      </w:tr>
      <w:tr>
        <w:tblPrEx>
          <w:tblCellMar>
            <w:top w:w="0" w:type="dxa"/>
            <w:left w:w="0" w:type="dxa"/>
            <w:bottom w:w="0" w:type="dxa"/>
            <w:right w:w="0" w:type="dxa"/>
          </w:tblCellMar>
        </w:tblPrEx>
        <w:trPr>
          <w:trHeight w:val="421" w:hRule="atLeast"/>
        </w:trPr>
        <w:tc>
          <w:tcPr>
            <w:tcW w:w="416" w:type="dxa"/>
            <w:tcBorders>
              <w:top w:val="single" w:color="000000" w:sz="6" w:space="0"/>
              <w:left w:val="single" w:color="000000" w:sz="12"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1.3</w:t>
            </w:r>
          </w:p>
        </w:tc>
        <w:tc>
          <w:tcPr>
            <w:tcW w:w="1133" w:type="dxa"/>
            <w:tcBorders>
              <w:top w:val="single" w:color="000000" w:sz="6" w:space="0"/>
              <w:left w:val="single" w:color="000000" w:sz="6" w:space="0"/>
              <w:bottom w:val="single" w:color="000000" w:sz="6" w:space="0"/>
              <w:right w:val="single" w:color="000000" w:sz="6" w:space="0"/>
            </w:tcBorders>
            <w:noWrap w:val="0"/>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回收流动资金</w:t>
            </w: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rPr>
                <w:color w:val="auto"/>
                <w:sz w:val="20"/>
                <w:szCs w:val="20"/>
              </w:rPr>
            </w:pP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rPr>
                <w:color w:val="auto"/>
                <w:sz w:val="20"/>
                <w:szCs w:val="20"/>
              </w:rPr>
            </w:pP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rPr>
                <w:color w:val="auto"/>
                <w:sz w:val="20"/>
                <w:szCs w:val="20"/>
              </w:rPr>
            </w:pPr>
          </w:p>
        </w:tc>
        <w:tc>
          <w:tcPr>
            <w:tcW w:w="45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sz w:val="20"/>
                <w:szCs w:val="20"/>
              </w:rPr>
              <w:t>......</w:t>
            </w:r>
          </w:p>
        </w:tc>
        <w:tc>
          <w:tcPr>
            <w:tcW w:w="97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rPr>
                <w:color w:val="auto"/>
                <w:sz w:val="20"/>
                <w:szCs w:val="20"/>
              </w:rPr>
            </w:pPr>
          </w:p>
        </w:tc>
        <w:tc>
          <w:tcPr>
            <w:tcW w:w="97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889.87 </w:t>
            </w:r>
          </w:p>
        </w:tc>
        <w:tc>
          <w:tcPr>
            <w:tcW w:w="1402" w:type="dxa"/>
            <w:gridSpan w:val="2"/>
            <w:tcBorders>
              <w:top w:val="single" w:color="000000" w:sz="6" w:space="0"/>
              <w:left w:val="single" w:color="000000" w:sz="6" w:space="0"/>
              <w:bottom w:val="single" w:color="000000" w:sz="6" w:space="0"/>
              <w:right w:val="single" w:color="000000" w:sz="12"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889.87 </w:t>
            </w:r>
          </w:p>
        </w:tc>
      </w:tr>
      <w:tr>
        <w:tblPrEx>
          <w:tblCellMar>
            <w:top w:w="0" w:type="dxa"/>
            <w:left w:w="0" w:type="dxa"/>
            <w:bottom w:w="0" w:type="dxa"/>
            <w:right w:w="0" w:type="dxa"/>
          </w:tblCellMar>
        </w:tblPrEx>
        <w:trPr>
          <w:trHeight w:val="421" w:hRule="atLeast"/>
        </w:trPr>
        <w:tc>
          <w:tcPr>
            <w:tcW w:w="416" w:type="dxa"/>
            <w:tcBorders>
              <w:top w:val="single" w:color="000000" w:sz="6" w:space="0"/>
              <w:left w:val="single" w:color="000000" w:sz="12"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1.4</w:t>
            </w:r>
          </w:p>
        </w:tc>
        <w:tc>
          <w:tcPr>
            <w:tcW w:w="1133" w:type="dxa"/>
            <w:tcBorders>
              <w:top w:val="single" w:color="000000" w:sz="6" w:space="0"/>
              <w:left w:val="single" w:color="000000" w:sz="6" w:space="0"/>
              <w:bottom w:val="single" w:color="000000" w:sz="6" w:space="0"/>
              <w:right w:val="single" w:color="000000" w:sz="6" w:space="0"/>
            </w:tcBorders>
            <w:noWrap w:val="0"/>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项目间接收益</w:t>
            </w: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rPr>
                <w:color w:val="auto"/>
                <w:sz w:val="20"/>
                <w:szCs w:val="20"/>
              </w:rPr>
            </w:pP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1437.35 </w:t>
            </w: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1437.35 </w:t>
            </w:r>
          </w:p>
        </w:tc>
        <w:tc>
          <w:tcPr>
            <w:tcW w:w="45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sz w:val="20"/>
                <w:szCs w:val="20"/>
              </w:rPr>
              <w:t>......</w:t>
            </w:r>
          </w:p>
        </w:tc>
        <w:tc>
          <w:tcPr>
            <w:tcW w:w="97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1437.35 </w:t>
            </w:r>
          </w:p>
        </w:tc>
        <w:tc>
          <w:tcPr>
            <w:tcW w:w="97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1437.35 </w:t>
            </w:r>
          </w:p>
        </w:tc>
        <w:tc>
          <w:tcPr>
            <w:tcW w:w="1402" w:type="dxa"/>
            <w:gridSpan w:val="2"/>
            <w:tcBorders>
              <w:top w:val="single" w:color="000000" w:sz="6" w:space="0"/>
              <w:left w:val="single" w:color="000000" w:sz="6" w:space="0"/>
              <w:bottom w:val="single" w:color="000000" w:sz="6" w:space="0"/>
              <w:right w:val="single" w:color="000000" w:sz="12"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21560.25 </w:t>
            </w:r>
          </w:p>
        </w:tc>
      </w:tr>
      <w:tr>
        <w:tblPrEx>
          <w:tblCellMar>
            <w:top w:w="0" w:type="dxa"/>
            <w:left w:w="0" w:type="dxa"/>
            <w:bottom w:w="0" w:type="dxa"/>
            <w:right w:w="0" w:type="dxa"/>
          </w:tblCellMar>
        </w:tblPrEx>
        <w:trPr>
          <w:trHeight w:val="421" w:hRule="atLeast"/>
        </w:trPr>
        <w:tc>
          <w:tcPr>
            <w:tcW w:w="416" w:type="dxa"/>
            <w:tcBorders>
              <w:top w:val="single" w:color="000000" w:sz="6" w:space="0"/>
              <w:left w:val="single" w:color="000000" w:sz="12"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2</w:t>
            </w:r>
          </w:p>
        </w:tc>
        <w:tc>
          <w:tcPr>
            <w:tcW w:w="1133" w:type="dxa"/>
            <w:tcBorders>
              <w:top w:val="single" w:color="000000" w:sz="6" w:space="0"/>
              <w:left w:val="single" w:color="000000" w:sz="6" w:space="0"/>
              <w:bottom w:val="single" w:color="000000" w:sz="6" w:space="0"/>
              <w:right w:val="single" w:color="000000" w:sz="6" w:space="0"/>
            </w:tcBorders>
            <w:noWrap w:val="0"/>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费用流量C</w:t>
            </w: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22246.64 </w:t>
            </w: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1704.46 </w:t>
            </w: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814.59 </w:t>
            </w:r>
          </w:p>
        </w:tc>
        <w:tc>
          <w:tcPr>
            <w:tcW w:w="45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sz w:val="20"/>
                <w:szCs w:val="20"/>
              </w:rPr>
              <w:t>......</w:t>
            </w:r>
          </w:p>
        </w:tc>
        <w:tc>
          <w:tcPr>
            <w:tcW w:w="97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814.59 </w:t>
            </w:r>
          </w:p>
        </w:tc>
        <w:tc>
          <w:tcPr>
            <w:tcW w:w="97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814.59 </w:t>
            </w:r>
          </w:p>
        </w:tc>
        <w:tc>
          <w:tcPr>
            <w:tcW w:w="1402" w:type="dxa"/>
            <w:gridSpan w:val="2"/>
            <w:tcBorders>
              <w:top w:val="single" w:color="000000" w:sz="6" w:space="0"/>
              <w:left w:val="single" w:color="000000" w:sz="6" w:space="0"/>
              <w:bottom w:val="single" w:color="000000" w:sz="6" w:space="0"/>
              <w:right w:val="single" w:color="000000" w:sz="12"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35355.36 </w:t>
            </w:r>
          </w:p>
        </w:tc>
      </w:tr>
      <w:tr>
        <w:tblPrEx>
          <w:tblCellMar>
            <w:top w:w="0" w:type="dxa"/>
            <w:left w:w="0" w:type="dxa"/>
            <w:bottom w:w="0" w:type="dxa"/>
            <w:right w:w="0" w:type="dxa"/>
          </w:tblCellMar>
        </w:tblPrEx>
        <w:trPr>
          <w:trHeight w:val="821" w:hRule="atLeast"/>
        </w:trPr>
        <w:tc>
          <w:tcPr>
            <w:tcW w:w="416" w:type="dxa"/>
            <w:tcBorders>
              <w:top w:val="single" w:color="000000" w:sz="6" w:space="0"/>
              <w:left w:val="single" w:color="000000" w:sz="12"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2.1</w:t>
            </w:r>
          </w:p>
        </w:tc>
        <w:tc>
          <w:tcPr>
            <w:tcW w:w="1133" w:type="dxa"/>
            <w:tcBorders>
              <w:top w:val="single" w:color="000000" w:sz="6" w:space="0"/>
              <w:left w:val="single" w:color="000000" w:sz="6" w:space="0"/>
              <w:bottom w:val="single" w:color="000000" w:sz="6" w:space="0"/>
              <w:right w:val="single" w:color="000000" w:sz="6" w:space="0"/>
            </w:tcBorders>
            <w:noWrap w:val="0"/>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固定资产投资(含更新改造投资)</w:t>
            </w: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22246.64 </w:t>
            </w: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rPr>
                <w:color w:val="auto"/>
                <w:sz w:val="20"/>
                <w:szCs w:val="20"/>
              </w:rPr>
            </w:pP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rPr>
                <w:color w:val="auto"/>
                <w:sz w:val="20"/>
                <w:szCs w:val="20"/>
              </w:rPr>
            </w:pPr>
          </w:p>
        </w:tc>
        <w:tc>
          <w:tcPr>
            <w:tcW w:w="45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sz w:val="20"/>
                <w:szCs w:val="20"/>
              </w:rPr>
              <w:t>......</w:t>
            </w:r>
          </w:p>
        </w:tc>
        <w:tc>
          <w:tcPr>
            <w:tcW w:w="97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rPr>
                <w:color w:val="auto"/>
                <w:sz w:val="20"/>
                <w:szCs w:val="20"/>
              </w:rPr>
            </w:pPr>
          </w:p>
        </w:tc>
        <w:tc>
          <w:tcPr>
            <w:tcW w:w="97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rPr>
                <w:color w:val="auto"/>
                <w:sz w:val="20"/>
                <w:szCs w:val="20"/>
              </w:rPr>
            </w:pPr>
          </w:p>
        </w:tc>
        <w:tc>
          <w:tcPr>
            <w:tcW w:w="1402" w:type="dxa"/>
            <w:gridSpan w:val="2"/>
            <w:tcBorders>
              <w:top w:val="single" w:color="000000" w:sz="6" w:space="0"/>
              <w:left w:val="single" w:color="000000" w:sz="6" w:space="0"/>
              <w:bottom w:val="single" w:color="000000" w:sz="6" w:space="0"/>
              <w:right w:val="single" w:color="000000" w:sz="12"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22246.64 </w:t>
            </w:r>
          </w:p>
        </w:tc>
      </w:tr>
      <w:tr>
        <w:tblPrEx>
          <w:tblCellMar>
            <w:top w:w="0" w:type="dxa"/>
            <w:left w:w="0" w:type="dxa"/>
            <w:bottom w:w="0" w:type="dxa"/>
            <w:right w:w="0" w:type="dxa"/>
          </w:tblCellMar>
        </w:tblPrEx>
        <w:trPr>
          <w:trHeight w:val="421" w:hRule="atLeast"/>
        </w:trPr>
        <w:tc>
          <w:tcPr>
            <w:tcW w:w="416" w:type="dxa"/>
            <w:tcBorders>
              <w:top w:val="single" w:color="000000" w:sz="6" w:space="0"/>
              <w:left w:val="single" w:color="000000" w:sz="12"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2.2</w:t>
            </w:r>
          </w:p>
        </w:tc>
        <w:tc>
          <w:tcPr>
            <w:tcW w:w="1133" w:type="dxa"/>
            <w:tcBorders>
              <w:top w:val="single" w:color="000000" w:sz="6" w:space="0"/>
              <w:left w:val="single" w:color="000000" w:sz="6" w:space="0"/>
              <w:bottom w:val="single" w:color="000000" w:sz="6" w:space="0"/>
              <w:right w:val="single" w:color="000000" w:sz="6" w:space="0"/>
            </w:tcBorders>
            <w:noWrap w:val="0"/>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流动资金</w:t>
            </w: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rPr>
                <w:color w:val="auto"/>
                <w:sz w:val="20"/>
                <w:szCs w:val="20"/>
              </w:rPr>
            </w:pP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889.87 </w:t>
            </w: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rPr>
                <w:color w:val="auto"/>
                <w:sz w:val="20"/>
                <w:szCs w:val="20"/>
              </w:rPr>
            </w:pPr>
          </w:p>
        </w:tc>
        <w:tc>
          <w:tcPr>
            <w:tcW w:w="45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sz w:val="20"/>
                <w:szCs w:val="20"/>
              </w:rPr>
              <w:t>......</w:t>
            </w:r>
          </w:p>
        </w:tc>
        <w:tc>
          <w:tcPr>
            <w:tcW w:w="97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rPr>
                <w:color w:val="auto"/>
                <w:sz w:val="20"/>
                <w:szCs w:val="20"/>
              </w:rPr>
            </w:pPr>
          </w:p>
        </w:tc>
        <w:tc>
          <w:tcPr>
            <w:tcW w:w="97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rPr>
                <w:color w:val="auto"/>
                <w:sz w:val="20"/>
                <w:szCs w:val="20"/>
              </w:rPr>
            </w:pPr>
          </w:p>
        </w:tc>
        <w:tc>
          <w:tcPr>
            <w:tcW w:w="1402" w:type="dxa"/>
            <w:gridSpan w:val="2"/>
            <w:tcBorders>
              <w:top w:val="single" w:color="000000" w:sz="6" w:space="0"/>
              <w:left w:val="single" w:color="000000" w:sz="6" w:space="0"/>
              <w:bottom w:val="single" w:color="000000" w:sz="6" w:space="0"/>
              <w:right w:val="single" w:color="000000" w:sz="12"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889.87 </w:t>
            </w:r>
          </w:p>
        </w:tc>
      </w:tr>
      <w:tr>
        <w:tblPrEx>
          <w:tblCellMar>
            <w:top w:w="0" w:type="dxa"/>
            <w:left w:w="0" w:type="dxa"/>
            <w:bottom w:w="0" w:type="dxa"/>
            <w:right w:w="0" w:type="dxa"/>
          </w:tblCellMar>
        </w:tblPrEx>
        <w:trPr>
          <w:trHeight w:val="421" w:hRule="atLeast"/>
        </w:trPr>
        <w:tc>
          <w:tcPr>
            <w:tcW w:w="416" w:type="dxa"/>
            <w:tcBorders>
              <w:top w:val="single" w:color="000000" w:sz="6" w:space="0"/>
              <w:left w:val="single" w:color="000000" w:sz="12"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2.3</w:t>
            </w:r>
          </w:p>
        </w:tc>
        <w:tc>
          <w:tcPr>
            <w:tcW w:w="1133" w:type="dxa"/>
            <w:tcBorders>
              <w:top w:val="single" w:color="000000" w:sz="6" w:space="0"/>
              <w:left w:val="single" w:color="000000" w:sz="6" w:space="0"/>
              <w:bottom w:val="single" w:color="000000" w:sz="6" w:space="0"/>
              <w:right w:val="single" w:color="000000" w:sz="6" w:space="0"/>
            </w:tcBorders>
            <w:noWrap w:val="0"/>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经营成本</w:t>
            </w: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rPr>
                <w:color w:val="auto"/>
                <w:sz w:val="20"/>
                <w:szCs w:val="20"/>
              </w:rPr>
            </w:pP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814.59 </w:t>
            </w: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814.59 </w:t>
            </w:r>
          </w:p>
        </w:tc>
        <w:tc>
          <w:tcPr>
            <w:tcW w:w="45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sz w:val="20"/>
                <w:szCs w:val="20"/>
              </w:rPr>
              <w:t>......</w:t>
            </w:r>
          </w:p>
        </w:tc>
        <w:tc>
          <w:tcPr>
            <w:tcW w:w="97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814.59 </w:t>
            </w:r>
          </w:p>
        </w:tc>
        <w:tc>
          <w:tcPr>
            <w:tcW w:w="97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814.59 </w:t>
            </w:r>
          </w:p>
        </w:tc>
        <w:tc>
          <w:tcPr>
            <w:tcW w:w="1402" w:type="dxa"/>
            <w:gridSpan w:val="2"/>
            <w:tcBorders>
              <w:top w:val="single" w:color="000000" w:sz="6" w:space="0"/>
              <w:left w:val="single" w:color="000000" w:sz="6" w:space="0"/>
              <w:bottom w:val="single" w:color="000000" w:sz="6" w:space="0"/>
              <w:right w:val="single" w:color="000000" w:sz="12"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12218.85 </w:t>
            </w:r>
          </w:p>
        </w:tc>
      </w:tr>
      <w:tr>
        <w:tblPrEx>
          <w:tblCellMar>
            <w:top w:w="0" w:type="dxa"/>
            <w:left w:w="0" w:type="dxa"/>
            <w:bottom w:w="0" w:type="dxa"/>
            <w:right w:w="0" w:type="dxa"/>
          </w:tblCellMar>
        </w:tblPrEx>
        <w:trPr>
          <w:trHeight w:val="421" w:hRule="atLeast"/>
        </w:trPr>
        <w:tc>
          <w:tcPr>
            <w:tcW w:w="416" w:type="dxa"/>
            <w:tcBorders>
              <w:top w:val="single" w:color="000000" w:sz="6" w:space="0"/>
              <w:left w:val="single" w:color="000000" w:sz="12"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3</w:t>
            </w:r>
          </w:p>
        </w:tc>
        <w:tc>
          <w:tcPr>
            <w:tcW w:w="1133" w:type="dxa"/>
            <w:tcBorders>
              <w:top w:val="single" w:color="000000" w:sz="6" w:space="0"/>
              <w:left w:val="single" w:color="000000" w:sz="6" w:space="0"/>
              <w:bottom w:val="single" w:color="000000" w:sz="6" w:space="0"/>
              <w:right w:val="single" w:color="000000" w:sz="6" w:space="0"/>
            </w:tcBorders>
            <w:noWrap w:val="0"/>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净效益流量</w:t>
            </w: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-22246.64 </w:t>
            </w: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912.33 </w:t>
            </w:r>
          </w:p>
        </w:tc>
        <w:tc>
          <w:tcPr>
            <w:tcW w:w="1244"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1802.20 </w:t>
            </w:r>
          </w:p>
        </w:tc>
        <w:tc>
          <w:tcPr>
            <w:tcW w:w="45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sz w:val="20"/>
                <w:szCs w:val="20"/>
              </w:rPr>
              <w:t>......</w:t>
            </w:r>
          </w:p>
        </w:tc>
        <w:tc>
          <w:tcPr>
            <w:tcW w:w="97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1802.20 </w:t>
            </w:r>
          </w:p>
        </w:tc>
        <w:tc>
          <w:tcPr>
            <w:tcW w:w="978" w:type="dxa"/>
            <w:tcBorders>
              <w:top w:val="single" w:color="000000" w:sz="6" w:space="0"/>
              <w:left w:val="single" w:color="000000" w:sz="6" w:space="0"/>
              <w:bottom w:val="single" w:color="000000" w:sz="6"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4916.73 </w:t>
            </w:r>
          </w:p>
        </w:tc>
        <w:tc>
          <w:tcPr>
            <w:tcW w:w="1402" w:type="dxa"/>
            <w:gridSpan w:val="2"/>
            <w:tcBorders>
              <w:top w:val="single" w:color="000000" w:sz="6" w:space="0"/>
              <w:left w:val="single" w:color="000000" w:sz="6" w:space="0"/>
              <w:bottom w:val="single" w:color="000000" w:sz="6" w:space="0"/>
              <w:right w:val="single" w:color="000000" w:sz="12"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7011.02 </w:t>
            </w:r>
          </w:p>
        </w:tc>
      </w:tr>
      <w:tr>
        <w:tblPrEx>
          <w:tblCellMar>
            <w:top w:w="0" w:type="dxa"/>
            <w:left w:w="0" w:type="dxa"/>
            <w:bottom w:w="0" w:type="dxa"/>
            <w:right w:w="0" w:type="dxa"/>
          </w:tblCellMar>
        </w:tblPrEx>
        <w:trPr>
          <w:trHeight w:val="430" w:hRule="atLeast"/>
        </w:trPr>
        <w:tc>
          <w:tcPr>
            <w:tcW w:w="416" w:type="dxa"/>
            <w:tcBorders>
              <w:top w:val="single" w:color="000000" w:sz="6" w:space="0"/>
              <w:left w:val="single" w:color="000000" w:sz="12" w:space="0"/>
              <w:bottom w:val="single" w:color="000000" w:sz="12"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4</w:t>
            </w:r>
          </w:p>
        </w:tc>
        <w:tc>
          <w:tcPr>
            <w:tcW w:w="1133" w:type="dxa"/>
            <w:tcBorders>
              <w:top w:val="single" w:color="000000" w:sz="6" w:space="0"/>
              <w:left w:val="single" w:color="000000" w:sz="6" w:space="0"/>
              <w:bottom w:val="single" w:color="000000" w:sz="12" w:space="0"/>
              <w:right w:val="single" w:color="000000" w:sz="6" w:space="0"/>
            </w:tcBorders>
            <w:noWrap w:val="0"/>
            <w:tcMar>
              <w:top w:w="15" w:type="dxa"/>
              <w:left w:w="15" w:type="dxa"/>
              <w:right w:w="15" w:type="dxa"/>
            </w:tcMar>
            <w:vAlign w:val="center"/>
          </w:tcPr>
          <w:p>
            <w:pPr>
              <w:widowControl/>
              <w:jc w:val="center"/>
              <w:textAlignment w:val="center"/>
              <w:rPr>
                <w:color w:val="auto"/>
                <w:sz w:val="20"/>
                <w:szCs w:val="20"/>
              </w:rPr>
            </w:pPr>
            <w:r>
              <w:rPr>
                <w:color w:val="auto"/>
                <w:kern w:val="0"/>
                <w:sz w:val="20"/>
                <w:szCs w:val="20"/>
                <w:lang w:bidi="ar"/>
              </w:rPr>
              <w:t>累计净效益流量</w:t>
            </w:r>
          </w:p>
        </w:tc>
        <w:tc>
          <w:tcPr>
            <w:tcW w:w="1244" w:type="dxa"/>
            <w:tcBorders>
              <w:top w:val="single" w:color="000000" w:sz="6" w:space="0"/>
              <w:left w:val="single" w:color="000000" w:sz="6" w:space="0"/>
              <w:bottom w:val="single" w:color="000000" w:sz="12"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-22246.64 </w:t>
            </w:r>
          </w:p>
        </w:tc>
        <w:tc>
          <w:tcPr>
            <w:tcW w:w="1244" w:type="dxa"/>
            <w:tcBorders>
              <w:top w:val="single" w:color="000000" w:sz="6" w:space="0"/>
              <w:left w:val="single" w:color="000000" w:sz="6" w:space="0"/>
              <w:bottom w:val="single" w:color="000000" w:sz="12"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-21334.31 </w:t>
            </w:r>
          </w:p>
        </w:tc>
        <w:tc>
          <w:tcPr>
            <w:tcW w:w="1244" w:type="dxa"/>
            <w:tcBorders>
              <w:top w:val="single" w:color="000000" w:sz="6" w:space="0"/>
              <w:left w:val="single" w:color="000000" w:sz="6" w:space="0"/>
              <w:bottom w:val="single" w:color="000000" w:sz="12"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-19532.11 </w:t>
            </w:r>
          </w:p>
        </w:tc>
        <w:tc>
          <w:tcPr>
            <w:tcW w:w="458" w:type="dxa"/>
            <w:tcBorders>
              <w:top w:val="single" w:color="000000" w:sz="6" w:space="0"/>
              <w:left w:val="single" w:color="000000" w:sz="6" w:space="0"/>
              <w:bottom w:val="single" w:color="000000" w:sz="12" w:space="0"/>
              <w:right w:val="single" w:color="000000" w:sz="6" w:space="0"/>
            </w:tcBorders>
            <w:noWrap/>
            <w:tcMar>
              <w:top w:w="15" w:type="dxa"/>
              <w:left w:w="15" w:type="dxa"/>
              <w:right w:w="15" w:type="dxa"/>
            </w:tcMar>
            <w:vAlign w:val="center"/>
          </w:tcPr>
          <w:p>
            <w:pPr>
              <w:widowControl/>
              <w:jc w:val="center"/>
              <w:textAlignment w:val="center"/>
              <w:rPr>
                <w:color w:val="auto"/>
                <w:sz w:val="20"/>
                <w:szCs w:val="20"/>
              </w:rPr>
            </w:pPr>
            <w:r>
              <w:rPr>
                <w:color w:val="auto"/>
                <w:sz w:val="20"/>
                <w:szCs w:val="20"/>
              </w:rPr>
              <w:t>......</w:t>
            </w:r>
          </w:p>
        </w:tc>
        <w:tc>
          <w:tcPr>
            <w:tcW w:w="978" w:type="dxa"/>
            <w:tcBorders>
              <w:top w:val="single" w:color="000000" w:sz="6" w:space="0"/>
              <w:left w:val="single" w:color="000000" w:sz="6" w:space="0"/>
              <w:bottom w:val="single" w:color="000000" w:sz="12"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2094.29 </w:t>
            </w:r>
          </w:p>
        </w:tc>
        <w:tc>
          <w:tcPr>
            <w:tcW w:w="978" w:type="dxa"/>
            <w:tcBorders>
              <w:top w:val="single" w:color="000000" w:sz="6" w:space="0"/>
              <w:left w:val="single" w:color="000000" w:sz="6" w:space="0"/>
              <w:bottom w:val="single" w:color="000000" w:sz="12" w:space="0"/>
              <w:right w:val="single" w:color="000000" w:sz="6" w:space="0"/>
            </w:tcBorders>
            <w:noWrap/>
            <w:tcMar>
              <w:top w:w="15" w:type="dxa"/>
              <w:left w:w="15" w:type="dxa"/>
              <w:right w:w="15" w:type="dxa"/>
            </w:tcMar>
            <w:vAlign w:val="center"/>
          </w:tcPr>
          <w:p>
            <w:pPr>
              <w:keepNext w:val="0"/>
              <w:keepLines w:val="0"/>
              <w:widowControl/>
              <w:suppressLineNumbers w:val="0"/>
              <w:jc w:val="right"/>
              <w:textAlignment w:val="center"/>
              <w:rPr>
                <w:color w:val="auto"/>
                <w:sz w:val="20"/>
                <w:szCs w:val="20"/>
              </w:rPr>
            </w:pPr>
            <w:r>
              <w:rPr>
                <w:rFonts w:hint="eastAsia" w:ascii="宋体" w:hAnsi="宋体" w:eastAsia="宋体" w:cs="宋体"/>
                <w:i w:val="0"/>
                <w:iCs w:val="0"/>
                <w:color w:val="auto"/>
                <w:kern w:val="0"/>
                <w:sz w:val="22"/>
                <w:szCs w:val="22"/>
                <w:u w:val="none"/>
                <w:lang w:val="en-US" w:eastAsia="zh-CN" w:bidi="ar"/>
              </w:rPr>
              <w:t xml:space="preserve">7011.02 </w:t>
            </w:r>
          </w:p>
        </w:tc>
        <w:tc>
          <w:tcPr>
            <w:tcW w:w="1402" w:type="dxa"/>
            <w:gridSpan w:val="2"/>
            <w:tcBorders>
              <w:top w:val="single" w:color="000000" w:sz="6" w:space="0"/>
              <w:left w:val="single" w:color="000000" w:sz="6" w:space="0"/>
              <w:bottom w:val="single" w:color="000000" w:sz="12" w:space="0"/>
              <w:right w:val="single" w:color="000000" w:sz="12" w:space="0"/>
            </w:tcBorders>
            <w:noWrap/>
            <w:tcMar>
              <w:top w:w="15" w:type="dxa"/>
              <w:left w:w="15" w:type="dxa"/>
              <w:right w:w="15" w:type="dxa"/>
            </w:tcMar>
            <w:vAlign w:val="center"/>
          </w:tcPr>
          <w:p>
            <w:pPr>
              <w:rPr>
                <w:color w:val="auto"/>
                <w:sz w:val="20"/>
                <w:szCs w:val="20"/>
              </w:rPr>
            </w:pPr>
          </w:p>
        </w:tc>
      </w:tr>
    </w:tbl>
    <w:p>
      <w:pPr>
        <w:ind w:firstLine="450"/>
        <w:rPr>
          <w:color w:val="auto"/>
        </w:rPr>
      </w:pPr>
      <w:r>
        <w:rPr>
          <w:color w:val="auto"/>
        </w:rPr>
        <w:t>根据以上费用、效益分析结果与基本假定编制计算的经济现金流量表，据此可对本次解决农村人口饮水安全项目进行国民经济评价分析。</w:t>
      </w:r>
    </w:p>
    <w:p>
      <w:pPr>
        <w:ind w:firstLine="450"/>
        <w:rPr>
          <w:color w:val="auto"/>
        </w:rPr>
      </w:pPr>
      <w:r>
        <w:rPr>
          <w:color w:val="auto"/>
        </w:rPr>
        <w:t>（1）经济内部收益率（EIRR）</w:t>
      </w:r>
    </w:p>
    <w:p>
      <w:pPr>
        <w:ind w:firstLine="450"/>
        <w:rPr>
          <w:color w:val="auto"/>
        </w:rPr>
      </w:pPr>
      <w:r>
        <w:rPr>
          <w:color w:val="auto"/>
          <w:position w:val="-28"/>
        </w:rPr>
        <w:object>
          <v:shape id="_x0000_i1027" o:spt="75" type="#_x0000_t75" style="height:34pt;width:150pt;" o:ole="t" filled="f" o:preferrelative="t" stroked="f" coordsize="21600,21600">
            <v:path/>
            <v:fill on="f" alignshape="1" focussize="0,0"/>
            <v:stroke on="f"/>
            <v:imagedata r:id="rId23" o:title=""/>
            <o:lock v:ext="edit" aspectratio="t"/>
            <w10:wrap type="none"/>
            <w10:anchorlock/>
          </v:shape>
          <o:OLEObject Type="Embed" ProgID="Equation.3" ShapeID="_x0000_i1027" DrawAspect="Content" ObjectID="_1468075727" r:id="rId22">
            <o:LockedField>false</o:LockedField>
          </o:OLEObject>
        </w:object>
      </w:r>
    </w:p>
    <w:p>
      <w:pPr>
        <w:ind w:firstLine="450"/>
        <w:rPr>
          <w:color w:val="auto"/>
        </w:rPr>
      </w:pPr>
      <w:r>
        <w:rPr>
          <w:color w:val="auto"/>
        </w:rPr>
        <w:t>式中：EIRR——经济内部收益率；</w:t>
      </w:r>
    </w:p>
    <w:p>
      <w:pPr>
        <w:ind w:firstLine="450"/>
        <w:rPr>
          <w:color w:val="auto"/>
        </w:rPr>
      </w:pPr>
      <w:r>
        <w:rPr>
          <w:color w:val="auto"/>
        </w:rPr>
        <w:t xml:space="preserve">      CI——现金流入量，万元；</w:t>
      </w:r>
    </w:p>
    <w:p>
      <w:pPr>
        <w:ind w:firstLine="450"/>
        <w:rPr>
          <w:color w:val="auto"/>
        </w:rPr>
      </w:pPr>
      <w:r>
        <w:rPr>
          <w:color w:val="auto"/>
        </w:rPr>
        <w:t xml:space="preserve">      CO——现金流出量，万元；</w:t>
      </w:r>
    </w:p>
    <w:p>
      <w:pPr>
        <w:ind w:firstLine="450"/>
        <w:rPr>
          <w:color w:val="auto"/>
        </w:rPr>
      </w:pPr>
      <w:r>
        <w:rPr>
          <w:color w:val="auto"/>
        </w:rPr>
        <w:t xml:space="preserve">      n——计算期，年；</w:t>
      </w:r>
    </w:p>
    <w:p>
      <w:pPr>
        <w:ind w:firstLine="450"/>
        <w:rPr>
          <w:color w:val="auto"/>
        </w:rPr>
      </w:pPr>
      <w:r>
        <w:rPr>
          <w:color w:val="auto"/>
        </w:rPr>
        <w:t xml:space="preserve">      t——计算期中某一年；</w:t>
      </w:r>
    </w:p>
    <w:p>
      <w:pPr>
        <w:ind w:firstLine="959" w:firstLineChars="397"/>
        <w:rPr>
          <w:color w:val="auto"/>
        </w:rPr>
      </w:pPr>
      <w:r>
        <w:rPr>
          <w:color w:val="auto"/>
        </w:rPr>
        <w:t>（CI-CO）</w:t>
      </w:r>
      <w:r>
        <w:rPr>
          <w:color w:val="auto"/>
          <w:vertAlign w:val="subscript"/>
        </w:rPr>
        <w:t>t</w:t>
      </w:r>
      <w:r>
        <w:rPr>
          <w:color w:val="auto"/>
        </w:rPr>
        <w:t>——第t年净现金流量，万元。</w:t>
      </w:r>
    </w:p>
    <w:p>
      <w:pPr>
        <w:ind w:firstLine="450"/>
        <w:rPr>
          <w:color w:val="auto"/>
        </w:rPr>
      </w:pPr>
      <w:r>
        <w:rPr>
          <w:color w:val="auto"/>
        </w:rPr>
        <w:t>（2）经济净现值（ENPV）</w:t>
      </w:r>
    </w:p>
    <w:p>
      <w:pPr>
        <w:ind w:firstLine="450"/>
        <w:rPr>
          <w:color w:val="auto"/>
        </w:rPr>
      </w:pPr>
      <w:r>
        <w:rPr>
          <w:color w:val="auto"/>
          <w:position w:val="-28"/>
        </w:rPr>
        <w:object>
          <v:shape id="_x0000_i1028" o:spt="75" type="#_x0000_t75" style="height:36pt;width:157pt;" o:ole="t" filled="f" o:preferrelative="t" stroked="f" coordsize="21600,21600">
            <v:path/>
            <v:fill on="f" alignshape="1" focussize="0,0"/>
            <v:stroke on="f"/>
            <v:imagedata r:id="rId25" o:title=""/>
            <o:lock v:ext="edit" aspectratio="t"/>
            <w10:wrap type="none"/>
            <w10:anchorlock/>
          </v:shape>
          <o:OLEObject Type="Embed" ProgID="Equation.3" ShapeID="_x0000_i1028" DrawAspect="Content" ObjectID="_1468075728" r:id="rId24">
            <o:LockedField>false</o:LockedField>
          </o:OLEObject>
        </w:object>
      </w:r>
    </w:p>
    <w:p>
      <w:pPr>
        <w:ind w:firstLine="450"/>
        <w:rPr>
          <w:color w:val="auto"/>
        </w:rPr>
      </w:pPr>
      <w:r>
        <w:rPr>
          <w:color w:val="auto"/>
        </w:rPr>
        <w:t>式中：ENPV——经济净现值，万元；</w:t>
      </w:r>
    </w:p>
    <w:p>
      <w:pPr>
        <w:ind w:firstLine="450"/>
        <w:rPr>
          <w:color w:val="auto"/>
        </w:rPr>
      </w:pPr>
      <w:r>
        <w:rPr>
          <w:color w:val="auto"/>
        </w:rPr>
        <w:t xml:space="preserve">      i</w:t>
      </w:r>
      <w:r>
        <w:rPr>
          <w:color w:val="auto"/>
          <w:vertAlign w:val="subscript"/>
        </w:rPr>
        <w:t>s</w:t>
      </w:r>
      <w:r>
        <w:rPr>
          <w:color w:val="auto"/>
        </w:rPr>
        <w:t>——社会折现率。</w:t>
      </w:r>
    </w:p>
    <w:p>
      <w:pPr>
        <w:ind w:firstLine="448"/>
        <w:rPr>
          <w:color w:val="auto"/>
        </w:rPr>
      </w:pPr>
      <w:r>
        <w:rPr>
          <w:color w:val="auto"/>
        </w:rPr>
        <w:t>（3）经济效益费用比（EBCR）</w:t>
      </w:r>
    </w:p>
    <w:p>
      <w:pPr>
        <w:ind w:firstLine="448"/>
        <w:rPr>
          <w:color w:val="auto"/>
        </w:rPr>
      </w:pPr>
      <w:r>
        <w:rPr>
          <w:color w:val="auto"/>
          <w:position w:val="-60"/>
        </w:rPr>
        <w:object>
          <v:shape id="_x0000_i1029" o:spt="75" type="#_x0000_t75" style="height:66pt;width:125pt;" o:ole="t" filled="f" o:preferrelative="t" stroked="f" coordsize="21600,21600">
            <v:path/>
            <v:fill on="f" alignshape="1" focussize="0,0"/>
            <v:stroke on="f"/>
            <v:imagedata r:id="rId27" o:title=""/>
            <o:lock v:ext="edit" aspectratio="t"/>
            <w10:wrap type="none"/>
            <w10:anchorlock/>
          </v:shape>
          <o:OLEObject Type="Embed" ProgID="Equation.3" ShapeID="_x0000_i1029" DrawAspect="Content" ObjectID="_1468075729" r:id="rId26">
            <o:LockedField>false</o:LockedField>
          </o:OLEObject>
        </w:object>
      </w:r>
    </w:p>
    <w:p>
      <w:pPr>
        <w:ind w:firstLine="448"/>
        <w:rPr>
          <w:color w:val="auto"/>
        </w:rPr>
      </w:pPr>
      <w:r>
        <w:rPr>
          <w:color w:val="auto"/>
        </w:rPr>
        <w:t>式中：EBCR——经济效益费用比；</w:t>
      </w:r>
    </w:p>
    <w:p>
      <w:pPr>
        <w:ind w:firstLine="450"/>
        <w:rPr>
          <w:color w:val="auto"/>
        </w:rPr>
      </w:pPr>
      <w:r>
        <w:rPr>
          <w:color w:val="auto"/>
        </w:rPr>
        <w:t xml:space="preserve">      CI</w:t>
      </w:r>
      <w:r>
        <w:rPr>
          <w:color w:val="auto"/>
          <w:vertAlign w:val="subscript"/>
        </w:rPr>
        <w:t>t</w:t>
      </w:r>
      <w:r>
        <w:rPr>
          <w:color w:val="auto"/>
        </w:rPr>
        <w:t>——第t年现金流入量，万元；</w:t>
      </w:r>
    </w:p>
    <w:p>
      <w:pPr>
        <w:ind w:firstLine="450"/>
        <w:rPr>
          <w:color w:val="auto"/>
        </w:rPr>
      </w:pPr>
      <w:r>
        <w:rPr>
          <w:color w:val="auto"/>
        </w:rPr>
        <w:t xml:space="preserve">      CO</w:t>
      </w:r>
      <w:r>
        <w:rPr>
          <w:color w:val="auto"/>
          <w:vertAlign w:val="subscript"/>
        </w:rPr>
        <w:t>t</w:t>
      </w:r>
      <w:r>
        <w:rPr>
          <w:color w:val="auto"/>
        </w:rPr>
        <w:t>——第t年现金流出量，万元。</w:t>
      </w:r>
    </w:p>
    <w:p>
      <w:pPr>
        <w:ind w:firstLine="450"/>
        <w:rPr>
          <w:color w:val="auto"/>
        </w:rPr>
      </w:pPr>
      <w:r>
        <w:rPr>
          <w:color w:val="auto"/>
        </w:rPr>
        <w:t>经计算，本次“十四五”</w:t>
      </w:r>
      <w:r>
        <w:rPr>
          <w:rFonts w:hint="eastAsia"/>
          <w:color w:val="auto"/>
          <w:lang w:eastAsia="zh-CN"/>
        </w:rPr>
        <w:t>新农水</w:t>
      </w:r>
      <w:r>
        <w:rPr>
          <w:color w:val="auto"/>
        </w:rPr>
        <w:t>规划项目国民经济评价的各项指标见</w:t>
      </w:r>
      <w:r>
        <w:rPr>
          <w:rFonts w:hint="eastAsia"/>
          <w:color w:val="auto"/>
          <w:lang w:eastAsia="zh-CN"/>
        </w:rPr>
        <w:t>上</w:t>
      </w:r>
      <w:r>
        <w:rPr>
          <w:color w:val="auto"/>
        </w:rPr>
        <w:t>表。</w:t>
      </w:r>
    </w:p>
    <w:p>
      <w:pPr>
        <w:ind w:firstLine="450"/>
        <w:rPr>
          <w:color w:val="auto"/>
        </w:rPr>
      </w:pPr>
      <w:r>
        <w:rPr>
          <w:color w:val="auto"/>
        </w:rPr>
        <w:t>一般情况下，经济内部收益率大于供水项目的社会折现率，经济净现值大于或等于零，经济效益费用比大于或等于1.0，则可认为该项目在经济上是合理的。</w:t>
      </w:r>
    </w:p>
    <w:p>
      <w:pPr>
        <w:spacing w:line="580" w:lineRule="exact"/>
        <w:jc w:val="center"/>
        <w:rPr>
          <w:b/>
          <w:color w:val="auto"/>
        </w:rPr>
      </w:pPr>
      <w:r>
        <w:rPr>
          <w:b/>
          <w:color w:val="auto"/>
        </w:rPr>
        <w:br w:type="page"/>
      </w:r>
      <w:r>
        <w:rPr>
          <w:b/>
          <w:color w:val="auto"/>
        </w:rPr>
        <w:t>国民经济评价的各项经济指标</w:t>
      </w:r>
    </w:p>
    <w:p>
      <w:pPr>
        <w:spacing w:line="580" w:lineRule="exact"/>
        <w:rPr>
          <w:color w:val="auto"/>
        </w:rPr>
      </w:pPr>
      <w:r>
        <w:rPr>
          <w:color w:val="auto"/>
        </w:rPr>
        <w:t>表10-2                                                 单位：万元</w:t>
      </w:r>
    </w:p>
    <w:tbl>
      <w:tblPr>
        <w:tblStyle w:val="86"/>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180"/>
        <w:gridCol w:w="1703"/>
        <w:gridCol w:w="2180"/>
        <w:gridCol w:w="218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180" w:type="dxa"/>
            <w:vMerge w:val="restart"/>
            <w:tcBorders>
              <w:tl2br w:val="single" w:color="auto" w:sz="2" w:space="0"/>
            </w:tcBorders>
            <w:noWrap w:val="0"/>
            <w:vAlign w:val="center"/>
          </w:tcPr>
          <w:p>
            <w:pPr>
              <w:spacing w:line="580" w:lineRule="exact"/>
              <w:jc w:val="center"/>
              <w:rPr>
                <w:color w:val="auto"/>
                <w:sz w:val="21"/>
                <w:szCs w:val="21"/>
              </w:rPr>
            </w:pPr>
            <w:r>
              <w:rPr>
                <w:color w:val="auto"/>
                <w:sz w:val="21"/>
                <w:szCs w:val="21"/>
              </w:rPr>
              <w:t xml:space="preserve">       经济指标</w:t>
            </w:r>
          </w:p>
          <w:p>
            <w:pPr>
              <w:spacing w:line="580" w:lineRule="exact"/>
              <w:rPr>
                <w:color w:val="auto"/>
                <w:sz w:val="21"/>
                <w:szCs w:val="21"/>
              </w:rPr>
            </w:pPr>
            <w:r>
              <w:rPr>
                <w:color w:val="auto"/>
                <w:sz w:val="21"/>
                <w:szCs w:val="21"/>
              </w:rPr>
              <w:t>效益情况</w:t>
            </w:r>
          </w:p>
        </w:tc>
        <w:tc>
          <w:tcPr>
            <w:tcW w:w="1703" w:type="dxa"/>
            <w:vMerge w:val="restart"/>
            <w:noWrap w:val="0"/>
            <w:vAlign w:val="center"/>
          </w:tcPr>
          <w:p>
            <w:pPr>
              <w:spacing w:line="580" w:lineRule="exact"/>
              <w:jc w:val="center"/>
              <w:rPr>
                <w:color w:val="auto"/>
                <w:sz w:val="21"/>
                <w:szCs w:val="21"/>
              </w:rPr>
            </w:pPr>
            <w:r>
              <w:rPr>
                <w:color w:val="auto"/>
                <w:sz w:val="21"/>
                <w:szCs w:val="21"/>
              </w:rPr>
              <w:t>EIRR（%）</w:t>
            </w:r>
          </w:p>
        </w:tc>
        <w:tc>
          <w:tcPr>
            <w:tcW w:w="4360" w:type="dxa"/>
            <w:gridSpan w:val="2"/>
            <w:noWrap w:val="0"/>
            <w:vAlign w:val="center"/>
          </w:tcPr>
          <w:p>
            <w:pPr>
              <w:spacing w:line="580" w:lineRule="exact"/>
              <w:jc w:val="center"/>
              <w:rPr>
                <w:color w:val="auto"/>
                <w:sz w:val="21"/>
                <w:szCs w:val="21"/>
              </w:rPr>
            </w:pPr>
            <w:r>
              <w:rPr>
                <w:color w:val="auto"/>
                <w:sz w:val="21"/>
                <w:szCs w:val="21"/>
              </w:rPr>
              <w:t>i</w:t>
            </w:r>
            <w:r>
              <w:rPr>
                <w:color w:val="auto"/>
                <w:sz w:val="21"/>
                <w:szCs w:val="21"/>
                <w:vertAlign w:val="subscript"/>
              </w:rPr>
              <w:t>s</w:t>
            </w:r>
            <w:r>
              <w:rPr>
                <w:color w:val="auto"/>
                <w:sz w:val="21"/>
                <w:szCs w:val="21"/>
              </w:rPr>
              <w:t>=</w:t>
            </w:r>
            <w:r>
              <w:rPr>
                <w:rFonts w:hint="eastAsia"/>
                <w:color w:val="auto"/>
                <w:sz w:val="21"/>
                <w:szCs w:val="21"/>
                <w:lang w:val="en-US" w:eastAsia="zh-CN"/>
              </w:rPr>
              <w:t>7</w:t>
            </w:r>
            <w:r>
              <w:rPr>
                <w:color w:val="auto"/>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2180" w:type="dxa"/>
            <w:vMerge w:val="continue"/>
            <w:noWrap w:val="0"/>
            <w:vAlign w:val="center"/>
          </w:tcPr>
          <w:p>
            <w:pPr>
              <w:spacing w:line="580" w:lineRule="exact"/>
              <w:jc w:val="center"/>
              <w:rPr>
                <w:color w:val="auto"/>
                <w:sz w:val="21"/>
                <w:szCs w:val="21"/>
              </w:rPr>
            </w:pPr>
          </w:p>
        </w:tc>
        <w:tc>
          <w:tcPr>
            <w:tcW w:w="1703" w:type="dxa"/>
            <w:vMerge w:val="continue"/>
            <w:noWrap w:val="0"/>
            <w:vAlign w:val="center"/>
          </w:tcPr>
          <w:p>
            <w:pPr>
              <w:spacing w:line="580" w:lineRule="exact"/>
              <w:jc w:val="center"/>
              <w:rPr>
                <w:color w:val="auto"/>
                <w:sz w:val="21"/>
                <w:szCs w:val="21"/>
              </w:rPr>
            </w:pPr>
          </w:p>
        </w:tc>
        <w:tc>
          <w:tcPr>
            <w:tcW w:w="2180" w:type="dxa"/>
            <w:noWrap w:val="0"/>
            <w:vAlign w:val="center"/>
          </w:tcPr>
          <w:p>
            <w:pPr>
              <w:spacing w:line="580" w:lineRule="exact"/>
              <w:jc w:val="center"/>
              <w:rPr>
                <w:color w:val="auto"/>
                <w:sz w:val="21"/>
                <w:szCs w:val="21"/>
              </w:rPr>
            </w:pPr>
            <w:r>
              <w:rPr>
                <w:color w:val="auto"/>
                <w:sz w:val="21"/>
                <w:szCs w:val="21"/>
              </w:rPr>
              <w:t>ENPV</w:t>
            </w:r>
          </w:p>
        </w:tc>
        <w:tc>
          <w:tcPr>
            <w:tcW w:w="2180" w:type="dxa"/>
            <w:noWrap w:val="0"/>
            <w:vAlign w:val="center"/>
          </w:tcPr>
          <w:p>
            <w:pPr>
              <w:spacing w:line="580" w:lineRule="exact"/>
              <w:jc w:val="center"/>
              <w:rPr>
                <w:color w:val="auto"/>
                <w:sz w:val="21"/>
                <w:szCs w:val="21"/>
              </w:rPr>
            </w:pPr>
            <w:r>
              <w:rPr>
                <w:color w:val="auto"/>
                <w:sz w:val="21"/>
                <w:szCs w:val="21"/>
              </w:rPr>
              <w:t>EBCR</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180" w:type="dxa"/>
            <w:noWrap w:val="0"/>
            <w:vAlign w:val="center"/>
          </w:tcPr>
          <w:p>
            <w:pPr>
              <w:spacing w:line="580" w:lineRule="exact"/>
              <w:jc w:val="center"/>
              <w:rPr>
                <w:color w:val="auto"/>
                <w:sz w:val="21"/>
                <w:szCs w:val="21"/>
              </w:rPr>
            </w:pPr>
            <w:r>
              <w:rPr>
                <w:color w:val="auto"/>
                <w:sz w:val="21"/>
                <w:szCs w:val="21"/>
              </w:rPr>
              <w:t>效益情况</w:t>
            </w:r>
          </w:p>
        </w:tc>
        <w:tc>
          <w:tcPr>
            <w:tcW w:w="1703" w:type="dxa"/>
            <w:noWrap w:val="0"/>
            <w:vAlign w:val="center"/>
          </w:tcPr>
          <w:p>
            <w:pPr>
              <w:spacing w:line="580" w:lineRule="exact"/>
              <w:jc w:val="center"/>
              <w:rPr>
                <w:rFonts w:hint="default" w:eastAsia="宋体"/>
                <w:color w:val="auto"/>
                <w:sz w:val="21"/>
                <w:szCs w:val="21"/>
                <w:lang w:val="en-US" w:eastAsia="zh-CN"/>
              </w:rPr>
            </w:pPr>
            <w:r>
              <w:rPr>
                <w:rFonts w:hint="eastAsia"/>
                <w:color w:val="auto"/>
                <w:sz w:val="21"/>
                <w:szCs w:val="21"/>
                <w:lang w:val="en-US" w:eastAsia="zh-CN"/>
              </w:rPr>
              <w:t>3.2</w:t>
            </w:r>
          </w:p>
        </w:tc>
        <w:tc>
          <w:tcPr>
            <w:tcW w:w="2180" w:type="dxa"/>
            <w:noWrap w:val="0"/>
            <w:vAlign w:val="center"/>
          </w:tcPr>
          <w:p>
            <w:pPr>
              <w:spacing w:line="580" w:lineRule="exact"/>
              <w:jc w:val="center"/>
              <w:rPr>
                <w:rFonts w:hint="default" w:eastAsia="宋体"/>
                <w:color w:val="auto"/>
                <w:sz w:val="21"/>
                <w:szCs w:val="21"/>
                <w:lang w:val="en-US" w:eastAsia="zh-CN"/>
              </w:rPr>
            </w:pPr>
            <w:r>
              <w:rPr>
                <w:color w:val="auto"/>
                <w:sz w:val="21"/>
                <w:szCs w:val="21"/>
              </w:rPr>
              <w:t>1</w:t>
            </w:r>
            <w:r>
              <w:rPr>
                <w:rFonts w:hint="eastAsia"/>
                <w:color w:val="auto"/>
                <w:sz w:val="21"/>
                <w:szCs w:val="21"/>
                <w:lang w:val="en-US" w:eastAsia="zh-CN"/>
              </w:rPr>
              <w:t>24.3</w:t>
            </w:r>
          </w:p>
        </w:tc>
        <w:tc>
          <w:tcPr>
            <w:tcW w:w="2180" w:type="dxa"/>
            <w:noWrap w:val="0"/>
            <w:vAlign w:val="center"/>
          </w:tcPr>
          <w:p>
            <w:pPr>
              <w:spacing w:line="580" w:lineRule="exact"/>
              <w:jc w:val="center"/>
              <w:rPr>
                <w:rFonts w:hint="eastAsia" w:eastAsia="宋体"/>
                <w:color w:val="auto"/>
                <w:sz w:val="21"/>
                <w:szCs w:val="21"/>
                <w:lang w:eastAsia="zh-CN"/>
              </w:rPr>
            </w:pPr>
            <w:r>
              <w:rPr>
                <w:color w:val="auto"/>
                <w:sz w:val="21"/>
                <w:szCs w:val="21"/>
              </w:rPr>
              <w:t>1.0</w:t>
            </w:r>
            <w:r>
              <w:rPr>
                <w:rFonts w:hint="eastAsia"/>
                <w:color w:val="auto"/>
                <w:sz w:val="21"/>
                <w:szCs w:val="21"/>
                <w:lang w:val="en-US" w:eastAsia="zh-CN"/>
              </w:rPr>
              <w:t>1</w:t>
            </w:r>
          </w:p>
        </w:tc>
      </w:tr>
    </w:tbl>
    <w:p>
      <w:pPr>
        <w:spacing w:line="580" w:lineRule="exact"/>
        <w:ind w:firstLine="450"/>
        <w:rPr>
          <w:color w:val="auto"/>
        </w:rPr>
      </w:pPr>
      <w:r>
        <w:rPr>
          <w:color w:val="auto"/>
        </w:rPr>
        <w:t>上述计算结果表明，本次农村饮水项目在经济上是合理的。</w:t>
      </w:r>
    </w:p>
    <w:p>
      <w:pPr>
        <w:rPr>
          <w:rFonts w:hint="eastAsia" w:ascii="Times New Roman" w:hAnsi="Times New Roman" w:eastAsia="黑体" w:cs="Times New Roman"/>
          <w:color w:val="000000"/>
          <w:sz w:val="28"/>
          <w:szCs w:val="28"/>
          <w:lang w:val="en-US" w:eastAsia="zh-CN"/>
        </w:rPr>
      </w:pPr>
      <w:bookmarkStart w:id="77" w:name="_Toc36029030"/>
      <w:r>
        <w:rPr>
          <w:rFonts w:hint="eastAsia" w:ascii="Times New Roman" w:hAnsi="Times New Roman" w:eastAsia="黑体" w:cs="Times New Roman"/>
          <w:color w:val="000000"/>
          <w:sz w:val="28"/>
          <w:szCs w:val="28"/>
          <w:lang w:val="en-US" w:eastAsia="zh-CN"/>
        </w:rPr>
        <w:t>5.1.2社会效益分析</w:t>
      </w:r>
      <w:bookmarkEnd w:id="77"/>
    </w:p>
    <w:p>
      <w:pPr>
        <w:ind w:firstLine="544" w:firstLineChars="225"/>
      </w:pPr>
      <w:r>
        <w:t>实施农村</w:t>
      </w:r>
      <w:r>
        <w:rPr>
          <w:rFonts w:hint="eastAsia"/>
          <w:lang w:val="en-US" w:eastAsia="zh-CN"/>
        </w:rPr>
        <w:t>水利</w:t>
      </w:r>
      <w:r>
        <w:t>工程，既体现了党和政府对缺水区广大农民群众的关心，又提高了农民的生活水平，解放了农村生产力，促进了社会稳定，改善了生态环境，加快了地方经济的发展，其社会效益突出表现在以下方面：</w:t>
      </w:r>
    </w:p>
    <w:p>
      <w:pPr>
        <w:rPr>
          <w:rFonts w:eastAsia="黑体"/>
          <w:color w:val="000000"/>
          <w:sz w:val="28"/>
          <w:szCs w:val="28"/>
        </w:rPr>
      </w:pPr>
      <w:r>
        <w:rPr>
          <w:rFonts w:hint="eastAsia" w:eastAsia="黑体"/>
          <w:color w:val="000000"/>
          <w:sz w:val="28"/>
          <w:szCs w:val="28"/>
          <w:lang w:val="en-US" w:eastAsia="zh-CN"/>
        </w:rPr>
        <w:t>5</w:t>
      </w:r>
      <w:r>
        <w:rPr>
          <w:rFonts w:eastAsia="黑体"/>
          <w:color w:val="000000"/>
          <w:sz w:val="28"/>
          <w:szCs w:val="28"/>
        </w:rPr>
        <w:t>.</w:t>
      </w:r>
      <w:r>
        <w:rPr>
          <w:rFonts w:hint="eastAsia" w:eastAsia="黑体"/>
          <w:color w:val="000000"/>
          <w:sz w:val="28"/>
          <w:szCs w:val="28"/>
          <w:lang w:val="en-US" w:eastAsia="zh-CN"/>
        </w:rPr>
        <w:t>1.</w:t>
      </w:r>
      <w:r>
        <w:rPr>
          <w:rFonts w:eastAsia="黑体"/>
          <w:color w:val="000000"/>
          <w:sz w:val="28"/>
          <w:szCs w:val="28"/>
        </w:rPr>
        <w:t>2.1改善农民生活条件，提高健康水平</w:t>
      </w:r>
    </w:p>
    <w:p>
      <w:pPr>
        <w:ind w:firstLine="544" w:firstLineChars="225"/>
      </w:pPr>
      <w:r>
        <w:t>从解决农村饮水安全的实践来看，农民饮用上清洁卫生水后，许多卫生设施、设备进入农户家中，促进了农村改厨、改厕、改房、改路的进程，改善了农户家庭生活环境，缩小了城乡差别，提高了农民群众的健康水平，其精神面貌焕然一新，同时也减轻了劳动强度。据统计，在农村人口饮水安全已得到解决的地方，肝炎、肠道传染病和一些地方病的发病率已得到大大降低，农民的健康状况得到改善，增强了体质，减少了医药费支出。农村饮水安全问题的解决，既造福于当代，又造福于子孙后代，其意义是深远的。</w:t>
      </w:r>
    </w:p>
    <w:p>
      <w:pPr>
        <w:rPr>
          <w:rFonts w:eastAsia="黑体"/>
          <w:color w:val="000000"/>
          <w:sz w:val="28"/>
          <w:szCs w:val="28"/>
        </w:rPr>
      </w:pPr>
      <w:r>
        <w:rPr>
          <w:rFonts w:hint="eastAsia" w:eastAsia="黑体"/>
          <w:color w:val="000000"/>
          <w:sz w:val="28"/>
          <w:szCs w:val="28"/>
          <w:lang w:val="en-US" w:eastAsia="zh-CN"/>
        </w:rPr>
        <w:t>5</w:t>
      </w:r>
      <w:r>
        <w:rPr>
          <w:rFonts w:eastAsia="黑体"/>
          <w:color w:val="000000"/>
          <w:sz w:val="28"/>
          <w:szCs w:val="28"/>
        </w:rPr>
        <w:t>.</w:t>
      </w:r>
      <w:r>
        <w:rPr>
          <w:rFonts w:hint="eastAsia" w:eastAsia="黑体"/>
          <w:color w:val="000000"/>
          <w:sz w:val="28"/>
          <w:szCs w:val="28"/>
          <w:lang w:val="en-US" w:eastAsia="zh-CN"/>
        </w:rPr>
        <w:t>1.</w:t>
      </w:r>
      <w:r>
        <w:rPr>
          <w:rFonts w:eastAsia="黑体"/>
          <w:color w:val="000000"/>
          <w:sz w:val="28"/>
          <w:szCs w:val="28"/>
        </w:rPr>
        <w:t>2.2有利于促进农村精神文明建设和社会稳定</w:t>
      </w:r>
    </w:p>
    <w:p>
      <w:pPr>
        <w:ind w:firstLine="544" w:firstLineChars="225"/>
      </w:pPr>
      <w:r>
        <w:t>农村饮水安全工程是缺水地区人民生存和生产的基础。加快解决农村饮水安全问题，是推动全县农村经济社会全面协调发展、促使农村脱贫致富的有效措施。解决农村供水问题，可以提高农村居民健康水平，减少疾病发生；促进文明新村建设，改善生活条件；改善社会环境和生态环境；能带动地方经济发展；可以促进农村精神、物质文明建设。解决农村饮用水安全问题，是贯彻落实党和政府为“三农”服务的具体体现，以达到农村和睦相处、民族团结、人心安定、社会稳定。</w:t>
      </w:r>
    </w:p>
    <w:p>
      <w:pPr>
        <w:rPr>
          <w:rFonts w:eastAsia="黑体"/>
          <w:color w:val="000000"/>
          <w:sz w:val="28"/>
          <w:szCs w:val="28"/>
        </w:rPr>
      </w:pPr>
      <w:r>
        <w:rPr>
          <w:rFonts w:hint="eastAsia" w:eastAsia="黑体"/>
          <w:color w:val="000000"/>
          <w:sz w:val="28"/>
          <w:szCs w:val="28"/>
          <w:lang w:val="en-US" w:eastAsia="zh-CN"/>
        </w:rPr>
        <w:t>5</w:t>
      </w:r>
      <w:r>
        <w:rPr>
          <w:rFonts w:eastAsia="黑体"/>
          <w:color w:val="000000"/>
          <w:sz w:val="28"/>
          <w:szCs w:val="28"/>
        </w:rPr>
        <w:t>.</w:t>
      </w:r>
      <w:r>
        <w:rPr>
          <w:rFonts w:hint="eastAsia" w:eastAsia="黑体"/>
          <w:color w:val="000000"/>
          <w:sz w:val="28"/>
          <w:szCs w:val="28"/>
          <w:lang w:val="en-US" w:eastAsia="zh-CN"/>
        </w:rPr>
        <w:t>1.</w:t>
      </w:r>
      <w:r>
        <w:rPr>
          <w:rFonts w:eastAsia="黑体"/>
          <w:color w:val="000000"/>
          <w:sz w:val="28"/>
          <w:szCs w:val="28"/>
        </w:rPr>
        <w:t>2.3改善了农村基层的党群和干群关系</w:t>
      </w:r>
    </w:p>
    <w:p>
      <w:pPr>
        <w:ind w:firstLine="544" w:firstLineChars="225"/>
      </w:pPr>
      <w:r>
        <w:t>通过近二十年来解决农村饮水的实践证明，广大农民群众对此非常欢迎，认为党和政府是真正在为人民服务，对党和政府更加信任，从而增加了党和政府的凝聚力。在农村饮水安全解决得好的地区，乡镇干部不再为一些农村工作而费尽苦心，农民群众也积极响应政府的号召，自觉地支持基层干部的工作，基层干部也从这项工作中得到深刻教育，认识到只有真正为农民群众做好事、做实事，才能得到群众的拥护和支持。可以说，解决农村饮水安全工程，是顺民意、得民心的“德政工程”和“民心工程”，密切了党群和干群关系。</w:t>
      </w:r>
    </w:p>
    <w:p>
      <w:pPr>
        <w:rPr>
          <w:rFonts w:eastAsia="黑体"/>
          <w:color w:val="000000"/>
          <w:sz w:val="28"/>
          <w:szCs w:val="28"/>
        </w:rPr>
      </w:pPr>
      <w:r>
        <w:rPr>
          <w:rFonts w:hint="eastAsia" w:eastAsia="黑体"/>
          <w:color w:val="000000"/>
          <w:sz w:val="28"/>
          <w:szCs w:val="28"/>
          <w:lang w:val="en-US" w:eastAsia="zh-CN"/>
        </w:rPr>
        <w:t>5</w:t>
      </w:r>
      <w:r>
        <w:rPr>
          <w:rFonts w:eastAsia="黑体"/>
          <w:color w:val="000000"/>
          <w:sz w:val="28"/>
          <w:szCs w:val="28"/>
        </w:rPr>
        <w:t>.</w:t>
      </w:r>
      <w:r>
        <w:rPr>
          <w:rFonts w:hint="eastAsia" w:eastAsia="黑体"/>
          <w:color w:val="000000"/>
          <w:sz w:val="28"/>
          <w:szCs w:val="28"/>
          <w:lang w:val="en-US" w:eastAsia="zh-CN"/>
        </w:rPr>
        <w:t>1.</w:t>
      </w:r>
      <w:r>
        <w:rPr>
          <w:rFonts w:eastAsia="黑体"/>
          <w:color w:val="000000"/>
          <w:sz w:val="28"/>
          <w:szCs w:val="28"/>
        </w:rPr>
        <w:t>2.4改善了社会环境和生态环境</w:t>
      </w:r>
    </w:p>
    <w:p>
      <w:pPr>
        <w:ind w:firstLine="544" w:firstLineChars="225"/>
        <w:rPr>
          <w:rFonts w:hint="eastAsia" w:eastAsia="宋体"/>
          <w:lang w:eastAsia="zh-CN"/>
        </w:rPr>
      </w:pPr>
      <w:r>
        <w:t>随着农村经济的发展和人口的不断增长，人口、资源、环境和发展相互间的矛盾日益突出。在解决农村人口饮水项目实施过程中，实行统一规划，按标准化、规范化、科学化建设，改变过去农民随意建设、严重破坏地表和植被的状况。充分利用当地径流，对水资源进行科学开发、利用和保护。农村饮水工程虽然量大面广，但施工扰动小，通过采取有效措施，不会对当地水资源和环境造成污染、破坏和大面积的影响。在工程建成后，通过建立一系列水源保护措施和办法，还将有利于保护当地水资源和环境。同时，农户利用</w:t>
      </w:r>
      <w:r>
        <w:rPr>
          <w:rFonts w:hint="eastAsia"/>
          <w:lang w:eastAsia="zh-CN"/>
        </w:rPr>
        <w:t>流水</w:t>
      </w:r>
      <w:r>
        <w:t>发展庭院经济，在房前屋后种植果树，可改善居住地周围的环境。</w:t>
      </w:r>
      <w:r>
        <w:rPr>
          <w:rFonts w:hint="eastAsia"/>
          <w:lang w:eastAsia="zh-CN"/>
        </w:rPr>
        <w:t>水美新村的建设也进一步改善了农村生活环境，增加了农村居民的幸福指数。</w:t>
      </w:r>
    </w:p>
    <w:p>
      <w:pPr>
        <w:rPr>
          <w:rFonts w:eastAsia="黑体"/>
          <w:color w:val="000000"/>
          <w:sz w:val="28"/>
          <w:szCs w:val="28"/>
        </w:rPr>
      </w:pPr>
      <w:r>
        <w:rPr>
          <w:rFonts w:hint="eastAsia" w:eastAsia="黑体"/>
          <w:color w:val="000000"/>
          <w:sz w:val="28"/>
          <w:szCs w:val="28"/>
          <w:lang w:val="en-US" w:eastAsia="zh-CN"/>
        </w:rPr>
        <w:t>5</w:t>
      </w:r>
      <w:r>
        <w:rPr>
          <w:rFonts w:eastAsia="黑体"/>
          <w:color w:val="000000"/>
          <w:sz w:val="28"/>
          <w:szCs w:val="28"/>
        </w:rPr>
        <w:t>.</w:t>
      </w:r>
      <w:r>
        <w:rPr>
          <w:rFonts w:hint="eastAsia" w:eastAsia="黑体"/>
          <w:color w:val="000000"/>
          <w:sz w:val="28"/>
          <w:szCs w:val="28"/>
          <w:lang w:val="en-US" w:eastAsia="zh-CN"/>
        </w:rPr>
        <w:t>1.</w:t>
      </w:r>
      <w:r>
        <w:rPr>
          <w:rFonts w:eastAsia="黑体"/>
          <w:color w:val="000000"/>
          <w:sz w:val="28"/>
          <w:szCs w:val="28"/>
        </w:rPr>
        <w:t>2.5带动了地方经济的发展</w:t>
      </w:r>
    </w:p>
    <w:p>
      <w:pPr>
        <w:ind w:firstLine="544" w:firstLineChars="225"/>
      </w:pPr>
      <w:r>
        <w:rPr>
          <w:rFonts w:hint="eastAsia"/>
          <w:lang w:eastAsia="zh-CN"/>
        </w:rPr>
        <w:t>农村水利工程建设</w:t>
      </w:r>
      <w:r>
        <w:t>可以改变农民的生产生活条件，带动地方经济的发展。一方面，有了水，人民的生活才有保障，生产才有基础。另一方面，农民群众用上了清洁卫生水后，身体健康，精力充沛，才能投入到发展生产中去。各级党政领导才能集中精力抓生产，促发展。</w:t>
      </w:r>
    </w:p>
    <w:p>
      <w:pPr>
        <w:ind w:firstLine="448"/>
      </w:pPr>
      <w:r>
        <w:t>大量的工程建设需求必将带动相关企业的生产和发展，并为农村大量的剩余劳动力提供了就业机会。同时，在解决了</w:t>
      </w:r>
      <w:r>
        <w:rPr>
          <w:rFonts w:hint="eastAsia"/>
          <w:lang w:eastAsia="zh-CN"/>
        </w:rPr>
        <w:t>水利</w:t>
      </w:r>
      <w:r>
        <w:t>问题以后，农民生活水平得以提高，对物质生活的需求必然大大增加，这些需求对促进地方经济的发展将起到极大的推动作用。</w:t>
      </w:r>
    </w:p>
    <w:p>
      <w:pPr>
        <w:pStyle w:val="5"/>
        <w:rPr>
          <w:rFonts w:hint="default" w:ascii="Times New Roman" w:hAnsi="Times New Roman"/>
          <w:b w:val="0"/>
          <w:color w:val="auto"/>
          <w:sz w:val="30"/>
          <w:szCs w:val="30"/>
          <w:lang w:val="en-US" w:eastAsia="zh-CN"/>
        </w:rPr>
      </w:pPr>
      <w:r>
        <w:rPr>
          <w:rFonts w:hint="eastAsia" w:ascii="Times New Roman" w:hAnsi="Times New Roman"/>
          <w:b w:val="0"/>
          <w:color w:val="auto"/>
          <w:sz w:val="30"/>
          <w:szCs w:val="30"/>
          <w:lang w:val="en-US" w:eastAsia="zh-CN"/>
        </w:rPr>
        <w:t>5.2环境影响评价</w:t>
      </w:r>
    </w:p>
    <w:p>
      <w:pPr>
        <w:adjustRightInd w:val="0"/>
        <w:snapToGrid w:val="0"/>
        <w:spacing w:line="360" w:lineRule="auto"/>
        <w:rPr>
          <w:rFonts w:hint="eastAsia" w:ascii="宋体" w:hAnsi="宋体" w:eastAsia="宋体" w:cs="宋体"/>
          <w:color w:val="auto"/>
          <w:sz w:val="24"/>
          <w:szCs w:val="24"/>
          <w:lang w:val="en-GB" w:eastAsia="zh-CN"/>
        </w:rPr>
      </w:pPr>
      <w:bookmarkStart w:id="78" w:name="_Toc75873990"/>
      <w:r>
        <w:rPr>
          <w:rFonts w:hint="eastAsia" w:ascii="Times New Roman" w:hAnsi="Times New Roman" w:eastAsia="黑体" w:cs="Times New Roman"/>
          <w:color w:val="000000"/>
          <w:sz w:val="28"/>
          <w:szCs w:val="28"/>
          <w:lang w:val="en-US" w:eastAsia="zh-CN"/>
        </w:rPr>
        <w:t>5.2.1</w:t>
      </w:r>
      <w:r>
        <w:rPr>
          <w:rFonts w:hint="eastAsia" w:ascii="Times New Roman" w:hAnsi="Times New Roman" w:eastAsia="黑体" w:cs="Times New Roman"/>
          <w:color w:val="000000"/>
          <w:sz w:val="28"/>
          <w:szCs w:val="28"/>
          <w:lang w:val="en-GB" w:eastAsia="zh-CN"/>
        </w:rPr>
        <w:t>环境影响评价</w:t>
      </w:r>
      <w:bookmarkEnd w:id="78"/>
    </w:p>
    <w:p>
      <w:pPr>
        <w:adjustRightInd w:val="0"/>
        <w:snapToGrid w:val="0"/>
        <w:spacing w:line="360" w:lineRule="auto"/>
        <w:ind w:firstLine="484" w:firstLineChars="200"/>
        <w:rPr>
          <w:rFonts w:hint="eastAsia" w:ascii="宋体" w:hAnsi="宋体" w:eastAsia="宋体" w:cs="宋体"/>
          <w:color w:val="auto"/>
          <w:sz w:val="24"/>
          <w:szCs w:val="24"/>
          <w:lang w:val="en-GB" w:eastAsia="zh-CN"/>
        </w:rPr>
      </w:pPr>
      <w:r>
        <w:rPr>
          <w:rFonts w:hint="eastAsia" w:ascii="宋体" w:hAnsi="宋体" w:cs="宋体"/>
          <w:color w:val="auto"/>
          <w:sz w:val="24"/>
          <w:szCs w:val="24"/>
          <w:lang w:val="en-GB" w:eastAsia="zh-CN"/>
        </w:rPr>
        <w:t>马边彝族自治县</w:t>
      </w:r>
      <w:r>
        <w:rPr>
          <w:rFonts w:hint="eastAsia" w:ascii="宋体" w:hAnsi="宋体" w:eastAsia="宋体" w:cs="宋体"/>
          <w:color w:val="auto"/>
          <w:sz w:val="24"/>
          <w:szCs w:val="24"/>
          <w:lang w:val="en-GB" w:eastAsia="zh-CN"/>
        </w:rPr>
        <w:t>“十四五”新农水规划的主要建设内容包括</w:t>
      </w:r>
      <w:r>
        <w:rPr>
          <w:rFonts w:hint="eastAsia" w:ascii="宋体" w:hAnsi="宋体" w:eastAsia="宋体" w:cs="宋体"/>
          <w:color w:val="auto"/>
          <w:sz w:val="24"/>
          <w:szCs w:val="24"/>
          <w:lang w:val="en-US" w:eastAsia="zh-CN"/>
        </w:rPr>
        <w:t>进乡村水务和水美新村</w:t>
      </w:r>
      <w:r>
        <w:rPr>
          <w:rFonts w:hint="eastAsia" w:ascii="宋体" w:hAnsi="宋体" w:eastAsia="宋体" w:cs="宋体"/>
          <w:color w:val="auto"/>
          <w:sz w:val="24"/>
          <w:szCs w:val="24"/>
          <w:lang w:val="en-GB" w:eastAsia="zh-CN"/>
        </w:rPr>
        <w:t>，由于规划项目所承担的任务以及保障对象的不同，其环境影响各异，</w:t>
      </w:r>
      <w:r>
        <w:rPr>
          <w:rFonts w:hint="eastAsia" w:ascii="宋体" w:hAnsi="宋体" w:eastAsia="宋体" w:cs="宋体"/>
          <w:color w:val="auto"/>
          <w:sz w:val="24"/>
          <w:szCs w:val="24"/>
          <w:lang w:val="en-US" w:eastAsia="zh-CN"/>
        </w:rPr>
        <w:t>乡村水务和水美新村</w:t>
      </w:r>
      <w:r>
        <w:rPr>
          <w:rFonts w:hint="eastAsia" w:ascii="宋体" w:hAnsi="宋体" w:eastAsia="宋体" w:cs="宋体"/>
          <w:color w:val="auto"/>
          <w:sz w:val="24"/>
          <w:szCs w:val="24"/>
          <w:lang w:val="en-GB" w:eastAsia="zh-CN"/>
        </w:rPr>
        <w:t>工程属生态恢复与保护类工程，有显著的生态环境效益。</w:t>
      </w:r>
    </w:p>
    <w:p>
      <w:pPr>
        <w:adjustRightInd w:val="0"/>
        <w:snapToGrid w:val="0"/>
        <w:spacing w:line="360" w:lineRule="auto"/>
        <w:ind w:firstLine="484" w:firstLineChars="200"/>
        <w:rPr>
          <w:rFonts w:hint="eastAsia" w:ascii="宋体" w:hAnsi="宋体" w:eastAsia="宋体" w:cs="宋体"/>
          <w:color w:val="auto"/>
          <w:sz w:val="24"/>
          <w:szCs w:val="24"/>
          <w:lang w:val="en-GB" w:eastAsia="zh-CN"/>
        </w:rPr>
      </w:pPr>
      <w:r>
        <w:rPr>
          <w:rFonts w:hint="eastAsia" w:ascii="宋体" w:hAnsi="宋体" w:eastAsia="宋体" w:cs="宋体"/>
          <w:color w:val="auto"/>
          <w:sz w:val="24"/>
          <w:szCs w:val="24"/>
          <w:lang w:val="en-GB" w:eastAsia="zh-CN"/>
        </w:rPr>
        <w:t>规划建设项目主要环境影响如下：</w:t>
      </w:r>
    </w:p>
    <w:p>
      <w:pPr>
        <w:adjustRightInd w:val="0"/>
        <w:snapToGrid w:val="0"/>
        <w:spacing w:line="360" w:lineRule="auto"/>
        <w:ind w:firstLine="484" w:firstLineChars="200"/>
        <w:rPr>
          <w:rFonts w:hint="eastAsia" w:ascii="宋体" w:hAnsi="宋体" w:eastAsia="宋体" w:cs="宋体"/>
          <w:color w:val="auto"/>
          <w:sz w:val="24"/>
          <w:szCs w:val="24"/>
          <w:lang w:val="en-GB" w:eastAsia="zh-CN"/>
        </w:rPr>
      </w:pPr>
      <w:r>
        <w:rPr>
          <w:rFonts w:hint="eastAsia" w:ascii="宋体" w:hAnsi="宋体" w:eastAsia="宋体" w:cs="宋体"/>
          <w:color w:val="auto"/>
          <w:sz w:val="24"/>
          <w:szCs w:val="24"/>
          <w:lang w:val="en-US" w:eastAsia="zh-CN"/>
        </w:rPr>
        <w:t>乡村水务和水美新村</w:t>
      </w:r>
      <w:r>
        <w:rPr>
          <w:rFonts w:hint="eastAsia" w:ascii="宋体" w:hAnsi="宋体" w:eastAsia="宋体" w:cs="宋体"/>
          <w:color w:val="auto"/>
          <w:sz w:val="24"/>
          <w:szCs w:val="24"/>
          <w:lang w:val="en-GB" w:eastAsia="zh-CN"/>
        </w:rPr>
        <w:t>建设工程实施的主要有利影响是进一步完善各区域水资源合理配置工程体系，进一步提高农业、工业生产和城镇生活用水效率，有效保护水资源，促进水资源的可持续利用，从而提高供水安全保障程度。其不利影响主要表现在使原有天然河道的水文情势发生变化、水土流失以及对生态环境用水的影响。在项目实施过程中，应结合项目区域的水资源和水环境承载能力，在分析河道内外环境需水的基础上，进一步明确项目开发任务。</w:t>
      </w:r>
    </w:p>
    <w:p>
      <w:pPr>
        <w:adjustRightInd w:val="0"/>
        <w:snapToGrid w:val="0"/>
        <w:spacing w:line="360" w:lineRule="auto"/>
        <w:rPr>
          <w:rFonts w:hint="eastAsia" w:ascii="Times New Roman" w:hAnsi="Times New Roman" w:eastAsia="黑体" w:cs="Times New Roman"/>
          <w:color w:val="000000"/>
          <w:sz w:val="28"/>
          <w:szCs w:val="28"/>
          <w:lang w:val="en-GB" w:eastAsia="zh-CN"/>
        </w:rPr>
      </w:pPr>
      <w:bookmarkStart w:id="79" w:name="_Toc75873991"/>
      <w:r>
        <w:rPr>
          <w:rFonts w:hint="eastAsia" w:ascii="Times New Roman" w:hAnsi="Times New Roman" w:eastAsia="黑体" w:cs="Times New Roman"/>
          <w:color w:val="000000"/>
          <w:sz w:val="28"/>
          <w:szCs w:val="28"/>
          <w:lang w:val="en-US" w:eastAsia="zh-CN"/>
        </w:rPr>
        <w:t>5.2.2</w:t>
      </w:r>
      <w:r>
        <w:rPr>
          <w:rFonts w:hint="eastAsia" w:ascii="Times New Roman" w:hAnsi="Times New Roman" w:eastAsia="黑体" w:cs="Times New Roman"/>
          <w:color w:val="000000"/>
          <w:sz w:val="28"/>
          <w:szCs w:val="28"/>
          <w:lang w:val="en-GB" w:eastAsia="zh-CN"/>
        </w:rPr>
        <w:t>对策与保护措施</w:t>
      </w:r>
      <w:bookmarkEnd w:id="79"/>
    </w:p>
    <w:p>
      <w:pPr>
        <w:adjustRightInd w:val="0"/>
        <w:snapToGrid w:val="0"/>
        <w:spacing w:line="360" w:lineRule="auto"/>
        <w:ind w:firstLine="484" w:firstLineChars="200"/>
        <w:rPr>
          <w:rFonts w:hint="eastAsia" w:ascii="宋体" w:hAnsi="宋体" w:eastAsia="宋体" w:cs="宋体"/>
          <w:color w:val="auto"/>
          <w:sz w:val="24"/>
          <w:szCs w:val="24"/>
          <w:lang w:val="en-GB" w:eastAsia="zh-CN"/>
        </w:rPr>
      </w:pPr>
      <w:r>
        <w:rPr>
          <w:rFonts w:hint="eastAsia" w:ascii="宋体" w:hAnsi="宋体" w:eastAsia="宋体" w:cs="宋体"/>
          <w:color w:val="auto"/>
          <w:sz w:val="24"/>
          <w:szCs w:val="24"/>
          <w:lang w:val="en-GB" w:eastAsia="zh-CN"/>
        </w:rPr>
        <w:t>根据重点水利工程涉及区域生态功能区的生态需水要求，在维持生态系统稳定的前提下，下阶段进一步研究综合用水（生活、生产、生态）需求以及调度运行方案。注重在开发利用中维护河流良好的水生态系统，处理好经济社会发展与水资源承载能力和水环境承载能力的关系。优化工程选址和建设规模，尽量减少占地及移民，从源头减轻移民安置难度。</w:t>
      </w:r>
    </w:p>
    <w:p>
      <w:pPr>
        <w:adjustRightInd w:val="0"/>
        <w:snapToGrid w:val="0"/>
        <w:spacing w:line="360" w:lineRule="auto"/>
        <w:ind w:firstLine="484" w:firstLineChars="200"/>
        <w:rPr>
          <w:rFonts w:hint="eastAsia" w:ascii="宋体" w:hAnsi="宋体" w:eastAsia="宋体" w:cs="宋体"/>
          <w:color w:val="auto"/>
          <w:sz w:val="24"/>
          <w:szCs w:val="24"/>
          <w:lang w:val="en-GB" w:eastAsia="zh-CN"/>
        </w:rPr>
      </w:pPr>
      <w:r>
        <w:rPr>
          <w:rFonts w:hint="eastAsia" w:ascii="宋体" w:hAnsi="宋体" w:eastAsia="宋体" w:cs="宋体"/>
          <w:color w:val="auto"/>
          <w:sz w:val="24"/>
          <w:szCs w:val="24"/>
          <w:lang w:val="en-GB" w:eastAsia="zh-CN"/>
        </w:rPr>
        <w:t>针对规划工程实施带来的生态环境影响，应采取相应的生态修复补偿措施，恢复受损生态系统的功能，减轻规划实施对区域生态环境造成的不利影响。下阶段进一步研究水生生态保护措施、保证下泄生态流量、制定相关的在线监测方案，减缓规划工程实施对水生态环境的影响等；采取移栽或就地保护方案，保护受规划实施影响的珍稀植物等。加强水源地水质保护。</w:t>
      </w:r>
    </w:p>
    <w:p>
      <w:pPr>
        <w:adjustRightInd w:val="0"/>
        <w:snapToGrid w:val="0"/>
        <w:spacing w:line="360" w:lineRule="auto"/>
        <w:ind w:firstLine="484" w:firstLineChars="200"/>
        <w:rPr>
          <w:rFonts w:hint="eastAsia" w:ascii="宋体" w:hAnsi="宋体" w:eastAsia="宋体" w:cs="宋体"/>
          <w:color w:val="auto"/>
          <w:sz w:val="24"/>
          <w:szCs w:val="24"/>
          <w:lang w:val="en-GB" w:eastAsia="zh-CN"/>
        </w:rPr>
      </w:pPr>
      <w:r>
        <w:rPr>
          <w:rFonts w:hint="eastAsia" w:ascii="宋体" w:hAnsi="宋体" w:eastAsia="宋体" w:cs="宋体"/>
          <w:color w:val="auto"/>
          <w:sz w:val="24"/>
          <w:szCs w:val="24"/>
          <w:lang w:val="en-GB" w:eastAsia="zh-CN"/>
        </w:rPr>
        <w:t>在规划工程的选址选线过程中，尽可能避让自然保护区、风景名胜区、饮用水源地等生态敏感区，切实处理好工程建设与生态环境保护的关系。在确实无法避让的情况下，应征求有关部门意见，采取相应处理措施。新建水利项目，应统筹考虑水资源综合利用，满足生态流量需求，并采取切实可行的生态环境保护措施。加强对规划项目实施以及运行环境监测、生态监测、水土保持监测，及时掌握环境变化，采取相应的对策措施。</w:t>
      </w:r>
    </w:p>
    <w:p>
      <w:pPr>
        <w:adjustRightInd w:val="0"/>
        <w:snapToGrid w:val="0"/>
        <w:spacing w:line="360" w:lineRule="auto"/>
        <w:rPr>
          <w:rFonts w:hint="eastAsia" w:ascii="Times New Roman" w:hAnsi="Times New Roman" w:eastAsia="黑体" w:cs="Times New Roman"/>
          <w:color w:val="000000"/>
          <w:sz w:val="28"/>
          <w:szCs w:val="28"/>
          <w:lang w:val="en-GB" w:eastAsia="zh-CN"/>
        </w:rPr>
      </w:pPr>
      <w:bookmarkStart w:id="80" w:name="_Toc75873992"/>
      <w:r>
        <w:rPr>
          <w:rFonts w:hint="eastAsia" w:ascii="Times New Roman" w:hAnsi="Times New Roman" w:eastAsia="黑体" w:cs="Times New Roman"/>
          <w:color w:val="000000"/>
          <w:sz w:val="28"/>
          <w:szCs w:val="28"/>
          <w:lang w:val="en-US" w:eastAsia="zh-CN"/>
        </w:rPr>
        <w:t>5.2.3</w:t>
      </w:r>
      <w:r>
        <w:rPr>
          <w:rFonts w:hint="eastAsia" w:ascii="Times New Roman" w:hAnsi="Times New Roman" w:eastAsia="黑体" w:cs="Times New Roman"/>
          <w:color w:val="000000"/>
          <w:sz w:val="28"/>
          <w:szCs w:val="28"/>
          <w:lang w:val="en-GB" w:eastAsia="zh-CN"/>
        </w:rPr>
        <w:t>评价结论</w:t>
      </w:r>
      <w:bookmarkEnd w:id="80"/>
    </w:p>
    <w:p>
      <w:pPr>
        <w:adjustRightInd w:val="0"/>
        <w:snapToGrid w:val="0"/>
        <w:spacing w:line="360" w:lineRule="auto"/>
        <w:ind w:firstLine="484" w:firstLineChars="200"/>
        <w:rPr>
          <w:rFonts w:hint="eastAsia" w:ascii="宋体" w:hAnsi="宋体" w:eastAsia="宋体" w:cs="宋体"/>
          <w:color w:val="auto"/>
          <w:sz w:val="24"/>
          <w:szCs w:val="24"/>
          <w:lang w:val="en-GB" w:eastAsia="zh-CN"/>
        </w:rPr>
      </w:pPr>
      <w:r>
        <w:rPr>
          <w:rFonts w:hint="eastAsia" w:ascii="宋体" w:hAnsi="宋体" w:cs="宋体"/>
          <w:color w:val="auto"/>
          <w:sz w:val="24"/>
          <w:szCs w:val="24"/>
          <w:lang w:val="en-GB" w:eastAsia="zh-CN"/>
        </w:rPr>
        <w:t>马边彝族自治县</w:t>
      </w:r>
      <w:r>
        <w:rPr>
          <w:rFonts w:hint="eastAsia" w:ascii="宋体" w:hAnsi="宋体" w:eastAsia="宋体" w:cs="宋体"/>
          <w:color w:val="auto"/>
          <w:sz w:val="24"/>
          <w:szCs w:val="24"/>
          <w:lang w:val="en-GB" w:eastAsia="zh-CN"/>
        </w:rPr>
        <w:t>“十四五”新农水规划与全国生态功能区划和区域生态环境保护等相关规划基本协调。规划实施后可大大提高水资源合理配置和高效利用能力、水旱灾害综合防御能力、水土资源保护能力，促进经济社会发展，改善生态环境。规划实施也可能对局部环境带来一些不利影响，应采取有效措施予以减缓或消除。从环境影响评价角度看，该规划实施可行。</w:t>
      </w:r>
    </w:p>
    <w:p>
      <w:pPr>
        <w:ind w:firstLine="448"/>
        <w:sectPr>
          <w:pgSz w:w="11906" w:h="16838"/>
          <w:pgMar w:top="1985" w:right="1588" w:bottom="1701" w:left="1588" w:header="851" w:footer="1134" w:gutter="0"/>
          <w:cols w:space="720" w:num="1"/>
          <w:docGrid w:type="linesAndChars" w:linePitch="469" w:charSpace="512"/>
        </w:sectPr>
      </w:pPr>
    </w:p>
    <w:p>
      <w:pPr>
        <w:pStyle w:val="4"/>
        <w:spacing w:line="240" w:lineRule="auto"/>
        <w:jc w:val="center"/>
        <w:rPr>
          <w:rFonts w:eastAsia="黑体"/>
          <w:b w:val="0"/>
          <w:sz w:val="36"/>
          <w:szCs w:val="36"/>
        </w:rPr>
      </w:pPr>
      <w:r>
        <w:rPr>
          <w:rFonts w:hint="eastAsia" w:eastAsia="黑体"/>
          <w:b w:val="0"/>
          <w:sz w:val="36"/>
          <w:szCs w:val="36"/>
          <w:lang w:val="en-US" w:eastAsia="zh-CN"/>
        </w:rPr>
        <w:t>6规划实施的保障措施</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“十四五”时期，</w:t>
      </w:r>
      <w:r>
        <w:rPr>
          <w:rFonts w:hint="eastAsia" w:ascii="宋体" w:hAnsi="宋体" w:cs="宋体"/>
          <w:color w:val="auto"/>
          <w:sz w:val="24"/>
          <w:szCs w:val="24"/>
          <w:lang w:val="en-US" w:eastAsia="zh-CN"/>
        </w:rPr>
        <w:t>马边彝族自治县</w:t>
      </w:r>
      <w:r>
        <w:rPr>
          <w:rFonts w:hint="eastAsia" w:ascii="宋体" w:hAnsi="宋体" w:eastAsia="宋体" w:cs="宋体"/>
          <w:color w:val="auto"/>
          <w:sz w:val="24"/>
          <w:szCs w:val="24"/>
          <w:lang w:val="en-US" w:eastAsia="zh-CN"/>
        </w:rPr>
        <w:t>水利建设任务重、改革难度大、管理要求高，相关部门要采取强有力的措施，保障规划顺利实施。</w:t>
      </w:r>
    </w:p>
    <w:p>
      <w:pPr>
        <w:pStyle w:val="5"/>
        <w:rPr>
          <w:rFonts w:hint="eastAsia" w:ascii="Times New Roman" w:hAnsi="Times New Roman" w:cs="Times New Roman"/>
          <w:b w:val="0"/>
          <w:bCs/>
          <w:color w:val="auto"/>
          <w:sz w:val="30"/>
          <w:szCs w:val="30"/>
          <w:lang w:val="en-US" w:eastAsia="zh-CN"/>
        </w:rPr>
      </w:pPr>
      <w:bookmarkStart w:id="81" w:name="_Toc75873994"/>
      <w:r>
        <w:rPr>
          <w:rFonts w:hint="eastAsia" w:ascii="Times New Roman" w:hAnsi="Times New Roman" w:cs="Times New Roman"/>
          <w:b w:val="0"/>
          <w:bCs/>
          <w:color w:val="auto"/>
          <w:sz w:val="30"/>
          <w:szCs w:val="30"/>
          <w:lang w:val="en-US" w:eastAsia="zh-CN"/>
        </w:rPr>
        <w:t>6.1组织保障</w:t>
      </w:r>
      <w:bookmarkEnd w:id="81"/>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县人民政府是水利发展的责任主体，要把水利作为“十四五”时期国民经济和社会发展的优先领域，切实加强组织领导，把水利工作纳入政府任期工作目标。合理划分事权，落实目标任务，严格考核，加强督查，确保顺利实施。有关部门和单位要切实履行职责，增强大局意识和服务意识，加强协作，细化工作方案，合理配置资源，落实好规划各项任务。</w:t>
      </w:r>
    </w:p>
    <w:p>
      <w:pPr>
        <w:pStyle w:val="5"/>
        <w:rPr>
          <w:rFonts w:hint="eastAsia" w:ascii="Times New Roman" w:hAnsi="Times New Roman" w:cs="Times New Roman"/>
          <w:b w:val="0"/>
          <w:bCs/>
          <w:color w:val="auto"/>
          <w:sz w:val="30"/>
          <w:szCs w:val="30"/>
          <w:lang w:val="en-US" w:eastAsia="zh-CN"/>
        </w:rPr>
      </w:pPr>
      <w:bookmarkStart w:id="82" w:name="_Toc75873995"/>
      <w:r>
        <w:rPr>
          <w:rFonts w:hint="eastAsia" w:ascii="Times New Roman" w:hAnsi="Times New Roman" w:cs="Times New Roman"/>
          <w:b w:val="0"/>
          <w:bCs/>
          <w:color w:val="auto"/>
          <w:sz w:val="30"/>
          <w:szCs w:val="30"/>
          <w:lang w:val="en-US" w:eastAsia="zh-CN"/>
        </w:rPr>
        <w:t>6.2政策保障</w:t>
      </w:r>
      <w:bookmarkEnd w:id="82"/>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 配套完善水利建设各项扶持政策</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根据实际情况，解决农村水利、饮水工程建设用地，对建设、运行给予税收优惠，继续执行供水用电按居民生活或农业排灌用电价格收费。</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 出台鼓励和引导民间投资政策</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鼓励民间资本参与水利工程建设，完善水利工程供水价格机制，吸引社会各界、企业投资水利建设。</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 巩固完善水务投资建设平台和基层服务体系建设</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创新农村水利发展机制，加强对农民用水户协会、专业大户、家庭农场、农民合作、农民企业等新型农业经营主体的指导。</w:t>
      </w:r>
    </w:p>
    <w:p>
      <w:pPr>
        <w:pStyle w:val="5"/>
        <w:rPr>
          <w:rFonts w:hint="eastAsia" w:ascii="Times New Roman" w:hAnsi="Times New Roman" w:cs="Times New Roman"/>
          <w:b w:val="0"/>
          <w:bCs/>
          <w:color w:val="auto"/>
          <w:sz w:val="30"/>
          <w:szCs w:val="30"/>
          <w:lang w:val="en-US" w:eastAsia="zh-CN"/>
        </w:rPr>
      </w:pPr>
      <w:bookmarkStart w:id="83" w:name="_Toc75873996"/>
      <w:r>
        <w:rPr>
          <w:rFonts w:hint="eastAsia" w:ascii="Times New Roman" w:hAnsi="Times New Roman" w:cs="Times New Roman"/>
          <w:b w:val="0"/>
          <w:bCs/>
          <w:color w:val="auto"/>
          <w:sz w:val="30"/>
          <w:szCs w:val="30"/>
          <w:lang w:val="en-US" w:eastAsia="zh-CN"/>
        </w:rPr>
        <w:t>6.3资金保障</w:t>
      </w:r>
      <w:bookmarkEnd w:id="83"/>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要保证“十四五”新农水规划顺利实施，必须认真研究建设资金筹措问题，广开资金渠道。按照《国务院关于投资体制改革的决定》的要求，深化水利投融资体制改革，建立多元化、多渠道、多层次的水利投融资体系，调动全社会投资办水利的积极性，引导地方、集体和农民增加对水利投资投劳的自觉性。要明确事权，调整投资方向，加大省、市水利建设的投入力度，建立地方配套资金的约束保障机制，多渠道增加水利投入，建立稳定可靠的水利投入保障机制。</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 加大各级政府对水利投入的力度</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各级政府要调整财政支出结构，增加水利投入，保证社会公益性水利基础设施建设的资金需要，加强骨干防洪设施、大中型水资源工程和水利设施的建设，确保用于水利的财政支出总量增长，水利基本建设投资比重稳步提高；抓好水利政策性规费征收工作，重点落实好《水法》、《水土保持法》、《防洪法》赋予水行政主管部门征收的涉水行政收费项目，配套完善政策法规，加大规费征收力度，增加水利建设管理和水土资源涵养保护资金。</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加大公共财政投入力度，政府对水利投入的增幅要高于财政经常性收入的增幅，建议从土地出让金和城市维护建设税中予以考虑。</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 划分事权，调动全社会投资办水利的积极性</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按照新《水法》和《水利产业政策》要求，划分中央和地方以及政府、市场及受益者的事权与责任，明确各类水利工程的投资主体。对国家重点支持建设的水利项目，由中央和地方政府共同负责；局部受益的防洪除涝、城市防洪、灌溉排水、水资源开发利用等工程，按“谁受益、谁投资”的原则，主要由受益方负责；以社会效益为主、公益性较强的项目，按照“分级建设，分级负担，分级负责”的原则，主要由各级政府财政预算内和水利专项资金投资建设；经济效益较明显的项目，如城镇供水等，通过政府或项目业主注入资本金，按照市场机制筹集资金建设。</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 积极利用市场机制筹集水利建设资金</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对于城镇供水、旅游、节水等经济效益较明显的水利建设项目，通过特许经营等放宽社会资金参与水利建设的限制条件，提供法规保障，建立财政信贷机制，提供长期优惠贷款，并积极利用资本市场筹资建设。鼓励全社会积极参与水利投资建设和运营。</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深化投融资体制改革，引入市场机制，多渠道筹集建设资金，投入公益性和准公益性水利重点项目建设。利用市场机制吸引社会投入，按照“谁投资、谁所有、谁收益”的原则，把经营性为主的水利项目全面推向市场。</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 调动群众参加水利建设的积极性</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对小型水利工程和水土保持生态建设等水利项目，在政府给予适当补助和扶持的同时，有条件的逐步采取租赁、承包经营等方式盘活存量资产，开发并保护水土资源，调动广大群众积极参与供水、节水、水资源保护的积极性。</w:t>
      </w:r>
    </w:p>
    <w:p>
      <w:pPr>
        <w:pStyle w:val="5"/>
        <w:rPr>
          <w:rFonts w:hint="eastAsia" w:ascii="Times New Roman" w:hAnsi="Times New Roman" w:cs="Times New Roman"/>
          <w:b w:val="0"/>
          <w:bCs/>
          <w:color w:val="auto"/>
          <w:sz w:val="30"/>
          <w:szCs w:val="30"/>
          <w:lang w:val="en-US" w:eastAsia="zh-CN"/>
        </w:rPr>
      </w:pPr>
      <w:bookmarkStart w:id="84" w:name="_Toc75873997"/>
      <w:r>
        <w:rPr>
          <w:rFonts w:hint="eastAsia" w:ascii="Times New Roman" w:hAnsi="Times New Roman" w:cs="Times New Roman"/>
          <w:b w:val="0"/>
          <w:bCs/>
          <w:color w:val="auto"/>
          <w:sz w:val="30"/>
          <w:szCs w:val="30"/>
          <w:lang w:val="en-US" w:eastAsia="zh-CN"/>
        </w:rPr>
        <w:t>6.4基础保障</w:t>
      </w:r>
      <w:bookmarkEnd w:id="84"/>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进一步明确水利规划的法律地位，强化规划的指导和约束作用。水资源的开发利用，必须符合全县水资源开发利用规划和专业规划。加快水利工程前期工作进度。加大对水利科技的财政投入力度，推进水利科技进步。</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 做好前期工作，加强项目管理</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规划一经批复，“十四五”期间县内开工建设的水利项目应为规划内项目，规划外项目原则上不予建设，针对特殊情况采取“一事一议”的方式解决。</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本次规划的项目众多，要实现规划目标，必须集中全力推动，加强对规划的中小型项目管理，建立健全规划实施的评估制度，适时组织开展水利规划实施情况的中期评估，及时发现规划实施中的问题，提出规划调整或修订的意见，提高规划的实施效果。</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highlight w:val="none"/>
          <w:lang w:val="en-US" w:eastAsia="zh-CN"/>
        </w:rPr>
        <w:t>批准的“十四五”新农水规划是</w:t>
      </w:r>
      <w:r>
        <w:rPr>
          <w:rFonts w:hint="eastAsia" w:ascii="宋体" w:hAnsi="宋体" w:eastAsia="宋体" w:cs="宋体"/>
          <w:color w:val="auto"/>
          <w:sz w:val="24"/>
          <w:szCs w:val="24"/>
          <w:lang w:val="en-US" w:eastAsia="zh-CN"/>
        </w:rPr>
        <w:t>未来五年水利建设的基本依据，要进一步明确规划的法律地位，强化规划的指导和约束作用。坚持以规划为依据，认真做好工程设计，按照建设项目建设程序，加快项目前期工作进度，积极推动规划项目实施。</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 提高水利科技应用水平</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针对水利建设的实际需要，重点引进适用的科学技术，并通过有针对性的研究，探索适合本地区特点的水利技术，为建设安全的水资源供给体系、人水协调的防洪减灾体系、可持续的水土保持生态环境与水资源保护体系和建设全面的节水型社会奠定科学技术基础。</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在水利应用技术方面，积极运用新方法，新技术、新工艺、新材料、新设备，对水利设施进行技术改造。</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用信息化推动水利现代化的发展，推广应用防灾减灾新技术，节水新技术，水环境保护新技术等最新成果。提高水利工程的科技含量和工艺、质量水平，提高水利工程管理技术与效率，逐步提高水利工程管理工作的信息化水平。</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积极创造条件，与国内、省内先进发达地区开展科技合作和技术交流，做好先进技术的引进、消化和吸收。有计划、有针对性地组织科技和管理人员到发达地区和国家进修学习，提高技术水平。进一步提高水利工程勘测设计水平，不断提高水利管理水平。</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 加强人才队伍培养</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采用多种形式培养人才，吸引人才，挖掘人才的潜能，发挥人才的作用。运用有力的组织措施和激励机制，稳定水利人才，建立一支人才结构合理、人员精干高效、适应地区水利建设的人才队伍。应建立有利于吸引水利管理人才、留住水利管理人才和人尽其才的激励机制，激发广大干部职工为水利管理事业建功立业的积极性和创造性。同时，要围绕水利建设与管理中急需解决的问题，大力培养急需人才。根据水利建设和发展的需要，通过举办培训班、鼓励自学成才等多种形式进行人才培养，逐步提高水利人才队伍的文化学历水平，逐步完善水利各专业的人才配备，提高水利管理人员中本科以上文化程度人员的比重。</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要实现传统水利向现代水利、可持续发展水利转变，推进水利的现代化，就必须加强专业技术人才队伍建设，为水利的可持续发展和水利的现代化提供人才保证和智力支持。</w:t>
      </w:r>
    </w:p>
    <w:p>
      <w:pPr>
        <w:adjustRightInd w:val="0"/>
        <w:snapToGrid w:val="0"/>
        <w:spacing w:line="360" w:lineRule="auto"/>
        <w:ind w:firstLine="484"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 鼓励公众参与，社会共同实施</w:t>
      </w:r>
    </w:p>
    <w:p>
      <w:pPr>
        <w:adjustRightInd w:val="0"/>
        <w:snapToGrid w:val="0"/>
        <w:spacing w:line="360" w:lineRule="auto"/>
        <w:ind w:firstLine="484" w:firstLineChars="200"/>
      </w:pPr>
      <w:r>
        <w:rPr>
          <w:rFonts w:hint="eastAsia" w:ascii="宋体" w:hAnsi="宋体" w:eastAsia="宋体" w:cs="宋体"/>
          <w:color w:val="auto"/>
          <w:sz w:val="24"/>
          <w:szCs w:val="24"/>
          <w:lang w:val="en-US" w:eastAsia="zh-CN"/>
        </w:rPr>
        <w:t>广泛深入地宣传《中华人民共和国水法》、《中华人民共和国防洪法》、《中华人民共和国水土保持法》等法律法规，以及水利部《水利规划管理办法（试行）》、《四川省水利规划管理实施细则（试行）》，增强广大干部群众的水利规划意识和法制观念，逐步形成全社会关心、支持、参与水利规划工作的良好局面。广泛听取公众意见，充分反映公众意愿，提高全社会对加快水利发展和改革的认同程度，引导公众积极地参与和支持水利规划实施，使规划实施取得更好的效果。</w:t>
      </w:r>
    </w:p>
    <w:p>
      <w:pPr>
        <w:spacing w:line="520" w:lineRule="exact"/>
        <w:ind w:firstLine="484" w:firstLineChars="200"/>
      </w:pPr>
    </w:p>
    <w:sectPr>
      <w:pgSz w:w="11906" w:h="16838"/>
      <w:pgMar w:top="1985" w:right="1588" w:bottom="1701" w:left="1588" w:header="851" w:footer="1134" w:gutter="0"/>
      <w:cols w:space="720" w:num="1"/>
      <w:docGrid w:type="linesAndChars" w:linePitch="469" w:charSpace="5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Garamond">
    <w:panose1 w:val="02020404030301010803"/>
    <w:charset w:val="00"/>
    <w:family w:val="roman"/>
    <w:pitch w:val="default"/>
    <w:sig w:usb0="00000287" w:usb1="00000000" w:usb2="00000000" w:usb3="00000000" w:csb0="0000009F" w:csb1="DFD70000"/>
  </w:font>
  <w:font w:name="Cambria">
    <w:panose1 w:val="02040503050406030204"/>
    <w:charset w:val="00"/>
    <w:family w:val="roman"/>
    <w:pitch w:val="default"/>
    <w:sig w:usb0="E00002FF" w:usb1="400004FF" w:usb2="00000000" w:usb3="00000000" w:csb0="2000019F" w:csb1="00000000"/>
  </w:font>
  <w:font w:name="华文细黑">
    <w:panose1 w:val="02010600040101010101"/>
    <w:charset w:val="86"/>
    <w:family w:val="auto"/>
    <w:pitch w:val="default"/>
    <w:sig w:usb0="00000287" w:usb1="080F0000" w:usb2="00000000" w:usb3="00000000" w:csb0="0004009F" w:csb1="DFD70000"/>
  </w:font>
  <w:font w:name="新宋体">
    <w:panose1 w:val="02010609030101010101"/>
    <w:charset w:val="86"/>
    <w:family w:val="modern"/>
    <w:pitch w:val="default"/>
    <w:sig w:usb0="00000003" w:usb1="288F0000" w:usb2="00000006" w:usb3="00000000" w:csb0="00040001" w:csb1="00000000"/>
  </w:font>
  <w:font w:name="等线 Light">
    <w:altName w:val="宋体"/>
    <w:panose1 w:val="02010600030101010101"/>
    <w:charset w:val="86"/>
    <w:family w:val="auto"/>
    <w:pitch w:val="default"/>
    <w:sig w:usb0="00000000" w:usb1="00000000" w:usb2="00000016" w:usb3="00000000" w:csb0="0004000F" w:csb1="00000000"/>
  </w:font>
  <w:font w:name="楷体_GB2312">
    <w:altName w:val="楷体"/>
    <w:panose1 w:val="02010609030101010101"/>
    <w:charset w:val="86"/>
    <w:family w:val="modern"/>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Arial Unicode MS">
    <w:panose1 w:val="020B0604020202020204"/>
    <w:charset w:val="86"/>
    <w:family w:val="roman"/>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80F3C52" w:usb2="00000016" w:usb3="00000000" w:csb0="0004001F" w:csb1="00000000"/>
  </w:font>
  <w:font w:name="柧挬">
    <w:altName w:val="宋体"/>
    <w:panose1 w:val="00000000000000000000"/>
    <w:charset w:val="86"/>
    <w:family w:val="roman"/>
    <w:pitch w:val="default"/>
    <w:sig w:usb0="00000000" w:usb1="00000000" w:usb2="0000001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Verdana">
    <w:panose1 w:val="020B0604030504040204"/>
    <w:charset w:val="00"/>
    <w:family w:val="swiss"/>
    <w:pitch w:val="default"/>
    <w:sig w:usb0="A10006FF" w:usb1="4000205B" w:usb2="00000010" w:usb3="00000000" w:csb0="2000019F" w:csb1="00000000"/>
  </w:font>
  <w:font w:name="方正隶书简体">
    <w:altName w:val="宋体"/>
    <w:panose1 w:val="03000509000000000000"/>
    <w:charset w:val="86"/>
    <w:family w:val="script"/>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framePr w:wrap="around" w:vAnchor="text" w:hAnchor="margin" w:xAlign="right" w:y="1"/>
      <w:rPr>
        <w:rStyle w:val="90"/>
      </w:rPr>
    </w:pPr>
    <w:r>
      <w:fldChar w:fldCharType="begin"/>
    </w:r>
    <w:r>
      <w:rPr>
        <w:rStyle w:val="90"/>
      </w:rPr>
      <w:instrText xml:space="preserve">PAGE  </w:instrText>
    </w:r>
    <w:r>
      <w:fldChar w:fldCharType="end"/>
    </w:r>
  </w:p>
  <w:p>
    <w:pPr>
      <w:pStyle w:val="5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ind w:right="360"/>
      <w:rPr>
        <w:rFonts w:hint="eastAsia"/>
        <w:sz w:val="21"/>
        <w:szCs w:val="21"/>
      </w:rPr>
    </w:pPr>
    <w:r>
      <w:rPr>
        <w:rFonts w:hint="eastAsia"/>
        <w:sz w:val="21"/>
        <w:szCs w:val="21"/>
      </w:rPr>
      <mc:AlternateContent>
        <mc:Choice Requires="wps">
          <w:drawing>
            <wp:anchor distT="0" distB="0" distL="114300" distR="114300" simplePos="0" relativeHeight="251659264" behindDoc="0" locked="0" layoutInCell="1" allowOverlap="1">
              <wp:simplePos x="0" y="0"/>
              <wp:positionH relativeFrom="column">
                <wp:posOffset>13970</wp:posOffset>
              </wp:positionH>
              <wp:positionV relativeFrom="paragraph">
                <wp:posOffset>-76835</wp:posOffset>
              </wp:positionV>
              <wp:extent cx="5541010" cy="0"/>
              <wp:effectExtent l="0" t="0" r="0" b="0"/>
              <wp:wrapNone/>
              <wp:docPr id="4" name="直线 6"/>
              <wp:cNvGraphicFramePr/>
              <a:graphic xmlns:a="http://schemas.openxmlformats.org/drawingml/2006/main">
                <a:graphicData uri="http://schemas.microsoft.com/office/word/2010/wordprocessingShape">
                  <wps:wsp>
                    <wps:cNvCnPr/>
                    <wps:spPr>
                      <a:xfrm>
                        <a:off x="0" y="0"/>
                        <a:ext cx="554101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6" o:spid="_x0000_s1026" o:spt="20" style="position:absolute;left:0pt;margin-left:1.1pt;margin-top:-6.05pt;height:0pt;width:436.3pt;z-index:251659264;mso-width-relative:page;mso-height-relative:page;" filled="f" stroked="t" coordsize="21600,21600" o:gfxdata="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Lp0BK1QAA&#10;AAkBAAAPAAAAAAAAAAEAIAAAACIAAABkcnMvZG93bnJldi54bWxQSwECFAAUAAAACACHTuJA9agR&#10;dOgBAADbAwAADgAAAAAAAAABACAAAAAkAQAAZHJzL2Uyb0RvYy54bWxQSwUGAAAAAAYABgBZAQAA&#10;fgUAAAAA&#10;">
              <v:fill on="f" focussize="0,0"/>
              <v:stroke color="#000000" joinstyle="round"/>
              <v:imagedata o:title=""/>
              <o:lock v:ext="edit" aspectratio="f"/>
            </v:line>
          </w:pict>
        </mc:Fallback>
      </mc:AlternateContent>
    </w:r>
    <w:r>
      <w:rPr>
        <w:rFonts w:hint="eastAsia"/>
        <w:sz w:val="21"/>
        <w:szCs w:val="21"/>
      </w:rPr>
      <w:t>乐山市水利电力建筑勘察设计研究院</w:t>
    </w:r>
  </w:p>
  <w:p>
    <w:pPr>
      <w:pStyle w:val="5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framePr w:wrap="around" w:vAnchor="text" w:hAnchor="margin" w:xAlign="right" w:y="1"/>
      <w:rPr>
        <w:rStyle w:val="90"/>
        <w:sz w:val="21"/>
        <w:szCs w:val="21"/>
      </w:rPr>
    </w:pPr>
    <w:r>
      <w:rPr>
        <w:sz w:val="21"/>
        <w:szCs w:val="21"/>
      </w:rPr>
      <w:fldChar w:fldCharType="begin"/>
    </w:r>
    <w:r>
      <w:rPr>
        <w:rStyle w:val="90"/>
        <w:sz w:val="21"/>
        <w:szCs w:val="21"/>
      </w:rPr>
      <w:instrText xml:space="preserve">PAGE  </w:instrText>
    </w:r>
    <w:r>
      <w:rPr>
        <w:sz w:val="21"/>
        <w:szCs w:val="21"/>
      </w:rPr>
      <w:fldChar w:fldCharType="separate"/>
    </w:r>
    <w:r>
      <w:rPr>
        <w:rStyle w:val="90"/>
        <w:sz w:val="21"/>
        <w:szCs w:val="21"/>
      </w:rPr>
      <w:t>1</w:t>
    </w:r>
    <w:r>
      <w:rPr>
        <w:sz w:val="21"/>
        <w:szCs w:val="21"/>
      </w:rPr>
      <w:fldChar w:fldCharType="end"/>
    </w:r>
  </w:p>
  <w:p>
    <w:pPr>
      <w:pStyle w:val="54"/>
      <w:ind w:right="360"/>
      <w:rPr>
        <w:rFonts w:hint="eastAsia"/>
        <w:sz w:val="21"/>
        <w:szCs w:val="21"/>
      </w:rPr>
    </w:pPr>
    <w:r>
      <w:rPr>
        <w:rFonts w:hint="eastAsia"/>
        <w:sz w:val="21"/>
        <w:szCs w:val="21"/>
      </w:rPr>
      <mc:AlternateContent>
        <mc:Choice Requires="wps">
          <w:drawing>
            <wp:anchor distT="0" distB="0" distL="114300" distR="114300" simplePos="0" relativeHeight="251662336" behindDoc="0" locked="0" layoutInCell="1" allowOverlap="1">
              <wp:simplePos x="0" y="0"/>
              <wp:positionH relativeFrom="column">
                <wp:posOffset>13970</wp:posOffset>
              </wp:positionH>
              <wp:positionV relativeFrom="paragraph">
                <wp:posOffset>-76835</wp:posOffset>
              </wp:positionV>
              <wp:extent cx="5541010" cy="0"/>
              <wp:effectExtent l="0" t="0" r="0" b="0"/>
              <wp:wrapNone/>
              <wp:docPr id="7" name="直线 26"/>
              <wp:cNvGraphicFramePr/>
              <a:graphic xmlns:a="http://schemas.openxmlformats.org/drawingml/2006/main">
                <a:graphicData uri="http://schemas.microsoft.com/office/word/2010/wordprocessingShape">
                  <wps:wsp>
                    <wps:cNvCnPr/>
                    <wps:spPr>
                      <a:xfrm>
                        <a:off x="0" y="0"/>
                        <a:ext cx="554101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6" o:spid="_x0000_s1026" o:spt="20" style="position:absolute;left:0pt;margin-left:1.1pt;margin-top:-6.05pt;height:0pt;width:436.3pt;z-index:251662336;mso-width-relative:page;mso-height-relative:page;" filled="f" stroked="t" coordsize="21600,21600" o:gfxdata="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C6dAStUA&#10;AAAJAQAADwAAAAAAAAABACAAAAAiAAAAZHJzL2Rvd25yZXYueG1sUEsBAhQAFAAAAAgAh07iQLjI&#10;5VHpAQAA3AMAAA4AAAAAAAAAAQAgAAAAJAEAAGRycy9lMm9Eb2MueG1sUEsFBgAAAAAGAAYAWQEA&#10;AH8FAAAAAA==&#10;">
              <v:fill on="f" focussize="0,0"/>
              <v:stroke color="#000000" joinstyle="round"/>
              <v:imagedata o:title=""/>
              <o:lock v:ext="edit" aspectratio="f"/>
            </v:line>
          </w:pict>
        </mc:Fallback>
      </mc:AlternateContent>
    </w:r>
    <w:r>
      <w:rPr>
        <w:rFonts w:hint="eastAsia"/>
        <w:sz w:val="21"/>
        <w:szCs w:val="21"/>
      </w:rPr>
      <w:t>乐山市水利电力建筑勘察设计研究院</w:t>
    </w:r>
  </w:p>
  <w:p>
    <w:pPr>
      <w:pStyle w:val="54"/>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framePr w:wrap="around" w:vAnchor="text" w:hAnchor="margin" w:xAlign="right" w:y="1"/>
      <w:rPr>
        <w:rStyle w:val="90"/>
        <w:sz w:val="21"/>
        <w:szCs w:val="21"/>
      </w:rPr>
    </w:pPr>
    <w:r>
      <w:rPr>
        <w:sz w:val="21"/>
        <w:szCs w:val="21"/>
      </w:rPr>
      <w:fldChar w:fldCharType="begin"/>
    </w:r>
    <w:r>
      <w:rPr>
        <w:rStyle w:val="90"/>
        <w:sz w:val="21"/>
        <w:szCs w:val="21"/>
      </w:rPr>
      <w:instrText xml:space="preserve">PAGE  </w:instrText>
    </w:r>
    <w:r>
      <w:rPr>
        <w:sz w:val="21"/>
        <w:szCs w:val="21"/>
      </w:rPr>
      <w:fldChar w:fldCharType="separate"/>
    </w:r>
    <w:r>
      <w:rPr>
        <w:rStyle w:val="90"/>
        <w:sz w:val="21"/>
        <w:szCs w:val="21"/>
      </w:rPr>
      <w:t>5</w:t>
    </w:r>
    <w:r>
      <w:rPr>
        <w:sz w:val="21"/>
        <w:szCs w:val="21"/>
      </w:rPr>
      <w:fldChar w:fldCharType="end"/>
    </w:r>
  </w:p>
  <w:p>
    <w:pPr>
      <w:pStyle w:val="54"/>
      <w:ind w:right="360"/>
      <w:rPr>
        <w:rFonts w:hint="eastAsia"/>
        <w:sz w:val="21"/>
        <w:szCs w:val="21"/>
      </w:rPr>
    </w:pPr>
    <w:r>
      <w:rPr>
        <w:rFonts w:hint="eastAsia"/>
        <w:sz w:val="21"/>
        <w:szCs w:val="21"/>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-76835</wp:posOffset>
              </wp:positionV>
              <wp:extent cx="5541010" cy="0"/>
              <wp:effectExtent l="0" t="0" r="0" b="0"/>
              <wp:wrapNone/>
              <wp:docPr id="5" name="直线 7"/>
              <wp:cNvGraphicFramePr/>
              <a:graphic xmlns:a="http://schemas.openxmlformats.org/drawingml/2006/main">
                <a:graphicData uri="http://schemas.microsoft.com/office/word/2010/wordprocessingShape">
                  <wps:wsp>
                    <wps:cNvCnPr/>
                    <wps:spPr>
                      <a:xfrm>
                        <a:off x="0" y="0"/>
                        <a:ext cx="554101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7" o:spid="_x0000_s1026" o:spt="20" style="position:absolute;left:0pt;margin-left:1.1pt;margin-top:-6.05pt;height:0pt;width:436.3pt;z-index:251660288;mso-width-relative:page;mso-height-relative:page;" filled="f" stroked="t" coordsize="21600,21600" o:gfxdata="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Lp0BK1QAA&#10;AAkBAAAPAAAAAAAAAAEAIAAAACIAAABkcnMvZG93bnJldi54bWxQSwECFAAUAAAACACHTuJA/HFn&#10;E+gBAADbAwAADgAAAAAAAAABACAAAAAkAQAAZHJzL2Uyb0RvYy54bWxQSwUGAAAAAAYABgBZAQAA&#10;fgUAAAAA&#10;">
              <v:fill on="f" focussize="0,0"/>
              <v:stroke color="#000000" joinstyle="round"/>
              <v:imagedata o:title=""/>
              <o:lock v:ext="edit" aspectratio="f"/>
            </v:line>
          </w:pict>
        </mc:Fallback>
      </mc:AlternateContent>
    </w:r>
    <w:r>
      <w:rPr>
        <w:rFonts w:hint="eastAsia"/>
        <w:sz w:val="21"/>
        <w:szCs w:val="21"/>
      </w:rPr>
      <w:t>乐山市水利电力建筑勘察设计研究院</w:t>
    </w:r>
  </w:p>
  <w:p>
    <w:pPr>
      <w:pStyle w:val="54"/>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framePr w:wrap="around" w:vAnchor="text" w:hAnchor="margin" w:xAlign="right" w:y="1"/>
      <w:rPr>
        <w:rStyle w:val="90"/>
        <w:sz w:val="21"/>
        <w:szCs w:val="21"/>
      </w:rPr>
    </w:pPr>
    <w:r>
      <w:rPr>
        <w:sz w:val="21"/>
        <w:szCs w:val="21"/>
      </w:rPr>
      <w:fldChar w:fldCharType="begin"/>
    </w:r>
    <w:r>
      <w:rPr>
        <w:rStyle w:val="90"/>
        <w:sz w:val="21"/>
        <w:szCs w:val="21"/>
      </w:rPr>
      <w:instrText xml:space="preserve">PAGE  </w:instrText>
    </w:r>
    <w:r>
      <w:rPr>
        <w:sz w:val="21"/>
        <w:szCs w:val="21"/>
      </w:rPr>
      <w:fldChar w:fldCharType="separate"/>
    </w:r>
    <w:r>
      <w:rPr>
        <w:rStyle w:val="90"/>
        <w:sz w:val="21"/>
        <w:szCs w:val="21"/>
      </w:rPr>
      <w:t>131</w:t>
    </w:r>
    <w:r>
      <w:rPr>
        <w:sz w:val="21"/>
        <w:szCs w:val="21"/>
      </w:rPr>
      <w:fldChar w:fldCharType="end"/>
    </w:r>
  </w:p>
  <w:p>
    <w:pPr>
      <w:pStyle w:val="54"/>
      <w:ind w:right="360"/>
      <w:rPr>
        <w:rFonts w:hint="eastAsia"/>
        <w:sz w:val="21"/>
        <w:szCs w:val="21"/>
      </w:rPr>
    </w:pPr>
    <w:r>
      <w:rPr>
        <w:rFonts w:hint="eastAsia"/>
        <w:sz w:val="21"/>
        <w:szCs w:val="21"/>
      </w:rPr>
      <mc:AlternateContent>
        <mc:Choice Requires="wps">
          <w:drawing>
            <wp:anchor distT="0" distB="0" distL="114300" distR="114300" simplePos="0" relativeHeight="251661312" behindDoc="0" locked="0" layoutInCell="1" allowOverlap="1">
              <wp:simplePos x="0" y="0"/>
              <wp:positionH relativeFrom="column">
                <wp:posOffset>13970</wp:posOffset>
              </wp:positionH>
              <wp:positionV relativeFrom="paragraph">
                <wp:posOffset>-76835</wp:posOffset>
              </wp:positionV>
              <wp:extent cx="5541010" cy="0"/>
              <wp:effectExtent l="0" t="0" r="0" b="0"/>
              <wp:wrapNone/>
              <wp:docPr id="6" name="直线 25"/>
              <wp:cNvGraphicFramePr/>
              <a:graphic xmlns:a="http://schemas.openxmlformats.org/drawingml/2006/main">
                <a:graphicData uri="http://schemas.microsoft.com/office/word/2010/wordprocessingShape">
                  <wps:wsp>
                    <wps:cNvCnPr/>
                    <wps:spPr>
                      <a:xfrm>
                        <a:off x="0" y="0"/>
                        <a:ext cx="554101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5" o:spid="_x0000_s1026" o:spt="20" style="position:absolute;left:0pt;margin-left:1.1pt;margin-top:-6.05pt;height:0pt;width:436.3pt;z-index:251661312;mso-width-relative:page;mso-height-relative:page;" filled="f" stroked="t" coordsize="21600,21600" o:gfxdata="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Lp0BK1QAA&#10;AAkBAAAPAAAAAAAAAAEAIAAAACIAAABkcnMvZG93bnJldi54bWxQSwECFAAUAAAACACHTuJAPaC1&#10;uOgBAADcAwAADgAAAAAAAAABACAAAAAkAQAAZHJzL2Uyb0RvYy54bWxQSwUGAAAAAAYABgBZAQAA&#10;fgUAAAAA&#10;">
              <v:fill on="f" focussize="0,0"/>
              <v:stroke color="#000000" joinstyle="round"/>
              <v:imagedata o:title=""/>
              <o:lock v:ext="edit" aspectratio="f"/>
            </v:line>
          </w:pict>
        </mc:Fallback>
      </mc:AlternateContent>
    </w:r>
    <w:r>
      <w:rPr>
        <w:rFonts w:hint="eastAsia"/>
        <w:sz w:val="21"/>
        <w:szCs w:val="21"/>
      </w:rPr>
      <w:t>乐山市水利电力建筑勘察设计研究院</w:t>
    </w:r>
  </w:p>
  <w:p>
    <w:pPr>
      <w:pStyle w:val="54"/>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framePr w:wrap="around" w:vAnchor="text" w:hAnchor="margin" w:xAlign="right" w:y="1"/>
      <w:rPr>
        <w:rStyle w:val="90"/>
        <w:sz w:val="21"/>
        <w:szCs w:val="21"/>
      </w:rPr>
    </w:pPr>
    <w:r>
      <w:rPr>
        <w:sz w:val="21"/>
        <w:szCs w:val="21"/>
      </w:rPr>
      <w:fldChar w:fldCharType="begin"/>
    </w:r>
    <w:r>
      <w:rPr>
        <w:rStyle w:val="90"/>
        <w:sz w:val="21"/>
        <w:szCs w:val="21"/>
      </w:rPr>
      <w:instrText xml:space="preserve">PAGE  </w:instrText>
    </w:r>
    <w:r>
      <w:rPr>
        <w:sz w:val="21"/>
        <w:szCs w:val="21"/>
      </w:rPr>
      <w:fldChar w:fldCharType="separate"/>
    </w:r>
    <w:r>
      <w:rPr>
        <w:rStyle w:val="90"/>
        <w:sz w:val="21"/>
        <w:szCs w:val="21"/>
      </w:rPr>
      <w:t>278</w:t>
    </w:r>
    <w:r>
      <w:rPr>
        <w:sz w:val="21"/>
        <w:szCs w:val="21"/>
      </w:rPr>
      <w:fldChar w:fldCharType="end"/>
    </w:r>
  </w:p>
  <w:p>
    <w:pPr>
      <w:pStyle w:val="54"/>
      <w:ind w:right="360"/>
      <w:rPr>
        <w:rFonts w:hint="eastAsia"/>
        <w:sz w:val="21"/>
        <w:szCs w:val="21"/>
      </w:rPr>
    </w:pPr>
    <w:r>
      <w:rPr>
        <w:rFonts w:hint="eastAsia"/>
        <w:sz w:val="21"/>
        <w:szCs w:val="21"/>
      </w:rPr>
      <mc:AlternateContent>
        <mc:Choice Requires="wps">
          <w:drawing>
            <wp:anchor distT="0" distB="0" distL="114300" distR="114300" simplePos="0" relativeHeight="251663360" behindDoc="0" locked="0" layoutInCell="1" allowOverlap="1">
              <wp:simplePos x="0" y="0"/>
              <wp:positionH relativeFrom="column">
                <wp:posOffset>13970</wp:posOffset>
              </wp:positionH>
              <wp:positionV relativeFrom="paragraph">
                <wp:posOffset>-76835</wp:posOffset>
              </wp:positionV>
              <wp:extent cx="5541010" cy="0"/>
              <wp:effectExtent l="0" t="0" r="0" b="0"/>
              <wp:wrapNone/>
              <wp:docPr id="8" name="直线 25"/>
              <wp:cNvGraphicFramePr/>
              <a:graphic xmlns:a="http://schemas.openxmlformats.org/drawingml/2006/main">
                <a:graphicData uri="http://schemas.microsoft.com/office/word/2010/wordprocessingShape">
                  <wps:wsp>
                    <wps:cNvCnPr/>
                    <wps:spPr>
                      <a:xfrm>
                        <a:off x="0" y="0"/>
                        <a:ext cx="554101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5" o:spid="_x0000_s1026" o:spt="20" style="position:absolute;left:0pt;margin-left:1.1pt;margin-top:-6.05pt;height:0pt;width:436.3pt;z-index:251663360;mso-width-relative:page;mso-height-relative:page;" filled="f" stroked="t" coordsize="21600,21600" o:gfxdata="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C6dAStUAAAAJ&#10;AQAADwAAAAAAAAABACAAAAAiAAAAZHJzL2Rvd25yZXYueG1sUEsBAhQAFAAAAAgAh07iQJEXF7fm&#10;AQAA3AMAAA4AAAAAAAAAAQAgAAAAJAEAAGRycy9lMm9Eb2MueG1sUEsFBgAAAAAGAAYAWQEAAHwF&#10;AAAAAA==&#10;">
              <v:fill on="f" focussize="0,0"/>
              <v:stroke color="#000000" joinstyle="round"/>
              <v:imagedata o:title=""/>
              <o:lock v:ext="edit" aspectratio="f"/>
            </v:line>
          </w:pict>
        </mc:Fallback>
      </mc:AlternateContent>
    </w:r>
    <w:r>
      <w:rPr>
        <w:rFonts w:hint="eastAsia"/>
        <w:sz w:val="21"/>
        <w:szCs w:val="21"/>
      </w:rPr>
      <w:t>乐山市水利电力建筑勘察设计研究院</w:t>
    </w:r>
  </w:p>
  <w:p>
    <w:pPr>
      <w:pStyle w:val="5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jc w:val="both"/>
      <w:rPr>
        <w:rFonts w:hint="eastAsia" w:ascii="黑体" w:eastAsia="黑体"/>
      </w:rPr>
    </w:pPr>
  </w:p>
  <w:p>
    <w:pPr>
      <w:pStyle w:val="56"/>
      <w:jc w:val="both"/>
      <w:rPr>
        <w:sz w:val="21"/>
        <w:szCs w:val="21"/>
      </w:rPr>
    </w:pPr>
    <w:r>
      <w:rPr>
        <w:rFonts w:hint="eastAsia" w:ascii="宋体" w:hAnsi="宋体"/>
        <w:sz w:val="21"/>
        <w:szCs w:val="21"/>
        <w:lang w:eastAsia="zh-CN"/>
      </w:rPr>
      <w:t>马边彝族自治县</w:t>
    </w:r>
    <w:r>
      <w:rPr>
        <w:rFonts w:hint="eastAsia" w:ascii="宋体" w:hAnsi="宋体"/>
        <w:sz w:val="21"/>
        <w:szCs w:val="21"/>
      </w:rPr>
      <w:t>“十四五”</w:t>
    </w:r>
    <w:r>
      <w:rPr>
        <w:rFonts w:hint="eastAsia" w:ascii="宋体" w:hAnsi="宋体"/>
        <w:sz w:val="21"/>
        <w:szCs w:val="21"/>
        <w:lang w:eastAsia="zh-CN"/>
      </w:rPr>
      <w:t>新农水</w:t>
    </w:r>
    <w:r>
      <w:rPr>
        <w:rFonts w:hint="eastAsia" w:ascii="宋体" w:hAnsi="宋体"/>
        <w:sz w:val="21"/>
        <w:szCs w:val="21"/>
      </w:rPr>
      <w:t xml:space="preserve">规划                 </w:t>
    </w:r>
    <w:r>
      <w:rPr>
        <w:rFonts w:hint="eastAsia"/>
        <w:sz w:val="21"/>
        <w:szCs w:val="21"/>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jc w:val="both"/>
      <w:rPr>
        <w:rFonts w:hint="eastAsia" w:ascii="黑体" w:eastAsia="黑体"/>
      </w:rPr>
    </w:pPr>
  </w:p>
  <w:p>
    <w:pPr>
      <w:pStyle w:val="56"/>
      <w:jc w:val="both"/>
      <w:rPr>
        <w:rFonts w:hint="eastAsia" w:ascii="黑体" w:eastAsia="黑体"/>
      </w:rPr>
    </w:pPr>
  </w:p>
  <w:p>
    <w:pPr>
      <w:pStyle w:val="56"/>
      <w:jc w:val="both"/>
      <w:rPr>
        <w:sz w:val="21"/>
        <w:szCs w:val="21"/>
      </w:rPr>
    </w:pPr>
    <w:r>
      <w:rPr>
        <w:rFonts w:hint="eastAsia" w:ascii="宋体" w:hAnsi="宋体"/>
        <w:sz w:val="21"/>
        <w:szCs w:val="21"/>
        <w:lang w:eastAsia="zh-CN"/>
      </w:rPr>
      <w:t>马边彝族自治县</w:t>
    </w:r>
    <w:r>
      <w:rPr>
        <w:rFonts w:hint="eastAsia" w:ascii="宋体" w:hAnsi="宋体"/>
        <w:sz w:val="21"/>
        <w:szCs w:val="21"/>
      </w:rPr>
      <w:t xml:space="preserve">“十四五”农村供水保障规划                 </w:t>
    </w:r>
    <w:r>
      <w:rPr>
        <w:rFonts w:hint="eastAsia"/>
        <w:sz w:val="21"/>
        <w:szCs w:val="21"/>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C13746"/>
    <w:multiLevelType w:val="singleLevel"/>
    <w:tmpl w:val="9BC13746"/>
    <w:lvl w:ilvl="0" w:tentative="0">
      <w:start w:val="1"/>
      <w:numFmt w:val="decimal"/>
      <w:suff w:val="nothing"/>
      <w:lvlText w:val="（%1）"/>
      <w:lvlJc w:val="left"/>
    </w:lvl>
  </w:abstractNum>
  <w:abstractNum w:abstractNumId="1">
    <w:nsid w:val="C1738897"/>
    <w:multiLevelType w:val="singleLevel"/>
    <w:tmpl w:val="C1738897"/>
    <w:lvl w:ilvl="0" w:tentative="0">
      <w:start w:val="4"/>
      <w:numFmt w:val="chineseCounting"/>
      <w:suff w:val="nothing"/>
      <w:lvlText w:val="（%1）"/>
      <w:lvlJc w:val="left"/>
      <w:rPr>
        <w:rFonts w:hint="eastAsia"/>
      </w:rPr>
    </w:lvl>
  </w:abstractNum>
  <w:abstractNum w:abstractNumId="2">
    <w:nsid w:val="103862F3"/>
    <w:multiLevelType w:val="multilevel"/>
    <w:tmpl w:val="103862F3"/>
    <w:lvl w:ilvl="0" w:tentative="0">
      <w:start w:val="1"/>
      <w:numFmt w:val="decimal"/>
      <w:pStyle w:val="18"/>
      <w:lvlText w:val="（%1）"/>
      <w:lvlJc w:val="left"/>
      <w:pPr>
        <w:tabs>
          <w:tab w:val="left" w:pos="1080"/>
        </w:tabs>
        <w:ind w:left="1080" w:hanging="720"/>
      </w:pPr>
      <w:rPr>
        <w:rFonts w:hint="default"/>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3">
    <w:nsid w:val="112A4BFD"/>
    <w:multiLevelType w:val="singleLevel"/>
    <w:tmpl w:val="112A4BFD"/>
    <w:lvl w:ilvl="0" w:tentative="0">
      <w:start w:val="1"/>
      <w:numFmt w:val="decimal"/>
      <w:suff w:val="nothing"/>
      <w:lvlText w:val="（%1）"/>
      <w:lvlJc w:val="left"/>
      <w:pPr>
        <w:ind w:left="242"/>
      </w:pPr>
    </w:lvl>
  </w:abstractNum>
  <w:abstractNum w:abstractNumId="4">
    <w:nsid w:val="1E6C475D"/>
    <w:multiLevelType w:val="multilevel"/>
    <w:tmpl w:val="1E6C475D"/>
    <w:lvl w:ilvl="0" w:tentative="0">
      <w:start w:val="1"/>
      <w:numFmt w:val="japaneseCounting"/>
      <w:pStyle w:val="32"/>
      <w:lvlText w:val="%1."/>
      <w:lvlJc w:val="left"/>
      <w:pPr>
        <w:tabs>
          <w:tab w:val="left" w:pos="360"/>
        </w:tabs>
        <w:ind w:left="360" w:hanging="36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3．"/>
      <w:lvlJc w:val="left"/>
      <w:pPr>
        <w:tabs>
          <w:tab w:val="left" w:pos="1560"/>
        </w:tabs>
        <w:ind w:left="1560" w:hanging="72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493702B2"/>
    <w:multiLevelType w:val="multilevel"/>
    <w:tmpl w:val="493702B2"/>
    <w:lvl w:ilvl="0" w:tentative="0">
      <w:start w:val="1"/>
      <w:numFmt w:val="decimal"/>
      <w:pStyle w:val="39"/>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552523A8"/>
    <w:multiLevelType w:val="multilevel"/>
    <w:tmpl w:val="552523A8"/>
    <w:lvl w:ilvl="0" w:tentative="0">
      <w:start w:val="1"/>
      <w:numFmt w:val="decimal"/>
      <w:pStyle w:val="45"/>
      <w:lvlText w:val="（%1）"/>
      <w:lvlJc w:val="left"/>
      <w:pPr>
        <w:tabs>
          <w:tab w:val="left" w:pos="900"/>
        </w:tabs>
        <w:ind w:left="900" w:hanging="720"/>
      </w:pPr>
      <w:rPr>
        <w:rFonts w:hint="default"/>
      </w:rPr>
    </w:lvl>
    <w:lvl w:ilvl="1" w:tentative="0">
      <w:start w:val="1"/>
      <w:numFmt w:val="lowerLetter"/>
      <w:lvlText w:val="%2)"/>
      <w:lvlJc w:val="left"/>
      <w:pPr>
        <w:tabs>
          <w:tab w:val="left" w:pos="1305"/>
        </w:tabs>
        <w:ind w:left="1305" w:hanging="420"/>
      </w:pPr>
    </w:lvl>
    <w:lvl w:ilvl="2" w:tentative="0">
      <w:start w:val="1"/>
      <w:numFmt w:val="lowerRoman"/>
      <w:lvlText w:val="%3."/>
      <w:lvlJc w:val="right"/>
      <w:pPr>
        <w:tabs>
          <w:tab w:val="left" w:pos="1725"/>
        </w:tabs>
        <w:ind w:left="1725" w:hanging="420"/>
      </w:pPr>
    </w:lvl>
    <w:lvl w:ilvl="3" w:tentative="0">
      <w:start w:val="1"/>
      <w:numFmt w:val="decimal"/>
      <w:lvlText w:val="%4."/>
      <w:lvlJc w:val="left"/>
      <w:pPr>
        <w:tabs>
          <w:tab w:val="left" w:pos="2145"/>
        </w:tabs>
        <w:ind w:left="2145" w:hanging="420"/>
      </w:pPr>
    </w:lvl>
    <w:lvl w:ilvl="4" w:tentative="0">
      <w:start w:val="1"/>
      <w:numFmt w:val="lowerLetter"/>
      <w:lvlText w:val="%5)"/>
      <w:lvlJc w:val="left"/>
      <w:pPr>
        <w:tabs>
          <w:tab w:val="left" w:pos="2565"/>
        </w:tabs>
        <w:ind w:left="2565" w:hanging="420"/>
      </w:pPr>
    </w:lvl>
    <w:lvl w:ilvl="5" w:tentative="0">
      <w:start w:val="1"/>
      <w:numFmt w:val="lowerRoman"/>
      <w:lvlText w:val="%6."/>
      <w:lvlJc w:val="right"/>
      <w:pPr>
        <w:tabs>
          <w:tab w:val="left" w:pos="2985"/>
        </w:tabs>
        <w:ind w:left="2985" w:hanging="420"/>
      </w:pPr>
    </w:lvl>
    <w:lvl w:ilvl="6" w:tentative="0">
      <w:start w:val="1"/>
      <w:numFmt w:val="decimal"/>
      <w:lvlText w:val="%7."/>
      <w:lvlJc w:val="left"/>
      <w:pPr>
        <w:tabs>
          <w:tab w:val="left" w:pos="3405"/>
        </w:tabs>
        <w:ind w:left="3405" w:hanging="420"/>
      </w:pPr>
    </w:lvl>
    <w:lvl w:ilvl="7" w:tentative="0">
      <w:start w:val="1"/>
      <w:numFmt w:val="lowerLetter"/>
      <w:lvlText w:val="%8)"/>
      <w:lvlJc w:val="left"/>
      <w:pPr>
        <w:tabs>
          <w:tab w:val="left" w:pos="3825"/>
        </w:tabs>
        <w:ind w:left="3825" w:hanging="420"/>
      </w:pPr>
    </w:lvl>
    <w:lvl w:ilvl="8" w:tentative="0">
      <w:start w:val="1"/>
      <w:numFmt w:val="lowerRoman"/>
      <w:lvlText w:val="%9."/>
      <w:lvlJc w:val="right"/>
      <w:pPr>
        <w:tabs>
          <w:tab w:val="left" w:pos="4245"/>
        </w:tabs>
        <w:ind w:left="4245" w:hanging="420"/>
      </w:pPr>
    </w:lvl>
  </w:abstractNum>
  <w:abstractNum w:abstractNumId="7">
    <w:nsid w:val="612924B1"/>
    <w:multiLevelType w:val="multilevel"/>
    <w:tmpl w:val="612924B1"/>
    <w:lvl w:ilvl="0" w:tentative="0">
      <w:start w:val="1"/>
      <w:numFmt w:val="decimal"/>
      <w:pStyle w:val="35"/>
      <w:lvlText w:val="%1."/>
      <w:lvlJc w:val="left"/>
      <w:pPr>
        <w:tabs>
          <w:tab w:val="left" w:pos="360"/>
        </w:tabs>
        <w:ind w:left="360" w:hanging="360"/>
      </w:pPr>
      <w:rPr>
        <w:rFonts w:hint="default"/>
      </w:rPr>
    </w:lvl>
    <w:lvl w:ilvl="1" w:tentative="0">
      <w:start w:val="1"/>
      <w:numFmt w:val="lowerLetter"/>
      <w:lvlText w:val="%2."/>
      <w:lvlJc w:val="left"/>
      <w:pPr>
        <w:tabs>
          <w:tab w:val="left" w:pos="780"/>
        </w:tabs>
        <w:ind w:left="780" w:hanging="36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pStyle w:val="8"/>
      <w:lvlText w:val="%5)"/>
      <w:lvlJc w:val="left"/>
      <w:pPr>
        <w:tabs>
          <w:tab w:val="left" w:pos="2100"/>
        </w:tabs>
        <w:ind w:left="2100" w:hanging="420"/>
      </w:pPr>
    </w:lvl>
    <w:lvl w:ilvl="5" w:tentative="0">
      <w:start w:val="1"/>
      <w:numFmt w:val="lowerRoman"/>
      <w:pStyle w:val="10"/>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pStyle w:val="12"/>
      <w:lvlText w:val="%8)"/>
      <w:lvlJc w:val="left"/>
      <w:pPr>
        <w:tabs>
          <w:tab w:val="left" w:pos="3360"/>
        </w:tabs>
        <w:ind w:left="3360" w:hanging="420"/>
      </w:pPr>
    </w:lvl>
    <w:lvl w:ilvl="8" w:tentative="0">
      <w:start w:val="1"/>
      <w:numFmt w:val="lowerRoman"/>
      <w:pStyle w:val="13"/>
      <w:lvlText w:val="%9."/>
      <w:lvlJc w:val="right"/>
      <w:pPr>
        <w:tabs>
          <w:tab w:val="left" w:pos="3780"/>
        </w:tabs>
        <w:ind w:left="3780" w:hanging="420"/>
      </w:pPr>
    </w:lvl>
  </w:abstractNum>
  <w:abstractNum w:abstractNumId="8">
    <w:nsid w:val="73792940"/>
    <w:multiLevelType w:val="multilevel"/>
    <w:tmpl w:val="73792940"/>
    <w:lvl w:ilvl="0" w:tentative="0">
      <w:start w:val="1"/>
      <w:numFmt w:val="chineseCountingThousand"/>
      <w:pStyle w:val="384"/>
      <w:lvlText w:val="第%1章"/>
      <w:lvlJc w:val="left"/>
      <w:pPr>
        <w:tabs>
          <w:tab w:val="left" w:pos="1305"/>
        </w:tabs>
        <w:ind w:left="1305" w:hanging="1305"/>
      </w:pPr>
      <w:rPr>
        <w:rFonts w:hint="eastAsia" w:eastAsia="宋体"/>
        <w:kern w:val="2"/>
        <w:sz w:val="32"/>
      </w:rPr>
    </w:lvl>
    <w:lvl w:ilvl="1" w:tentative="0">
      <w:start w:val="1"/>
      <w:numFmt w:val="lowerLetter"/>
      <w:pStyle w:val="396"/>
      <w:lvlText w:val="%2)"/>
      <w:lvlJc w:val="left"/>
      <w:pPr>
        <w:tabs>
          <w:tab w:val="left" w:pos="840"/>
        </w:tabs>
        <w:ind w:left="840" w:hanging="420"/>
      </w:pPr>
    </w:lvl>
    <w:lvl w:ilvl="2" w:tentative="0">
      <w:start w:val="1"/>
      <w:numFmt w:val="lowerRoman"/>
      <w:pStyle w:val="440"/>
      <w:lvlText w:val="%3."/>
      <w:lvlJc w:val="right"/>
      <w:pPr>
        <w:tabs>
          <w:tab w:val="left" w:pos="1260"/>
        </w:tabs>
        <w:ind w:left="1260" w:hanging="420"/>
      </w:pPr>
    </w:lvl>
    <w:lvl w:ilvl="3" w:tentative="0">
      <w:start w:val="1"/>
      <w:numFmt w:val="decimal"/>
      <w:pStyle w:val="429"/>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7FEE1CC9"/>
    <w:multiLevelType w:val="multilevel"/>
    <w:tmpl w:val="7FEE1CC9"/>
    <w:lvl w:ilvl="0" w:tentative="0">
      <w:start w:val="1"/>
      <w:numFmt w:val="japaneseCounting"/>
      <w:pStyle w:val="64"/>
      <w:lvlText w:val="%1、"/>
      <w:lvlJc w:val="left"/>
      <w:pPr>
        <w:tabs>
          <w:tab w:val="left" w:pos="420"/>
        </w:tabs>
        <w:ind w:left="420" w:hanging="420"/>
      </w:pPr>
      <w:rPr>
        <w:rFonts w:hint="default"/>
      </w:rPr>
    </w:lvl>
    <w:lvl w:ilvl="1" w:tentative="0">
      <w:start w:val="1"/>
      <w:numFmt w:val="decimal"/>
      <w:lvlText w:val="%2、"/>
      <w:lvlJc w:val="left"/>
      <w:pPr>
        <w:tabs>
          <w:tab w:val="left" w:pos="780"/>
        </w:tabs>
        <w:ind w:left="780" w:hanging="36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7"/>
  </w:num>
  <w:num w:numId="2">
    <w:abstractNumId w:val="2"/>
  </w:num>
  <w:num w:numId="3">
    <w:abstractNumId w:val="4"/>
  </w:num>
  <w:num w:numId="4">
    <w:abstractNumId w:val="5"/>
  </w:num>
  <w:num w:numId="5">
    <w:abstractNumId w:val="6"/>
  </w:num>
  <w:num w:numId="6">
    <w:abstractNumId w:val="9"/>
  </w:num>
  <w:num w:numId="7">
    <w:abstractNumId w:val="8"/>
  </w:num>
  <w:num w:numId="8">
    <w:abstractNumId w:val="1"/>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43"/>
  <w:drawingGridVerticalSpacing w:val="475"/>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DCE"/>
    <w:rsid w:val="000001DC"/>
    <w:rsid w:val="000011B0"/>
    <w:rsid w:val="000024E7"/>
    <w:rsid w:val="0000279A"/>
    <w:rsid w:val="0000348E"/>
    <w:rsid w:val="00003671"/>
    <w:rsid w:val="00003CA0"/>
    <w:rsid w:val="00011335"/>
    <w:rsid w:val="000119E3"/>
    <w:rsid w:val="00011C9F"/>
    <w:rsid w:val="00011CE8"/>
    <w:rsid w:val="00012882"/>
    <w:rsid w:val="000138E7"/>
    <w:rsid w:val="000138F9"/>
    <w:rsid w:val="00013DF7"/>
    <w:rsid w:val="000150D3"/>
    <w:rsid w:val="000177ED"/>
    <w:rsid w:val="00017ADC"/>
    <w:rsid w:val="00017B16"/>
    <w:rsid w:val="00020065"/>
    <w:rsid w:val="0002096D"/>
    <w:rsid w:val="00020AA3"/>
    <w:rsid w:val="00020FC4"/>
    <w:rsid w:val="000216D1"/>
    <w:rsid w:val="00021928"/>
    <w:rsid w:val="00021C83"/>
    <w:rsid w:val="00021E5A"/>
    <w:rsid w:val="00021FF5"/>
    <w:rsid w:val="000226A8"/>
    <w:rsid w:val="00023519"/>
    <w:rsid w:val="00023BAF"/>
    <w:rsid w:val="00023FEF"/>
    <w:rsid w:val="000245FC"/>
    <w:rsid w:val="00024843"/>
    <w:rsid w:val="00024FCA"/>
    <w:rsid w:val="000250DA"/>
    <w:rsid w:val="00025109"/>
    <w:rsid w:val="00025785"/>
    <w:rsid w:val="00026EC7"/>
    <w:rsid w:val="00027826"/>
    <w:rsid w:val="0003040C"/>
    <w:rsid w:val="000315CE"/>
    <w:rsid w:val="0003190F"/>
    <w:rsid w:val="00031E67"/>
    <w:rsid w:val="0003260C"/>
    <w:rsid w:val="00034A0B"/>
    <w:rsid w:val="00034CA5"/>
    <w:rsid w:val="00036B45"/>
    <w:rsid w:val="00037E9D"/>
    <w:rsid w:val="000408F5"/>
    <w:rsid w:val="00040A32"/>
    <w:rsid w:val="00041238"/>
    <w:rsid w:val="000433EA"/>
    <w:rsid w:val="00043686"/>
    <w:rsid w:val="00043C3D"/>
    <w:rsid w:val="00043C9B"/>
    <w:rsid w:val="00043F99"/>
    <w:rsid w:val="000449A7"/>
    <w:rsid w:val="00044E5B"/>
    <w:rsid w:val="00044EE8"/>
    <w:rsid w:val="00045454"/>
    <w:rsid w:val="00045B97"/>
    <w:rsid w:val="0004683E"/>
    <w:rsid w:val="00046C32"/>
    <w:rsid w:val="00046CDC"/>
    <w:rsid w:val="00047188"/>
    <w:rsid w:val="0004750E"/>
    <w:rsid w:val="00050862"/>
    <w:rsid w:val="00050D80"/>
    <w:rsid w:val="00051EDE"/>
    <w:rsid w:val="00052AC6"/>
    <w:rsid w:val="00052ACA"/>
    <w:rsid w:val="00053C11"/>
    <w:rsid w:val="00054B24"/>
    <w:rsid w:val="0005624C"/>
    <w:rsid w:val="0006064B"/>
    <w:rsid w:val="00063917"/>
    <w:rsid w:val="00063F00"/>
    <w:rsid w:val="00064239"/>
    <w:rsid w:val="00064F08"/>
    <w:rsid w:val="000650D2"/>
    <w:rsid w:val="000665B5"/>
    <w:rsid w:val="00066A3B"/>
    <w:rsid w:val="00067440"/>
    <w:rsid w:val="000677C6"/>
    <w:rsid w:val="000701B5"/>
    <w:rsid w:val="00072952"/>
    <w:rsid w:val="0007376D"/>
    <w:rsid w:val="000739AA"/>
    <w:rsid w:val="00073A21"/>
    <w:rsid w:val="00073BA2"/>
    <w:rsid w:val="0007466F"/>
    <w:rsid w:val="00074AF1"/>
    <w:rsid w:val="00075BA7"/>
    <w:rsid w:val="00076B52"/>
    <w:rsid w:val="00076EF3"/>
    <w:rsid w:val="00077EA4"/>
    <w:rsid w:val="0008060E"/>
    <w:rsid w:val="00080E2E"/>
    <w:rsid w:val="000831BB"/>
    <w:rsid w:val="00083511"/>
    <w:rsid w:val="00083552"/>
    <w:rsid w:val="0008366A"/>
    <w:rsid w:val="00083925"/>
    <w:rsid w:val="00083FFF"/>
    <w:rsid w:val="0008576B"/>
    <w:rsid w:val="000858EC"/>
    <w:rsid w:val="00086278"/>
    <w:rsid w:val="000862B6"/>
    <w:rsid w:val="00086A82"/>
    <w:rsid w:val="000870FE"/>
    <w:rsid w:val="000906C3"/>
    <w:rsid w:val="000919BD"/>
    <w:rsid w:val="00092623"/>
    <w:rsid w:val="00093026"/>
    <w:rsid w:val="00093752"/>
    <w:rsid w:val="00093779"/>
    <w:rsid w:val="00093A15"/>
    <w:rsid w:val="00093FF1"/>
    <w:rsid w:val="0009518B"/>
    <w:rsid w:val="00095479"/>
    <w:rsid w:val="00095D64"/>
    <w:rsid w:val="00096E7C"/>
    <w:rsid w:val="0009790F"/>
    <w:rsid w:val="000A2028"/>
    <w:rsid w:val="000A2177"/>
    <w:rsid w:val="000A2758"/>
    <w:rsid w:val="000A408F"/>
    <w:rsid w:val="000A4609"/>
    <w:rsid w:val="000A6028"/>
    <w:rsid w:val="000A65F4"/>
    <w:rsid w:val="000A7501"/>
    <w:rsid w:val="000A7DF2"/>
    <w:rsid w:val="000B3FE5"/>
    <w:rsid w:val="000B489C"/>
    <w:rsid w:val="000B4968"/>
    <w:rsid w:val="000B5DF0"/>
    <w:rsid w:val="000B768C"/>
    <w:rsid w:val="000C1218"/>
    <w:rsid w:val="000C17EE"/>
    <w:rsid w:val="000C2141"/>
    <w:rsid w:val="000C2EB9"/>
    <w:rsid w:val="000C32A1"/>
    <w:rsid w:val="000C3B93"/>
    <w:rsid w:val="000C45C6"/>
    <w:rsid w:val="000C68EF"/>
    <w:rsid w:val="000C6B6A"/>
    <w:rsid w:val="000C6E2F"/>
    <w:rsid w:val="000C75E7"/>
    <w:rsid w:val="000C7E6F"/>
    <w:rsid w:val="000D00E4"/>
    <w:rsid w:val="000D0217"/>
    <w:rsid w:val="000D2200"/>
    <w:rsid w:val="000D3D25"/>
    <w:rsid w:val="000D402F"/>
    <w:rsid w:val="000D598F"/>
    <w:rsid w:val="000D630B"/>
    <w:rsid w:val="000D7A39"/>
    <w:rsid w:val="000E005E"/>
    <w:rsid w:val="000E0EB3"/>
    <w:rsid w:val="000E34F1"/>
    <w:rsid w:val="000E3C68"/>
    <w:rsid w:val="000E52DE"/>
    <w:rsid w:val="000E62B3"/>
    <w:rsid w:val="000E63E3"/>
    <w:rsid w:val="000E6627"/>
    <w:rsid w:val="000E7469"/>
    <w:rsid w:val="000E7B7C"/>
    <w:rsid w:val="000F08C0"/>
    <w:rsid w:val="000F0BFA"/>
    <w:rsid w:val="000F1D04"/>
    <w:rsid w:val="000F4C4E"/>
    <w:rsid w:val="000F4F55"/>
    <w:rsid w:val="000F51AD"/>
    <w:rsid w:val="000F5476"/>
    <w:rsid w:val="000F633A"/>
    <w:rsid w:val="000F6CEA"/>
    <w:rsid w:val="001010B3"/>
    <w:rsid w:val="001015B3"/>
    <w:rsid w:val="001026BB"/>
    <w:rsid w:val="00103652"/>
    <w:rsid w:val="0010464C"/>
    <w:rsid w:val="00104C19"/>
    <w:rsid w:val="001058FC"/>
    <w:rsid w:val="0010715F"/>
    <w:rsid w:val="00110578"/>
    <w:rsid w:val="0011078C"/>
    <w:rsid w:val="00112BDD"/>
    <w:rsid w:val="001136AE"/>
    <w:rsid w:val="00113D05"/>
    <w:rsid w:val="00114B01"/>
    <w:rsid w:val="0011563D"/>
    <w:rsid w:val="00115768"/>
    <w:rsid w:val="00115DF9"/>
    <w:rsid w:val="00116B1E"/>
    <w:rsid w:val="00120F66"/>
    <w:rsid w:val="00120FE3"/>
    <w:rsid w:val="001219BA"/>
    <w:rsid w:val="00122570"/>
    <w:rsid w:val="00122694"/>
    <w:rsid w:val="001229B3"/>
    <w:rsid w:val="00123F05"/>
    <w:rsid w:val="0012571F"/>
    <w:rsid w:val="00125D3A"/>
    <w:rsid w:val="00125E28"/>
    <w:rsid w:val="0012651D"/>
    <w:rsid w:val="001269FE"/>
    <w:rsid w:val="00127C64"/>
    <w:rsid w:val="001316C6"/>
    <w:rsid w:val="0013172B"/>
    <w:rsid w:val="00132783"/>
    <w:rsid w:val="001332ED"/>
    <w:rsid w:val="00133D9B"/>
    <w:rsid w:val="00133F49"/>
    <w:rsid w:val="0013562E"/>
    <w:rsid w:val="001369C6"/>
    <w:rsid w:val="00137A2F"/>
    <w:rsid w:val="00140BB5"/>
    <w:rsid w:val="001413C2"/>
    <w:rsid w:val="0014314E"/>
    <w:rsid w:val="001433DE"/>
    <w:rsid w:val="00143873"/>
    <w:rsid w:val="00143AEA"/>
    <w:rsid w:val="00144137"/>
    <w:rsid w:val="001441EC"/>
    <w:rsid w:val="001451B5"/>
    <w:rsid w:val="00146343"/>
    <w:rsid w:val="00146B13"/>
    <w:rsid w:val="0015040B"/>
    <w:rsid w:val="00150627"/>
    <w:rsid w:val="0015123A"/>
    <w:rsid w:val="00151252"/>
    <w:rsid w:val="00151B01"/>
    <w:rsid w:val="001525C4"/>
    <w:rsid w:val="00152670"/>
    <w:rsid w:val="00152E63"/>
    <w:rsid w:val="001532D2"/>
    <w:rsid w:val="001534C3"/>
    <w:rsid w:val="001535C5"/>
    <w:rsid w:val="00156359"/>
    <w:rsid w:val="001565F7"/>
    <w:rsid w:val="00156DD9"/>
    <w:rsid w:val="001579D0"/>
    <w:rsid w:val="00160298"/>
    <w:rsid w:val="00160D18"/>
    <w:rsid w:val="00161652"/>
    <w:rsid w:val="001619FF"/>
    <w:rsid w:val="00161B3C"/>
    <w:rsid w:val="00162279"/>
    <w:rsid w:val="00162BDD"/>
    <w:rsid w:val="00163710"/>
    <w:rsid w:val="00163F19"/>
    <w:rsid w:val="0016618C"/>
    <w:rsid w:val="001700A1"/>
    <w:rsid w:val="001709A7"/>
    <w:rsid w:val="00173558"/>
    <w:rsid w:val="00173E63"/>
    <w:rsid w:val="00174593"/>
    <w:rsid w:val="001812CA"/>
    <w:rsid w:val="001820D8"/>
    <w:rsid w:val="001827DA"/>
    <w:rsid w:val="00183991"/>
    <w:rsid w:val="00183BBA"/>
    <w:rsid w:val="0018519B"/>
    <w:rsid w:val="001858FE"/>
    <w:rsid w:val="00185A5C"/>
    <w:rsid w:val="0018640D"/>
    <w:rsid w:val="00187351"/>
    <w:rsid w:val="0019002B"/>
    <w:rsid w:val="00190EC2"/>
    <w:rsid w:val="00190F2B"/>
    <w:rsid w:val="00191DD6"/>
    <w:rsid w:val="00192434"/>
    <w:rsid w:val="00192BCD"/>
    <w:rsid w:val="00192CCB"/>
    <w:rsid w:val="001962E0"/>
    <w:rsid w:val="001965BB"/>
    <w:rsid w:val="00197684"/>
    <w:rsid w:val="00197AE1"/>
    <w:rsid w:val="001A1A2F"/>
    <w:rsid w:val="001A1A4A"/>
    <w:rsid w:val="001A1A53"/>
    <w:rsid w:val="001A3B6F"/>
    <w:rsid w:val="001A3DC4"/>
    <w:rsid w:val="001A4A82"/>
    <w:rsid w:val="001A5398"/>
    <w:rsid w:val="001A54C9"/>
    <w:rsid w:val="001A561B"/>
    <w:rsid w:val="001A6E77"/>
    <w:rsid w:val="001A70AE"/>
    <w:rsid w:val="001A7ACC"/>
    <w:rsid w:val="001B0307"/>
    <w:rsid w:val="001B0CB8"/>
    <w:rsid w:val="001B2B93"/>
    <w:rsid w:val="001B2EF5"/>
    <w:rsid w:val="001B3340"/>
    <w:rsid w:val="001B34DB"/>
    <w:rsid w:val="001B416F"/>
    <w:rsid w:val="001B6A22"/>
    <w:rsid w:val="001B6AD7"/>
    <w:rsid w:val="001C02ED"/>
    <w:rsid w:val="001C0383"/>
    <w:rsid w:val="001C08C6"/>
    <w:rsid w:val="001C2D95"/>
    <w:rsid w:val="001C4529"/>
    <w:rsid w:val="001C540A"/>
    <w:rsid w:val="001C5930"/>
    <w:rsid w:val="001C5C1F"/>
    <w:rsid w:val="001D061D"/>
    <w:rsid w:val="001D0B41"/>
    <w:rsid w:val="001D1F14"/>
    <w:rsid w:val="001D241F"/>
    <w:rsid w:val="001D303C"/>
    <w:rsid w:val="001D37BC"/>
    <w:rsid w:val="001D3B53"/>
    <w:rsid w:val="001D3DC4"/>
    <w:rsid w:val="001D6300"/>
    <w:rsid w:val="001D7C5B"/>
    <w:rsid w:val="001D7FD1"/>
    <w:rsid w:val="001E05DE"/>
    <w:rsid w:val="001E05FD"/>
    <w:rsid w:val="001E0CBC"/>
    <w:rsid w:val="001E1900"/>
    <w:rsid w:val="001E41C1"/>
    <w:rsid w:val="001E4C9D"/>
    <w:rsid w:val="001E5921"/>
    <w:rsid w:val="001E66B6"/>
    <w:rsid w:val="001F253B"/>
    <w:rsid w:val="001F25BE"/>
    <w:rsid w:val="001F3B49"/>
    <w:rsid w:val="001F3C8C"/>
    <w:rsid w:val="001F3D67"/>
    <w:rsid w:val="001F430B"/>
    <w:rsid w:val="001F4B14"/>
    <w:rsid w:val="001F506A"/>
    <w:rsid w:val="001F6ED1"/>
    <w:rsid w:val="001F7D23"/>
    <w:rsid w:val="00200F3C"/>
    <w:rsid w:val="00201F45"/>
    <w:rsid w:val="00202B21"/>
    <w:rsid w:val="00202B2B"/>
    <w:rsid w:val="00202C4F"/>
    <w:rsid w:val="00203485"/>
    <w:rsid w:val="00204965"/>
    <w:rsid w:val="0020531C"/>
    <w:rsid w:val="0020549F"/>
    <w:rsid w:val="00206102"/>
    <w:rsid w:val="002071E5"/>
    <w:rsid w:val="002073B7"/>
    <w:rsid w:val="002108FA"/>
    <w:rsid w:val="00212BFD"/>
    <w:rsid w:val="00213244"/>
    <w:rsid w:val="0021417E"/>
    <w:rsid w:val="002154CC"/>
    <w:rsid w:val="0021614E"/>
    <w:rsid w:val="0021789E"/>
    <w:rsid w:val="00222CD0"/>
    <w:rsid w:val="00223FEA"/>
    <w:rsid w:val="002243F6"/>
    <w:rsid w:val="002261AA"/>
    <w:rsid w:val="00226ADE"/>
    <w:rsid w:val="00226DC9"/>
    <w:rsid w:val="00226F9D"/>
    <w:rsid w:val="00227CA8"/>
    <w:rsid w:val="00230429"/>
    <w:rsid w:val="0023079C"/>
    <w:rsid w:val="002313DA"/>
    <w:rsid w:val="00231E29"/>
    <w:rsid w:val="00233944"/>
    <w:rsid w:val="00240BA0"/>
    <w:rsid w:val="00241169"/>
    <w:rsid w:val="00241EF3"/>
    <w:rsid w:val="00242536"/>
    <w:rsid w:val="002434EE"/>
    <w:rsid w:val="002444FF"/>
    <w:rsid w:val="00244CD4"/>
    <w:rsid w:val="00244E35"/>
    <w:rsid w:val="00245354"/>
    <w:rsid w:val="0025035F"/>
    <w:rsid w:val="00250BDC"/>
    <w:rsid w:val="00250EB9"/>
    <w:rsid w:val="00251126"/>
    <w:rsid w:val="00251F3C"/>
    <w:rsid w:val="002521DA"/>
    <w:rsid w:val="00252EE8"/>
    <w:rsid w:val="002530F3"/>
    <w:rsid w:val="0025419D"/>
    <w:rsid w:val="002544B2"/>
    <w:rsid w:val="00254ACB"/>
    <w:rsid w:val="00255BF6"/>
    <w:rsid w:val="002560B2"/>
    <w:rsid w:val="00257C0A"/>
    <w:rsid w:val="0026034E"/>
    <w:rsid w:val="00260B19"/>
    <w:rsid w:val="0026226D"/>
    <w:rsid w:val="00262B00"/>
    <w:rsid w:val="00262ED8"/>
    <w:rsid w:val="002632B0"/>
    <w:rsid w:val="002636BA"/>
    <w:rsid w:val="00263DB7"/>
    <w:rsid w:val="00265645"/>
    <w:rsid w:val="00265E3C"/>
    <w:rsid w:val="00267A92"/>
    <w:rsid w:val="00267D5D"/>
    <w:rsid w:val="002701F5"/>
    <w:rsid w:val="00270268"/>
    <w:rsid w:val="00271629"/>
    <w:rsid w:val="002716DC"/>
    <w:rsid w:val="00271A62"/>
    <w:rsid w:val="00271C8F"/>
    <w:rsid w:val="00272295"/>
    <w:rsid w:val="002733B6"/>
    <w:rsid w:val="00273997"/>
    <w:rsid w:val="0027525B"/>
    <w:rsid w:val="00275B9F"/>
    <w:rsid w:val="0027635B"/>
    <w:rsid w:val="00282C5C"/>
    <w:rsid w:val="002831FF"/>
    <w:rsid w:val="00284807"/>
    <w:rsid w:val="00284AF9"/>
    <w:rsid w:val="002868AD"/>
    <w:rsid w:val="0028777E"/>
    <w:rsid w:val="00290C1C"/>
    <w:rsid w:val="00292E03"/>
    <w:rsid w:val="002949D6"/>
    <w:rsid w:val="00295158"/>
    <w:rsid w:val="0029516E"/>
    <w:rsid w:val="0029598E"/>
    <w:rsid w:val="00296B03"/>
    <w:rsid w:val="00297FB4"/>
    <w:rsid w:val="002A03EA"/>
    <w:rsid w:val="002A22A3"/>
    <w:rsid w:val="002A264A"/>
    <w:rsid w:val="002A294E"/>
    <w:rsid w:val="002A2CEA"/>
    <w:rsid w:val="002A33B3"/>
    <w:rsid w:val="002A3DC8"/>
    <w:rsid w:val="002A3FCC"/>
    <w:rsid w:val="002A455E"/>
    <w:rsid w:val="002A46D7"/>
    <w:rsid w:val="002A4AF1"/>
    <w:rsid w:val="002A4B73"/>
    <w:rsid w:val="002A668F"/>
    <w:rsid w:val="002A79BE"/>
    <w:rsid w:val="002B2B69"/>
    <w:rsid w:val="002B2C10"/>
    <w:rsid w:val="002B414A"/>
    <w:rsid w:val="002B528E"/>
    <w:rsid w:val="002B56EB"/>
    <w:rsid w:val="002B5E62"/>
    <w:rsid w:val="002B7478"/>
    <w:rsid w:val="002B7705"/>
    <w:rsid w:val="002C01BF"/>
    <w:rsid w:val="002C02E4"/>
    <w:rsid w:val="002C02EA"/>
    <w:rsid w:val="002C127E"/>
    <w:rsid w:val="002C13B1"/>
    <w:rsid w:val="002C17BD"/>
    <w:rsid w:val="002C32E9"/>
    <w:rsid w:val="002C6012"/>
    <w:rsid w:val="002C7115"/>
    <w:rsid w:val="002D02ED"/>
    <w:rsid w:val="002D13CC"/>
    <w:rsid w:val="002D1770"/>
    <w:rsid w:val="002D1A3C"/>
    <w:rsid w:val="002D2FB1"/>
    <w:rsid w:val="002D3D60"/>
    <w:rsid w:val="002D3FF6"/>
    <w:rsid w:val="002D4642"/>
    <w:rsid w:val="002D4F4E"/>
    <w:rsid w:val="002D6221"/>
    <w:rsid w:val="002D7C32"/>
    <w:rsid w:val="002E03C6"/>
    <w:rsid w:val="002E17DE"/>
    <w:rsid w:val="002E1AB4"/>
    <w:rsid w:val="002E1E8D"/>
    <w:rsid w:val="002E20B1"/>
    <w:rsid w:val="002E3110"/>
    <w:rsid w:val="002E44B8"/>
    <w:rsid w:val="002E47CB"/>
    <w:rsid w:val="002E52B1"/>
    <w:rsid w:val="002E53B1"/>
    <w:rsid w:val="002E57A3"/>
    <w:rsid w:val="002E5AB0"/>
    <w:rsid w:val="002E6213"/>
    <w:rsid w:val="002E6A7D"/>
    <w:rsid w:val="002E6ED2"/>
    <w:rsid w:val="002F0116"/>
    <w:rsid w:val="002F0BDB"/>
    <w:rsid w:val="002F116E"/>
    <w:rsid w:val="002F1E04"/>
    <w:rsid w:val="002F2EEA"/>
    <w:rsid w:val="002F36E0"/>
    <w:rsid w:val="002F4F77"/>
    <w:rsid w:val="002F6134"/>
    <w:rsid w:val="0030046E"/>
    <w:rsid w:val="00300D26"/>
    <w:rsid w:val="003012DC"/>
    <w:rsid w:val="0030197E"/>
    <w:rsid w:val="00302B7A"/>
    <w:rsid w:val="00303433"/>
    <w:rsid w:val="00304121"/>
    <w:rsid w:val="00304B48"/>
    <w:rsid w:val="00304CAD"/>
    <w:rsid w:val="00305253"/>
    <w:rsid w:val="00305A93"/>
    <w:rsid w:val="003061A6"/>
    <w:rsid w:val="003063E2"/>
    <w:rsid w:val="00306ECB"/>
    <w:rsid w:val="003079D9"/>
    <w:rsid w:val="00310683"/>
    <w:rsid w:val="003110BC"/>
    <w:rsid w:val="003115A3"/>
    <w:rsid w:val="003127E7"/>
    <w:rsid w:val="00312B4F"/>
    <w:rsid w:val="00312C6E"/>
    <w:rsid w:val="00312D47"/>
    <w:rsid w:val="00312E67"/>
    <w:rsid w:val="003131AD"/>
    <w:rsid w:val="00314B69"/>
    <w:rsid w:val="0031625F"/>
    <w:rsid w:val="003169A1"/>
    <w:rsid w:val="003177AB"/>
    <w:rsid w:val="00321440"/>
    <w:rsid w:val="003214A2"/>
    <w:rsid w:val="00321869"/>
    <w:rsid w:val="00322CDD"/>
    <w:rsid w:val="00323996"/>
    <w:rsid w:val="00324284"/>
    <w:rsid w:val="00324DC7"/>
    <w:rsid w:val="00325CEF"/>
    <w:rsid w:val="00325E87"/>
    <w:rsid w:val="003268B7"/>
    <w:rsid w:val="00326B27"/>
    <w:rsid w:val="00327F84"/>
    <w:rsid w:val="003316AD"/>
    <w:rsid w:val="00333531"/>
    <w:rsid w:val="003349DC"/>
    <w:rsid w:val="00334D45"/>
    <w:rsid w:val="00334E34"/>
    <w:rsid w:val="00335A91"/>
    <w:rsid w:val="00336ECE"/>
    <w:rsid w:val="00337A32"/>
    <w:rsid w:val="00337A36"/>
    <w:rsid w:val="0034025A"/>
    <w:rsid w:val="00340DAA"/>
    <w:rsid w:val="0034245F"/>
    <w:rsid w:val="003424C4"/>
    <w:rsid w:val="00345732"/>
    <w:rsid w:val="00346164"/>
    <w:rsid w:val="00346646"/>
    <w:rsid w:val="003471AC"/>
    <w:rsid w:val="00347DAC"/>
    <w:rsid w:val="00353232"/>
    <w:rsid w:val="00353549"/>
    <w:rsid w:val="00353D4E"/>
    <w:rsid w:val="003545C1"/>
    <w:rsid w:val="003552C8"/>
    <w:rsid w:val="00356B48"/>
    <w:rsid w:val="00357740"/>
    <w:rsid w:val="0035776D"/>
    <w:rsid w:val="0035794B"/>
    <w:rsid w:val="0036009A"/>
    <w:rsid w:val="00360C3F"/>
    <w:rsid w:val="00361151"/>
    <w:rsid w:val="0036120E"/>
    <w:rsid w:val="00362B70"/>
    <w:rsid w:val="003637AE"/>
    <w:rsid w:val="003638F3"/>
    <w:rsid w:val="00366669"/>
    <w:rsid w:val="00370478"/>
    <w:rsid w:val="00370BFE"/>
    <w:rsid w:val="0037178D"/>
    <w:rsid w:val="003727CD"/>
    <w:rsid w:val="00373347"/>
    <w:rsid w:val="00376039"/>
    <w:rsid w:val="00380ADB"/>
    <w:rsid w:val="00380B4A"/>
    <w:rsid w:val="00380EAB"/>
    <w:rsid w:val="00381A3F"/>
    <w:rsid w:val="00382716"/>
    <w:rsid w:val="003835BD"/>
    <w:rsid w:val="00383AA5"/>
    <w:rsid w:val="00385938"/>
    <w:rsid w:val="0038676C"/>
    <w:rsid w:val="00386F14"/>
    <w:rsid w:val="003919A8"/>
    <w:rsid w:val="00392B35"/>
    <w:rsid w:val="00393BD1"/>
    <w:rsid w:val="003945A8"/>
    <w:rsid w:val="00396EBE"/>
    <w:rsid w:val="00396F86"/>
    <w:rsid w:val="00397260"/>
    <w:rsid w:val="00397AC3"/>
    <w:rsid w:val="003A05E4"/>
    <w:rsid w:val="003A1BC2"/>
    <w:rsid w:val="003A235D"/>
    <w:rsid w:val="003A2D0D"/>
    <w:rsid w:val="003A4834"/>
    <w:rsid w:val="003A5279"/>
    <w:rsid w:val="003A5C57"/>
    <w:rsid w:val="003A60B0"/>
    <w:rsid w:val="003A691F"/>
    <w:rsid w:val="003A6ACE"/>
    <w:rsid w:val="003B0348"/>
    <w:rsid w:val="003B1259"/>
    <w:rsid w:val="003B1904"/>
    <w:rsid w:val="003B1E97"/>
    <w:rsid w:val="003B2A59"/>
    <w:rsid w:val="003B47AF"/>
    <w:rsid w:val="003B4EFE"/>
    <w:rsid w:val="003B67A5"/>
    <w:rsid w:val="003B793B"/>
    <w:rsid w:val="003C04D9"/>
    <w:rsid w:val="003C089E"/>
    <w:rsid w:val="003C200A"/>
    <w:rsid w:val="003C2143"/>
    <w:rsid w:val="003C28F8"/>
    <w:rsid w:val="003C431F"/>
    <w:rsid w:val="003C45D2"/>
    <w:rsid w:val="003C4C09"/>
    <w:rsid w:val="003C5F76"/>
    <w:rsid w:val="003C5FC6"/>
    <w:rsid w:val="003C681C"/>
    <w:rsid w:val="003C7B40"/>
    <w:rsid w:val="003D0175"/>
    <w:rsid w:val="003D0501"/>
    <w:rsid w:val="003D0760"/>
    <w:rsid w:val="003D0C02"/>
    <w:rsid w:val="003D0DDB"/>
    <w:rsid w:val="003D0F99"/>
    <w:rsid w:val="003D3113"/>
    <w:rsid w:val="003D35CA"/>
    <w:rsid w:val="003D4759"/>
    <w:rsid w:val="003D4BA8"/>
    <w:rsid w:val="003D530A"/>
    <w:rsid w:val="003D57F2"/>
    <w:rsid w:val="003D6CDD"/>
    <w:rsid w:val="003E194E"/>
    <w:rsid w:val="003E1B8C"/>
    <w:rsid w:val="003E2215"/>
    <w:rsid w:val="003E2AC3"/>
    <w:rsid w:val="003E2E47"/>
    <w:rsid w:val="003E3498"/>
    <w:rsid w:val="003E4807"/>
    <w:rsid w:val="003E4C1B"/>
    <w:rsid w:val="003E4D9F"/>
    <w:rsid w:val="003E51CF"/>
    <w:rsid w:val="003E5499"/>
    <w:rsid w:val="003E6E79"/>
    <w:rsid w:val="003E76CC"/>
    <w:rsid w:val="003F0914"/>
    <w:rsid w:val="003F0D9F"/>
    <w:rsid w:val="003F24A4"/>
    <w:rsid w:val="003F2E12"/>
    <w:rsid w:val="003F4816"/>
    <w:rsid w:val="003F52E7"/>
    <w:rsid w:val="003F6328"/>
    <w:rsid w:val="003F699A"/>
    <w:rsid w:val="003F748B"/>
    <w:rsid w:val="003F764E"/>
    <w:rsid w:val="003F7A7B"/>
    <w:rsid w:val="004002A7"/>
    <w:rsid w:val="004013C8"/>
    <w:rsid w:val="00402B74"/>
    <w:rsid w:val="004031CE"/>
    <w:rsid w:val="0040401C"/>
    <w:rsid w:val="00404160"/>
    <w:rsid w:val="004065F4"/>
    <w:rsid w:val="004100E7"/>
    <w:rsid w:val="004117A7"/>
    <w:rsid w:val="00411B5A"/>
    <w:rsid w:val="00412588"/>
    <w:rsid w:val="00412E4E"/>
    <w:rsid w:val="00412F8D"/>
    <w:rsid w:val="004130E9"/>
    <w:rsid w:val="004167BA"/>
    <w:rsid w:val="00416A4C"/>
    <w:rsid w:val="00416B85"/>
    <w:rsid w:val="00420475"/>
    <w:rsid w:val="004229DE"/>
    <w:rsid w:val="004236CB"/>
    <w:rsid w:val="0042387B"/>
    <w:rsid w:val="00424330"/>
    <w:rsid w:val="00424FBB"/>
    <w:rsid w:val="00425303"/>
    <w:rsid w:val="00425375"/>
    <w:rsid w:val="004263BE"/>
    <w:rsid w:val="004265E4"/>
    <w:rsid w:val="0042761E"/>
    <w:rsid w:val="00427C41"/>
    <w:rsid w:val="00427EEC"/>
    <w:rsid w:val="004301F0"/>
    <w:rsid w:val="00430970"/>
    <w:rsid w:val="004309D0"/>
    <w:rsid w:val="00431F2D"/>
    <w:rsid w:val="00432FA3"/>
    <w:rsid w:val="00433B3C"/>
    <w:rsid w:val="004347D5"/>
    <w:rsid w:val="00434DEE"/>
    <w:rsid w:val="00435987"/>
    <w:rsid w:val="00435B98"/>
    <w:rsid w:val="00437AF4"/>
    <w:rsid w:val="00441637"/>
    <w:rsid w:val="004418A0"/>
    <w:rsid w:val="00442957"/>
    <w:rsid w:val="004432F7"/>
    <w:rsid w:val="00443FAC"/>
    <w:rsid w:val="00444322"/>
    <w:rsid w:val="00444346"/>
    <w:rsid w:val="004444A3"/>
    <w:rsid w:val="00444E9D"/>
    <w:rsid w:val="00447691"/>
    <w:rsid w:val="00452B40"/>
    <w:rsid w:val="00452DE5"/>
    <w:rsid w:val="0045379A"/>
    <w:rsid w:val="00453B2B"/>
    <w:rsid w:val="00453ECB"/>
    <w:rsid w:val="00454E9A"/>
    <w:rsid w:val="00455C42"/>
    <w:rsid w:val="0045678F"/>
    <w:rsid w:val="0045691E"/>
    <w:rsid w:val="004571B3"/>
    <w:rsid w:val="0045745A"/>
    <w:rsid w:val="00457905"/>
    <w:rsid w:val="00457A62"/>
    <w:rsid w:val="00460A2B"/>
    <w:rsid w:val="00460D15"/>
    <w:rsid w:val="0046100E"/>
    <w:rsid w:val="00463BC1"/>
    <w:rsid w:val="0046550F"/>
    <w:rsid w:val="00465A8B"/>
    <w:rsid w:val="00465C53"/>
    <w:rsid w:val="004664C3"/>
    <w:rsid w:val="00467A53"/>
    <w:rsid w:val="00467D4D"/>
    <w:rsid w:val="004720E5"/>
    <w:rsid w:val="00473DB2"/>
    <w:rsid w:val="00473E55"/>
    <w:rsid w:val="00473FBB"/>
    <w:rsid w:val="00475EBA"/>
    <w:rsid w:val="00476518"/>
    <w:rsid w:val="00476C32"/>
    <w:rsid w:val="00477D63"/>
    <w:rsid w:val="00480C50"/>
    <w:rsid w:val="0048231F"/>
    <w:rsid w:val="00482E5A"/>
    <w:rsid w:val="00483758"/>
    <w:rsid w:val="00483D1F"/>
    <w:rsid w:val="00485AAD"/>
    <w:rsid w:val="00485EE9"/>
    <w:rsid w:val="0048663F"/>
    <w:rsid w:val="00486D99"/>
    <w:rsid w:val="00486E24"/>
    <w:rsid w:val="00487519"/>
    <w:rsid w:val="00487FF3"/>
    <w:rsid w:val="004905D4"/>
    <w:rsid w:val="00492D53"/>
    <w:rsid w:val="00493A31"/>
    <w:rsid w:val="00493EB0"/>
    <w:rsid w:val="0049460D"/>
    <w:rsid w:val="004966BF"/>
    <w:rsid w:val="0049719D"/>
    <w:rsid w:val="004A0DC2"/>
    <w:rsid w:val="004A138F"/>
    <w:rsid w:val="004A18BF"/>
    <w:rsid w:val="004A1F2D"/>
    <w:rsid w:val="004A242A"/>
    <w:rsid w:val="004A29CA"/>
    <w:rsid w:val="004A4053"/>
    <w:rsid w:val="004A41E4"/>
    <w:rsid w:val="004A43D6"/>
    <w:rsid w:val="004A5253"/>
    <w:rsid w:val="004A54EA"/>
    <w:rsid w:val="004A5CAF"/>
    <w:rsid w:val="004A6986"/>
    <w:rsid w:val="004A7568"/>
    <w:rsid w:val="004B012C"/>
    <w:rsid w:val="004B06C6"/>
    <w:rsid w:val="004B132A"/>
    <w:rsid w:val="004B312B"/>
    <w:rsid w:val="004B32C9"/>
    <w:rsid w:val="004B331B"/>
    <w:rsid w:val="004B3569"/>
    <w:rsid w:val="004B421E"/>
    <w:rsid w:val="004B42DD"/>
    <w:rsid w:val="004B481E"/>
    <w:rsid w:val="004B55A2"/>
    <w:rsid w:val="004B62F7"/>
    <w:rsid w:val="004B6C67"/>
    <w:rsid w:val="004C077D"/>
    <w:rsid w:val="004C0EC6"/>
    <w:rsid w:val="004C158D"/>
    <w:rsid w:val="004C15EF"/>
    <w:rsid w:val="004C1FC7"/>
    <w:rsid w:val="004C3A27"/>
    <w:rsid w:val="004C4321"/>
    <w:rsid w:val="004C5233"/>
    <w:rsid w:val="004C572F"/>
    <w:rsid w:val="004C5BD4"/>
    <w:rsid w:val="004C60DB"/>
    <w:rsid w:val="004C711C"/>
    <w:rsid w:val="004C793B"/>
    <w:rsid w:val="004D15C7"/>
    <w:rsid w:val="004D19E1"/>
    <w:rsid w:val="004D1CFA"/>
    <w:rsid w:val="004D1F4B"/>
    <w:rsid w:val="004D2711"/>
    <w:rsid w:val="004D2B0D"/>
    <w:rsid w:val="004D3089"/>
    <w:rsid w:val="004D3544"/>
    <w:rsid w:val="004D4149"/>
    <w:rsid w:val="004D5047"/>
    <w:rsid w:val="004D587A"/>
    <w:rsid w:val="004D6158"/>
    <w:rsid w:val="004D6324"/>
    <w:rsid w:val="004D63BF"/>
    <w:rsid w:val="004E1BCA"/>
    <w:rsid w:val="004E267A"/>
    <w:rsid w:val="004E27C0"/>
    <w:rsid w:val="004E4308"/>
    <w:rsid w:val="004E4B11"/>
    <w:rsid w:val="004E5E09"/>
    <w:rsid w:val="004E6475"/>
    <w:rsid w:val="004E67D7"/>
    <w:rsid w:val="004E6DD8"/>
    <w:rsid w:val="004E6EF8"/>
    <w:rsid w:val="004F0B21"/>
    <w:rsid w:val="004F2A3D"/>
    <w:rsid w:val="004F510D"/>
    <w:rsid w:val="004F6CAC"/>
    <w:rsid w:val="004F727B"/>
    <w:rsid w:val="00500646"/>
    <w:rsid w:val="005013A4"/>
    <w:rsid w:val="00501551"/>
    <w:rsid w:val="00502E39"/>
    <w:rsid w:val="00502E43"/>
    <w:rsid w:val="005037A7"/>
    <w:rsid w:val="00505C8A"/>
    <w:rsid w:val="00506DB3"/>
    <w:rsid w:val="00507A59"/>
    <w:rsid w:val="005109DB"/>
    <w:rsid w:val="00510A89"/>
    <w:rsid w:val="00511ED9"/>
    <w:rsid w:val="00512618"/>
    <w:rsid w:val="00512D7F"/>
    <w:rsid w:val="00513D3B"/>
    <w:rsid w:val="00513F36"/>
    <w:rsid w:val="00514B9B"/>
    <w:rsid w:val="005160F0"/>
    <w:rsid w:val="00517C36"/>
    <w:rsid w:val="005201C8"/>
    <w:rsid w:val="005203C2"/>
    <w:rsid w:val="005203C8"/>
    <w:rsid w:val="005209C0"/>
    <w:rsid w:val="00521663"/>
    <w:rsid w:val="00523272"/>
    <w:rsid w:val="00523889"/>
    <w:rsid w:val="00525A5A"/>
    <w:rsid w:val="00525A5D"/>
    <w:rsid w:val="00526C63"/>
    <w:rsid w:val="0052725C"/>
    <w:rsid w:val="00527A7A"/>
    <w:rsid w:val="005301CE"/>
    <w:rsid w:val="00532BB0"/>
    <w:rsid w:val="00533ECB"/>
    <w:rsid w:val="00534559"/>
    <w:rsid w:val="00534BDA"/>
    <w:rsid w:val="00535A52"/>
    <w:rsid w:val="00537A60"/>
    <w:rsid w:val="005400EB"/>
    <w:rsid w:val="0054118A"/>
    <w:rsid w:val="00541F64"/>
    <w:rsid w:val="00542708"/>
    <w:rsid w:val="00546596"/>
    <w:rsid w:val="00546C18"/>
    <w:rsid w:val="00547274"/>
    <w:rsid w:val="00550715"/>
    <w:rsid w:val="00550DC8"/>
    <w:rsid w:val="005518BF"/>
    <w:rsid w:val="00551B62"/>
    <w:rsid w:val="0055251E"/>
    <w:rsid w:val="005526C4"/>
    <w:rsid w:val="00552EDD"/>
    <w:rsid w:val="005541D4"/>
    <w:rsid w:val="00554534"/>
    <w:rsid w:val="005550CF"/>
    <w:rsid w:val="00556472"/>
    <w:rsid w:val="005576E7"/>
    <w:rsid w:val="00560125"/>
    <w:rsid w:val="0056059F"/>
    <w:rsid w:val="005621BA"/>
    <w:rsid w:val="00562577"/>
    <w:rsid w:val="005644E3"/>
    <w:rsid w:val="00565871"/>
    <w:rsid w:val="00565AC2"/>
    <w:rsid w:val="00566D5B"/>
    <w:rsid w:val="00566E4D"/>
    <w:rsid w:val="005705D6"/>
    <w:rsid w:val="0057113C"/>
    <w:rsid w:val="00571D4D"/>
    <w:rsid w:val="005731B2"/>
    <w:rsid w:val="00573D7E"/>
    <w:rsid w:val="0057503B"/>
    <w:rsid w:val="005755DA"/>
    <w:rsid w:val="005758B7"/>
    <w:rsid w:val="00575C7B"/>
    <w:rsid w:val="00580A78"/>
    <w:rsid w:val="00580E21"/>
    <w:rsid w:val="00581B77"/>
    <w:rsid w:val="00582988"/>
    <w:rsid w:val="005837B9"/>
    <w:rsid w:val="00583C5F"/>
    <w:rsid w:val="0058408B"/>
    <w:rsid w:val="0058452B"/>
    <w:rsid w:val="00584545"/>
    <w:rsid w:val="00584CF3"/>
    <w:rsid w:val="00585105"/>
    <w:rsid w:val="0058540D"/>
    <w:rsid w:val="005863C7"/>
    <w:rsid w:val="005870BE"/>
    <w:rsid w:val="00587EA1"/>
    <w:rsid w:val="00590832"/>
    <w:rsid w:val="005908EA"/>
    <w:rsid w:val="005924CD"/>
    <w:rsid w:val="005933DC"/>
    <w:rsid w:val="005935E2"/>
    <w:rsid w:val="00593DB6"/>
    <w:rsid w:val="005957E8"/>
    <w:rsid w:val="005968CF"/>
    <w:rsid w:val="00597AB0"/>
    <w:rsid w:val="005A08EE"/>
    <w:rsid w:val="005A119D"/>
    <w:rsid w:val="005A1F0E"/>
    <w:rsid w:val="005A22D1"/>
    <w:rsid w:val="005A4A53"/>
    <w:rsid w:val="005A6816"/>
    <w:rsid w:val="005A68D4"/>
    <w:rsid w:val="005A7972"/>
    <w:rsid w:val="005B00A0"/>
    <w:rsid w:val="005B0F16"/>
    <w:rsid w:val="005B239F"/>
    <w:rsid w:val="005B3375"/>
    <w:rsid w:val="005B3E95"/>
    <w:rsid w:val="005B50DF"/>
    <w:rsid w:val="005B5BE1"/>
    <w:rsid w:val="005B6519"/>
    <w:rsid w:val="005B6588"/>
    <w:rsid w:val="005B76BF"/>
    <w:rsid w:val="005B7A0A"/>
    <w:rsid w:val="005C0EE2"/>
    <w:rsid w:val="005C2369"/>
    <w:rsid w:val="005C38E7"/>
    <w:rsid w:val="005C3B0F"/>
    <w:rsid w:val="005C41B6"/>
    <w:rsid w:val="005C431B"/>
    <w:rsid w:val="005C4850"/>
    <w:rsid w:val="005C5FD2"/>
    <w:rsid w:val="005C66FD"/>
    <w:rsid w:val="005C7843"/>
    <w:rsid w:val="005C7B9F"/>
    <w:rsid w:val="005D0C32"/>
    <w:rsid w:val="005D21C1"/>
    <w:rsid w:val="005D31B4"/>
    <w:rsid w:val="005D4270"/>
    <w:rsid w:val="005D42AF"/>
    <w:rsid w:val="005D4506"/>
    <w:rsid w:val="005D4911"/>
    <w:rsid w:val="005D623F"/>
    <w:rsid w:val="005D65BA"/>
    <w:rsid w:val="005D7973"/>
    <w:rsid w:val="005D7BC4"/>
    <w:rsid w:val="005D7BDE"/>
    <w:rsid w:val="005E0D71"/>
    <w:rsid w:val="005E31B2"/>
    <w:rsid w:val="005E4215"/>
    <w:rsid w:val="005E4321"/>
    <w:rsid w:val="005E588D"/>
    <w:rsid w:val="005E6536"/>
    <w:rsid w:val="005F00A7"/>
    <w:rsid w:val="005F0D0E"/>
    <w:rsid w:val="005F1B2B"/>
    <w:rsid w:val="005F2383"/>
    <w:rsid w:val="005F278D"/>
    <w:rsid w:val="005F2CB0"/>
    <w:rsid w:val="005F461B"/>
    <w:rsid w:val="005F4917"/>
    <w:rsid w:val="005F5F8A"/>
    <w:rsid w:val="005F7422"/>
    <w:rsid w:val="005F7748"/>
    <w:rsid w:val="005F7E82"/>
    <w:rsid w:val="00600362"/>
    <w:rsid w:val="0060071A"/>
    <w:rsid w:val="006014AD"/>
    <w:rsid w:val="00604194"/>
    <w:rsid w:val="00605173"/>
    <w:rsid w:val="00605D1D"/>
    <w:rsid w:val="0060681F"/>
    <w:rsid w:val="00606B73"/>
    <w:rsid w:val="00606B92"/>
    <w:rsid w:val="0060794C"/>
    <w:rsid w:val="00607DAA"/>
    <w:rsid w:val="006105CE"/>
    <w:rsid w:val="00610832"/>
    <w:rsid w:val="00612097"/>
    <w:rsid w:val="006121EE"/>
    <w:rsid w:val="006124C3"/>
    <w:rsid w:val="0061297B"/>
    <w:rsid w:val="006134A5"/>
    <w:rsid w:val="00614266"/>
    <w:rsid w:val="0061601C"/>
    <w:rsid w:val="006166AA"/>
    <w:rsid w:val="0061676C"/>
    <w:rsid w:val="00616C13"/>
    <w:rsid w:val="006171E6"/>
    <w:rsid w:val="00620E21"/>
    <w:rsid w:val="006240B7"/>
    <w:rsid w:val="00625BE6"/>
    <w:rsid w:val="00625F46"/>
    <w:rsid w:val="0062691A"/>
    <w:rsid w:val="00626E66"/>
    <w:rsid w:val="006304A3"/>
    <w:rsid w:val="006308C3"/>
    <w:rsid w:val="00630F9A"/>
    <w:rsid w:val="0063105F"/>
    <w:rsid w:val="006311CA"/>
    <w:rsid w:val="0063127E"/>
    <w:rsid w:val="0063180D"/>
    <w:rsid w:val="0063198E"/>
    <w:rsid w:val="00631F11"/>
    <w:rsid w:val="00632060"/>
    <w:rsid w:val="00633133"/>
    <w:rsid w:val="00633654"/>
    <w:rsid w:val="00633EB6"/>
    <w:rsid w:val="00634646"/>
    <w:rsid w:val="00635F54"/>
    <w:rsid w:val="006361AC"/>
    <w:rsid w:val="0063667E"/>
    <w:rsid w:val="006366A3"/>
    <w:rsid w:val="006367B7"/>
    <w:rsid w:val="00640E66"/>
    <w:rsid w:val="00643125"/>
    <w:rsid w:val="006445F7"/>
    <w:rsid w:val="006457CB"/>
    <w:rsid w:val="00646093"/>
    <w:rsid w:val="006470F0"/>
    <w:rsid w:val="00647424"/>
    <w:rsid w:val="00647D0E"/>
    <w:rsid w:val="00647F0C"/>
    <w:rsid w:val="006522A0"/>
    <w:rsid w:val="006522AA"/>
    <w:rsid w:val="0065239F"/>
    <w:rsid w:val="00652D22"/>
    <w:rsid w:val="00653872"/>
    <w:rsid w:val="006545D9"/>
    <w:rsid w:val="00654752"/>
    <w:rsid w:val="00655FC6"/>
    <w:rsid w:val="0065690B"/>
    <w:rsid w:val="00657455"/>
    <w:rsid w:val="00657ACE"/>
    <w:rsid w:val="00660505"/>
    <w:rsid w:val="006607AE"/>
    <w:rsid w:val="006608DF"/>
    <w:rsid w:val="00660B43"/>
    <w:rsid w:val="00660BCA"/>
    <w:rsid w:val="006626EA"/>
    <w:rsid w:val="00663061"/>
    <w:rsid w:val="00664E85"/>
    <w:rsid w:val="00665009"/>
    <w:rsid w:val="0066535D"/>
    <w:rsid w:val="00665590"/>
    <w:rsid w:val="006655B7"/>
    <w:rsid w:val="00666E69"/>
    <w:rsid w:val="00670094"/>
    <w:rsid w:val="006709D7"/>
    <w:rsid w:val="00670DA6"/>
    <w:rsid w:val="0067138F"/>
    <w:rsid w:val="00671725"/>
    <w:rsid w:val="0067214E"/>
    <w:rsid w:val="00673C2A"/>
    <w:rsid w:val="0067459A"/>
    <w:rsid w:val="0067580C"/>
    <w:rsid w:val="0067667F"/>
    <w:rsid w:val="00676D37"/>
    <w:rsid w:val="00681152"/>
    <w:rsid w:val="006818F3"/>
    <w:rsid w:val="006824C0"/>
    <w:rsid w:val="00682EB8"/>
    <w:rsid w:val="006832DF"/>
    <w:rsid w:val="006834D6"/>
    <w:rsid w:val="006835BB"/>
    <w:rsid w:val="00683A16"/>
    <w:rsid w:val="00684DFE"/>
    <w:rsid w:val="006867A0"/>
    <w:rsid w:val="00686B4B"/>
    <w:rsid w:val="006876CB"/>
    <w:rsid w:val="0068771B"/>
    <w:rsid w:val="00691C79"/>
    <w:rsid w:val="006920BF"/>
    <w:rsid w:val="00693191"/>
    <w:rsid w:val="0069392D"/>
    <w:rsid w:val="0069441D"/>
    <w:rsid w:val="00695183"/>
    <w:rsid w:val="00696091"/>
    <w:rsid w:val="00696779"/>
    <w:rsid w:val="00696EC8"/>
    <w:rsid w:val="00696FB8"/>
    <w:rsid w:val="006A0A05"/>
    <w:rsid w:val="006A16B4"/>
    <w:rsid w:val="006A18E6"/>
    <w:rsid w:val="006A39E1"/>
    <w:rsid w:val="006A3D44"/>
    <w:rsid w:val="006A467C"/>
    <w:rsid w:val="006A4784"/>
    <w:rsid w:val="006A5D29"/>
    <w:rsid w:val="006A5D88"/>
    <w:rsid w:val="006A5ECD"/>
    <w:rsid w:val="006B2BF1"/>
    <w:rsid w:val="006B3F35"/>
    <w:rsid w:val="006B5CC5"/>
    <w:rsid w:val="006B6D6B"/>
    <w:rsid w:val="006B6F6E"/>
    <w:rsid w:val="006B7D93"/>
    <w:rsid w:val="006C05E8"/>
    <w:rsid w:val="006C13AE"/>
    <w:rsid w:val="006C1A99"/>
    <w:rsid w:val="006C1C37"/>
    <w:rsid w:val="006C1E08"/>
    <w:rsid w:val="006C35DE"/>
    <w:rsid w:val="006C36BD"/>
    <w:rsid w:val="006C3963"/>
    <w:rsid w:val="006C3F86"/>
    <w:rsid w:val="006C425C"/>
    <w:rsid w:val="006C5287"/>
    <w:rsid w:val="006C5803"/>
    <w:rsid w:val="006C67D5"/>
    <w:rsid w:val="006D1625"/>
    <w:rsid w:val="006D1979"/>
    <w:rsid w:val="006D2CA0"/>
    <w:rsid w:val="006D35AA"/>
    <w:rsid w:val="006D6242"/>
    <w:rsid w:val="006E1683"/>
    <w:rsid w:val="006E18FD"/>
    <w:rsid w:val="006E1E1B"/>
    <w:rsid w:val="006E1FC3"/>
    <w:rsid w:val="006E27B3"/>
    <w:rsid w:val="006E352F"/>
    <w:rsid w:val="006E600E"/>
    <w:rsid w:val="006F0025"/>
    <w:rsid w:val="006F0504"/>
    <w:rsid w:val="006F07E1"/>
    <w:rsid w:val="006F1CC0"/>
    <w:rsid w:val="006F217B"/>
    <w:rsid w:val="006F4614"/>
    <w:rsid w:val="006F46E6"/>
    <w:rsid w:val="006F49E9"/>
    <w:rsid w:val="006F5D9D"/>
    <w:rsid w:val="006F72E0"/>
    <w:rsid w:val="006F7F17"/>
    <w:rsid w:val="00700500"/>
    <w:rsid w:val="00700A1E"/>
    <w:rsid w:val="00700F1C"/>
    <w:rsid w:val="00701B57"/>
    <w:rsid w:val="007021A1"/>
    <w:rsid w:val="00703181"/>
    <w:rsid w:val="0070399B"/>
    <w:rsid w:val="00704ABD"/>
    <w:rsid w:val="00704B87"/>
    <w:rsid w:val="00706424"/>
    <w:rsid w:val="00706AB3"/>
    <w:rsid w:val="00707343"/>
    <w:rsid w:val="0070740D"/>
    <w:rsid w:val="00707BD4"/>
    <w:rsid w:val="007113CA"/>
    <w:rsid w:val="00711836"/>
    <w:rsid w:val="00711B59"/>
    <w:rsid w:val="00711FB1"/>
    <w:rsid w:val="007122E7"/>
    <w:rsid w:val="007132DC"/>
    <w:rsid w:val="00713CAF"/>
    <w:rsid w:val="00716401"/>
    <w:rsid w:val="00716633"/>
    <w:rsid w:val="00717B78"/>
    <w:rsid w:val="00720182"/>
    <w:rsid w:val="00720F33"/>
    <w:rsid w:val="0072203B"/>
    <w:rsid w:val="00722265"/>
    <w:rsid w:val="007226DA"/>
    <w:rsid w:val="00722E2A"/>
    <w:rsid w:val="00726040"/>
    <w:rsid w:val="00726450"/>
    <w:rsid w:val="0072647F"/>
    <w:rsid w:val="00726667"/>
    <w:rsid w:val="00726A0B"/>
    <w:rsid w:val="007275B8"/>
    <w:rsid w:val="00727801"/>
    <w:rsid w:val="00730A24"/>
    <w:rsid w:val="00731322"/>
    <w:rsid w:val="00731398"/>
    <w:rsid w:val="00733318"/>
    <w:rsid w:val="007337CE"/>
    <w:rsid w:val="00733867"/>
    <w:rsid w:val="00734091"/>
    <w:rsid w:val="0073519E"/>
    <w:rsid w:val="00735A0A"/>
    <w:rsid w:val="00736F37"/>
    <w:rsid w:val="0073716B"/>
    <w:rsid w:val="0074038A"/>
    <w:rsid w:val="00740AB6"/>
    <w:rsid w:val="00740AD3"/>
    <w:rsid w:val="00740AE2"/>
    <w:rsid w:val="00740CE8"/>
    <w:rsid w:val="007418F8"/>
    <w:rsid w:val="00742C3A"/>
    <w:rsid w:val="007435DA"/>
    <w:rsid w:val="007444E2"/>
    <w:rsid w:val="00746077"/>
    <w:rsid w:val="00746D5F"/>
    <w:rsid w:val="00747D68"/>
    <w:rsid w:val="00750217"/>
    <w:rsid w:val="0075157D"/>
    <w:rsid w:val="0075185B"/>
    <w:rsid w:val="00751A78"/>
    <w:rsid w:val="0075578C"/>
    <w:rsid w:val="007576B4"/>
    <w:rsid w:val="00762B30"/>
    <w:rsid w:val="00763BD0"/>
    <w:rsid w:val="00766E6E"/>
    <w:rsid w:val="0076779F"/>
    <w:rsid w:val="00770055"/>
    <w:rsid w:val="0077013F"/>
    <w:rsid w:val="00770B3C"/>
    <w:rsid w:val="007717EF"/>
    <w:rsid w:val="00771938"/>
    <w:rsid w:val="007721F1"/>
    <w:rsid w:val="00772743"/>
    <w:rsid w:val="00772F8E"/>
    <w:rsid w:val="00774404"/>
    <w:rsid w:val="00774781"/>
    <w:rsid w:val="00774879"/>
    <w:rsid w:val="0077494C"/>
    <w:rsid w:val="00776258"/>
    <w:rsid w:val="00776DE4"/>
    <w:rsid w:val="0077701D"/>
    <w:rsid w:val="007773C1"/>
    <w:rsid w:val="00777CFE"/>
    <w:rsid w:val="007800C5"/>
    <w:rsid w:val="00780367"/>
    <w:rsid w:val="00780FEC"/>
    <w:rsid w:val="00781E45"/>
    <w:rsid w:val="007826CD"/>
    <w:rsid w:val="00782993"/>
    <w:rsid w:val="00783625"/>
    <w:rsid w:val="007836D2"/>
    <w:rsid w:val="00783AF6"/>
    <w:rsid w:val="0078430A"/>
    <w:rsid w:val="00786EF6"/>
    <w:rsid w:val="00787AD7"/>
    <w:rsid w:val="00787B7C"/>
    <w:rsid w:val="0079010F"/>
    <w:rsid w:val="007902C3"/>
    <w:rsid w:val="007908DF"/>
    <w:rsid w:val="00791637"/>
    <w:rsid w:val="0079217B"/>
    <w:rsid w:val="00792399"/>
    <w:rsid w:val="00793352"/>
    <w:rsid w:val="00793CD6"/>
    <w:rsid w:val="007943A7"/>
    <w:rsid w:val="00795E60"/>
    <w:rsid w:val="0079647B"/>
    <w:rsid w:val="007970C2"/>
    <w:rsid w:val="0079747F"/>
    <w:rsid w:val="007A2A73"/>
    <w:rsid w:val="007A3EA2"/>
    <w:rsid w:val="007A4276"/>
    <w:rsid w:val="007A4C66"/>
    <w:rsid w:val="007A4CEF"/>
    <w:rsid w:val="007A60EE"/>
    <w:rsid w:val="007A6243"/>
    <w:rsid w:val="007A624F"/>
    <w:rsid w:val="007B0206"/>
    <w:rsid w:val="007B0CA8"/>
    <w:rsid w:val="007B10AC"/>
    <w:rsid w:val="007B43A8"/>
    <w:rsid w:val="007B53B7"/>
    <w:rsid w:val="007B7B35"/>
    <w:rsid w:val="007B7D02"/>
    <w:rsid w:val="007C0E62"/>
    <w:rsid w:val="007C1BE7"/>
    <w:rsid w:val="007C1D1A"/>
    <w:rsid w:val="007C25E6"/>
    <w:rsid w:val="007C32EF"/>
    <w:rsid w:val="007C3441"/>
    <w:rsid w:val="007C53A8"/>
    <w:rsid w:val="007C641E"/>
    <w:rsid w:val="007C6F1B"/>
    <w:rsid w:val="007D27C2"/>
    <w:rsid w:val="007D2E97"/>
    <w:rsid w:val="007D3C8A"/>
    <w:rsid w:val="007D48FE"/>
    <w:rsid w:val="007D4E0A"/>
    <w:rsid w:val="007D7632"/>
    <w:rsid w:val="007D7F66"/>
    <w:rsid w:val="007E052D"/>
    <w:rsid w:val="007E0F62"/>
    <w:rsid w:val="007E4CD7"/>
    <w:rsid w:val="007E5B5D"/>
    <w:rsid w:val="007E614A"/>
    <w:rsid w:val="007E6DB6"/>
    <w:rsid w:val="007E75B3"/>
    <w:rsid w:val="007E7900"/>
    <w:rsid w:val="007E799D"/>
    <w:rsid w:val="007E7D98"/>
    <w:rsid w:val="007F0580"/>
    <w:rsid w:val="007F228D"/>
    <w:rsid w:val="007F2426"/>
    <w:rsid w:val="007F2635"/>
    <w:rsid w:val="007F2999"/>
    <w:rsid w:val="007F32EA"/>
    <w:rsid w:val="007F3943"/>
    <w:rsid w:val="007F3ECE"/>
    <w:rsid w:val="007F530E"/>
    <w:rsid w:val="007F5967"/>
    <w:rsid w:val="007F6D90"/>
    <w:rsid w:val="007F7A72"/>
    <w:rsid w:val="007F7A83"/>
    <w:rsid w:val="00800B49"/>
    <w:rsid w:val="0080127F"/>
    <w:rsid w:val="0080157D"/>
    <w:rsid w:val="00801B57"/>
    <w:rsid w:val="00802658"/>
    <w:rsid w:val="00802B7D"/>
    <w:rsid w:val="00803AFA"/>
    <w:rsid w:val="008056A9"/>
    <w:rsid w:val="008068DD"/>
    <w:rsid w:val="008078E5"/>
    <w:rsid w:val="008112B4"/>
    <w:rsid w:val="00811BBA"/>
    <w:rsid w:val="00813C94"/>
    <w:rsid w:val="008146FE"/>
    <w:rsid w:val="00815492"/>
    <w:rsid w:val="00815E39"/>
    <w:rsid w:val="00815F9E"/>
    <w:rsid w:val="008170CA"/>
    <w:rsid w:val="00817B90"/>
    <w:rsid w:val="0082011C"/>
    <w:rsid w:val="00820BEB"/>
    <w:rsid w:val="00822458"/>
    <w:rsid w:val="008227A3"/>
    <w:rsid w:val="00824F36"/>
    <w:rsid w:val="00824F93"/>
    <w:rsid w:val="00824FD0"/>
    <w:rsid w:val="00825C77"/>
    <w:rsid w:val="00826038"/>
    <w:rsid w:val="00827DD4"/>
    <w:rsid w:val="0083111E"/>
    <w:rsid w:val="00834F0D"/>
    <w:rsid w:val="0083630E"/>
    <w:rsid w:val="0084009A"/>
    <w:rsid w:val="00841172"/>
    <w:rsid w:val="008427A0"/>
    <w:rsid w:val="00842B51"/>
    <w:rsid w:val="00843028"/>
    <w:rsid w:val="008445AC"/>
    <w:rsid w:val="00845255"/>
    <w:rsid w:val="008452DC"/>
    <w:rsid w:val="00845357"/>
    <w:rsid w:val="00845774"/>
    <w:rsid w:val="00845C18"/>
    <w:rsid w:val="008479EA"/>
    <w:rsid w:val="00852C8F"/>
    <w:rsid w:val="008539E9"/>
    <w:rsid w:val="00853BBD"/>
    <w:rsid w:val="00854147"/>
    <w:rsid w:val="00855B7C"/>
    <w:rsid w:val="00856BCF"/>
    <w:rsid w:val="00857034"/>
    <w:rsid w:val="0086010D"/>
    <w:rsid w:val="008617D0"/>
    <w:rsid w:val="00861D30"/>
    <w:rsid w:val="00861D77"/>
    <w:rsid w:val="00862AA2"/>
    <w:rsid w:val="00863EC4"/>
    <w:rsid w:val="008664F0"/>
    <w:rsid w:val="008669A4"/>
    <w:rsid w:val="00867911"/>
    <w:rsid w:val="00867D6B"/>
    <w:rsid w:val="00872083"/>
    <w:rsid w:val="00872A71"/>
    <w:rsid w:val="00873DD4"/>
    <w:rsid w:val="00874FA0"/>
    <w:rsid w:val="00875C90"/>
    <w:rsid w:val="00876462"/>
    <w:rsid w:val="008769F4"/>
    <w:rsid w:val="00876A5B"/>
    <w:rsid w:val="008778D3"/>
    <w:rsid w:val="00881488"/>
    <w:rsid w:val="008817BC"/>
    <w:rsid w:val="0088182D"/>
    <w:rsid w:val="00881D91"/>
    <w:rsid w:val="00882619"/>
    <w:rsid w:val="008832D5"/>
    <w:rsid w:val="00883D02"/>
    <w:rsid w:val="00886C18"/>
    <w:rsid w:val="00887B56"/>
    <w:rsid w:val="00891229"/>
    <w:rsid w:val="00891CC8"/>
    <w:rsid w:val="00892F04"/>
    <w:rsid w:val="00892FA8"/>
    <w:rsid w:val="008942F8"/>
    <w:rsid w:val="0089576F"/>
    <w:rsid w:val="00896062"/>
    <w:rsid w:val="00897282"/>
    <w:rsid w:val="008A190B"/>
    <w:rsid w:val="008A1D3E"/>
    <w:rsid w:val="008A26C6"/>
    <w:rsid w:val="008A2B30"/>
    <w:rsid w:val="008A4242"/>
    <w:rsid w:val="008A4551"/>
    <w:rsid w:val="008B0A46"/>
    <w:rsid w:val="008B18EA"/>
    <w:rsid w:val="008B4A11"/>
    <w:rsid w:val="008B5FA4"/>
    <w:rsid w:val="008B634E"/>
    <w:rsid w:val="008B72F1"/>
    <w:rsid w:val="008B75F2"/>
    <w:rsid w:val="008B75F4"/>
    <w:rsid w:val="008B7BD1"/>
    <w:rsid w:val="008B7E27"/>
    <w:rsid w:val="008B7E51"/>
    <w:rsid w:val="008C066A"/>
    <w:rsid w:val="008C0A47"/>
    <w:rsid w:val="008C0A49"/>
    <w:rsid w:val="008C2025"/>
    <w:rsid w:val="008C2483"/>
    <w:rsid w:val="008C28D6"/>
    <w:rsid w:val="008C3144"/>
    <w:rsid w:val="008C31E5"/>
    <w:rsid w:val="008C3B3F"/>
    <w:rsid w:val="008C4203"/>
    <w:rsid w:val="008C4360"/>
    <w:rsid w:val="008C4474"/>
    <w:rsid w:val="008C6836"/>
    <w:rsid w:val="008C688D"/>
    <w:rsid w:val="008C6950"/>
    <w:rsid w:val="008C70A1"/>
    <w:rsid w:val="008C78DD"/>
    <w:rsid w:val="008C7A7B"/>
    <w:rsid w:val="008D075D"/>
    <w:rsid w:val="008D0CA6"/>
    <w:rsid w:val="008D1464"/>
    <w:rsid w:val="008D2257"/>
    <w:rsid w:val="008D2BA9"/>
    <w:rsid w:val="008D58E6"/>
    <w:rsid w:val="008D6797"/>
    <w:rsid w:val="008D6879"/>
    <w:rsid w:val="008D6A09"/>
    <w:rsid w:val="008D6AAF"/>
    <w:rsid w:val="008D7493"/>
    <w:rsid w:val="008E02AD"/>
    <w:rsid w:val="008E0469"/>
    <w:rsid w:val="008E4072"/>
    <w:rsid w:val="008E4BAA"/>
    <w:rsid w:val="008E5BB2"/>
    <w:rsid w:val="008E609B"/>
    <w:rsid w:val="008E6458"/>
    <w:rsid w:val="008E71A6"/>
    <w:rsid w:val="008E73FB"/>
    <w:rsid w:val="008F0046"/>
    <w:rsid w:val="008F1C84"/>
    <w:rsid w:val="008F469D"/>
    <w:rsid w:val="008F6C9B"/>
    <w:rsid w:val="008F7717"/>
    <w:rsid w:val="00900395"/>
    <w:rsid w:val="00901A2A"/>
    <w:rsid w:val="00902079"/>
    <w:rsid w:val="00902260"/>
    <w:rsid w:val="009022FC"/>
    <w:rsid w:val="00902A7B"/>
    <w:rsid w:val="009033E9"/>
    <w:rsid w:val="0090379A"/>
    <w:rsid w:val="009054C9"/>
    <w:rsid w:val="009056E3"/>
    <w:rsid w:val="00905F4C"/>
    <w:rsid w:val="00906215"/>
    <w:rsid w:val="00906B99"/>
    <w:rsid w:val="00907C3F"/>
    <w:rsid w:val="00913479"/>
    <w:rsid w:val="009152B2"/>
    <w:rsid w:val="00915391"/>
    <w:rsid w:val="00916744"/>
    <w:rsid w:val="00916782"/>
    <w:rsid w:val="00916798"/>
    <w:rsid w:val="00916C98"/>
    <w:rsid w:val="00920958"/>
    <w:rsid w:val="00920C71"/>
    <w:rsid w:val="00920F16"/>
    <w:rsid w:val="00921576"/>
    <w:rsid w:val="00921DD3"/>
    <w:rsid w:val="009227D3"/>
    <w:rsid w:val="00922B7E"/>
    <w:rsid w:val="00924F3F"/>
    <w:rsid w:val="00925B21"/>
    <w:rsid w:val="00926188"/>
    <w:rsid w:val="009264A6"/>
    <w:rsid w:val="00926DFB"/>
    <w:rsid w:val="00930F4C"/>
    <w:rsid w:val="0093221D"/>
    <w:rsid w:val="0093296B"/>
    <w:rsid w:val="00933342"/>
    <w:rsid w:val="00933445"/>
    <w:rsid w:val="009334FE"/>
    <w:rsid w:val="0093370F"/>
    <w:rsid w:val="00933904"/>
    <w:rsid w:val="00934534"/>
    <w:rsid w:val="00937E70"/>
    <w:rsid w:val="00942382"/>
    <w:rsid w:val="00943521"/>
    <w:rsid w:val="00943948"/>
    <w:rsid w:val="00943C97"/>
    <w:rsid w:val="00943E71"/>
    <w:rsid w:val="00944F95"/>
    <w:rsid w:val="0094713E"/>
    <w:rsid w:val="00947788"/>
    <w:rsid w:val="009505D4"/>
    <w:rsid w:val="0095151C"/>
    <w:rsid w:val="0095299C"/>
    <w:rsid w:val="00952B2B"/>
    <w:rsid w:val="00952DA4"/>
    <w:rsid w:val="009538FF"/>
    <w:rsid w:val="00954F43"/>
    <w:rsid w:val="009551BE"/>
    <w:rsid w:val="00955498"/>
    <w:rsid w:val="00955DCC"/>
    <w:rsid w:val="00955F57"/>
    <w:rsid w:val="00956086"/>
    <w:rsid w:val="009564E2"/>
    <w:rsid w:val="00960A6F"/>
    <w:rsid w:val="00961A92"/>
    <w:rsid w:val="009620C8"/>
    <w:rsid w:val="00962742"/>
    <w:rsid w:val="00963D29"/>
    <w:rsid w:val="00964340"/>
    <w:rsid w:val="00964603"/>
    <w:rsid w:val="00964846"/>
    <w:rsid w:val="0096490E"/>
    <w:rsid w:val="00967124"/>
    <w:rsid w:val="00967F80"/>
    <w:rsid w:val="00967FC7"/>
    <w:rsid w:val="00970B59"/>
    <w:rsid w:val="0097284A"/>
    <w:rsid w:val="00972D06"/>
    <w:rsid w:val="009749A3"/>
    <w:rsid w:val="00976175"/>
    <w:rsid w:val="0097663F"/>
    <w:rsid w:val="00976775"/>
    <w:rsid w:val="0097716E"/>
    <w:rsid w:val="00980566"/>
    <w:rsid w:val="00980779"/>
    <w:rsid w:val="00980B08"/>
    <w:rsid w:val="00981BC5"/>
    <w:rsid w:val="00981E33"/>
    <w:rsid w:val="009821DF"/>
    <w:rsid w:val="009822D1"/>
    <w:rsid w:val="00982A70"/>
    <w:rsid w:val="00982C36"/>
    <w:rsid w:val="009835F4"/>
    <w:rsid w:val="00983C52"/>
    <w:rsid w:val="00984EBB"/>
    <w:rsid w:val="00985912"/>
    <w:rsid w:val="00986EEF"/>
    <w:rsid w:val="00987165"/>
    <w:rsid w:val="00987E90"/>
    <w:rsid w:val="00990965"/>
    <w:rsid w:val="00990E37"/>
    <w:rsid w:val="00991DC6"/>
    <w:rsid w:val="00991E48"/>
    <w:rsid w:val="009926BF"/>
    <w:rsid w:val="0099333F"/>
    <w:rsid w:val="00993F44"/>
    <w:rsid w:val="0099449A"/>
    <w:rsid w:val="009945C2"/>
    <w:rsid w:val="00994F01"/>
    <w:rsid w:val="00995761"/>
    <w:rsid w:val="0099591A"/>
    <w:rsid w:val="00995C6A"/>
    <w:rsid w:val="0099610D"/>
    <w:rsid w:val="009965D3"/>
    <w:rsid w:val="0099661D"/>
    <w:rsid w:val="00997BE4"/>
    <w:rsid w:val="009A02EC"/>
    <w:rsid w:val="009A0755"/>
    <w:rsid w:val="009A0F31"/>
    <w:rsid w:val="009A4811"/>
    <w:rsid w:val="009A505C"/>
    <w:rsid w:val="009A5BCF"/>
    <w:rsid w:val="009A7742"/>
    <w:rsid w:val="009A78EF"/>
    <w:rsid w:val="009B1087"/>
    <w:rsid w:val="009B121B"/>
    <w:rsid w:val="009B2086"/>
    <w:rsid w:val="009B21A2"/>
    <w:rsid w:val="009B2B8A"/>
    <w:rsid w:val="009B30B8"/>
    <w:rsid w:val="009B39FE"/>
    <w:rsid w:val="009B4657"/>
    <w:rsid w:val="009B4C0A"/>
    <w:rsid w:val="009B5DED"/>
    <w:rsid w:val="009B6CF8"/>
    <w:rsid w:val="009B7166"/>
    <w:rsid w:val="009B71CC"/>
    <w:rsid w:val="009C031D"/>
    <w:rsid w:val="009C04D6"/>
    <w:rsid w:val="009C229E"/>
    <w:rsid w:val="009C2AF3"/>
    <w:rsid w:val="009C30B3"/>
    <w:rsid w:val="009C4481"/>
    <w:rsid w:val="009C55FE"/>
    <w:rsid w:val="009C62EF"/>
    <w:rsid w:val="009C655B"/>
    <w:rsid w:val="009C6F38"/>
    <w:rsid w:val="009D023B"/>
    <w:rsid w:val="009D412C"/>
    <w:rsid w:val="009D4379"/>
    <w:rsid w:val="009D580D"/>
    <w:rsid w:val="009D5868"/>
    <w:rsid w:val="009D6C2D"/>
    <w:rsid w:val="009D7C45"/>
    <w:rsid w:val="009E0259"/>
    <w:rsid w:val="009E0AE2"/>
    <w:rsid w:val="009E2634"/>
    <w:rsid w:val="009E2803"/>
    <w:rsid w:val="009E2B6B"/>
    <w:rsid w:val="009E442F"/>
    <w:rsid w:val="009E72DF"/>
    <w:rsid w:val="009E76B8"/>
    <w:rsid w:val="009F0D6C"/>
    <w:rsid w:val="009F5A25"/>
    <w:rsid w:val="009F7091"/>
    <w:rsid w:val="009F7EC8"/>
    <w:rsid w:val="00A001DA"/>
    <w:rsid w:val="00A01455"/>
    <w:rsid w:val="00A0164E"/>
    <w:rsid w:val="00A022F0"/>
    <w:rsid w:val="00A02F07"/>
    <w:rsid w:val="00A030A8"/>
    <w:rsid w:val="00A03195"/>
    <w:rsid w:val="00A044ED"/>
    <w:rsid w:val="00A05388"/>
    <w:rsid w:val="00A05C9A"/>
    <w:rsid w:val="00A05D78"/>
    <w:rsid w:val="00A0640E"/>
    <w:rsid w:val="00A064B9"/>
    <w:rsid w:val="00A0705D"/>
    <w:rsid w:val="00A072E8"/>
    <w:rsid w:val="00A0770F"/>
    <w:rsid w:val="00A07889"/>
    <w:rsid w:val="00A10BBC"/>
    <w:rsid w:val="00A1460F"/>
    <w:rsid w:val="00A14A97"/>
    <w:rsid w:val="00A14BF2"/>
    <w:rsid w:val="00A1698A"/>
    <w:rsid w:val="00A17495"/>
    <w:rsid w:val="00A2042A"/>
    <w:rsid w:val="00A2105B"/>
    <w:rsid w:val="00A2290C"/>
    <w:rsid w:val="00A23272"/>
    <w:rsid w:val="00A233F0"/>
    <w:rsid w:val="00A23903"/>
    <w:rsid w:val="00A24CD3"/>
    <w:rsid w:val="00A25562"/>
    <w:rsid w:val="00A263D8"/>
    <w:rsid w:val="00A26AA8"/>
    <w:rsid w:val="00A26B8D"/>
    <w:rsid w:val="00A27374"/>
    <w:rsid w:val="00A277D1"/>
    <w:rsid w:val="00A30611"/>
    <w:rsid w:val="00A308D5"/>
    <w:rsid w:val="00A30977"/>
    <w:rsid w:val="00A31E04"/>
    <w:rsid w:val="00A31FF4"/>
    <w:rsid w:val="00A338E2"/>
    <w:rsid w:val="00A33C93"/>
    <w:rsid w:val="00A33D97"/>
    <w:rsid w:val="00A33DA3"/>
    <w:rsid w:val="00A33E90"/>
    <w:rsid w:val="00A33FDD"/>
    <w:rsid w:val="00A34007"/>
    <w:rsid w:val="00A3425F"/>
    <w:rsid w:val="00A34724"/>
    <w:rsid w:val="00A34A3F"/>
    <w:rsid w:val="00A34C65"/>
    <w:rsid w:val="00A34C92"/>
    <w:rsid w:val="00A40A81"/>
    <w:rsid w:val="00A410EB"/>
    <w:rsid w:val="00A41166"/>
    <w:rsid w:val="00A41700"/>
    <w:rsid w:val="00A426B5"/>
    <w:rsid w:val="00A42853"/>
    <w:rsid w:val="00A42A35"/>
    <w:rsid w:val="00A436F8"/>
    <w:rsid w:val="00A43757"/>
    <w:rsid w:val="00A44943"/>
    <w:rsid w:val="00A452A5"/>
    <w:rsid w:val="00A46AC9"/>
    <w:rsid w:val="00A46B47"/>
    <w:rsid w:val="00A501FD"/>
    <w:rsid w:val="00A50352"/>
    <w:rsid w:val="00A51882"/>
    <w:rsid w:val="00A51A8A"/>
    <w:rsid w:val="00A53463"/>
    <w:rsid w:val="00A55C6F"/>
    <w:rsid w:val="00A56E37"/>
    <w:rsid w:val="00A571C0"/>
    <w:rsid w:val="00A57F0F"/>
    <w:rsid w:val="00A6144D"/>
    <w:rsid w:val="00A63473"/>
    <w:rsid w:val="00A64AFF"/>
    <w:rsid w:val="00A65660"/>
    <w:rsid w:val="00A658F0"/>
    <w:rsid w:val="00A663D2"/>
    <w:rsid w:val="00A66BB3"/>
    <w:rsid w:val="00A66C7C"/>
    <w:rsid w:val="00A66DE2"/>
    <w:rsid w:val="00A66EB3"/>
    <w:rsid w:val="00A6712D"/>
    <w:rsid w:val="00A678E6"/>
    <w:rsid w:val="00A67FF4"/>
    <w:rsid w:val="00A71F4E"/>
    <w:rsid w:val="00A7203E"/>
    <w:rsid w:val="00A723A9"/>
    <w:rsid w:val="00A731FA"/>
    <w:rsid w:val="00A73295"/>
    <w:rsid w:val="00A7469E"/>
    <w:rsid w:val="00A7592E"/>
    <w:rsid w:val="00A7636E"/>
    <w:rsid w:val="00A76DC9"/>
    <w:rsid w:val="00A76E51"/>
    <w:rsid w:val="00A77482"/>
    <w:rsid w:val="00A77856"/>
    <w:rsid w:val="00A8040D"/>
    <w:rsid w:val="00A823D0"/>
    <w:rsid w:val="00A8269A"/>
    <w:rsid w:val="00A82F82"/>
    <w:rsid w:val="00A83871"/>
    <w:rsid w:val="00A84527"/>
    <w:rsid w:val="00A85166"/>
    <w:rsid w:val="00A8734F"/>
    <w:rsid w:val="00A87974"/>
    <w:rsid w:val="00A87F7D"/>
    <w:rsid w:val="00A90F48"/>
    <w:rsid w:val="00A9212B"/>
    <w:rsid w:val="00A939D8"/>
    <w:rsid w:val="00A93F5F"/>
    <w:rsid w:val="00A9528F"/>
    <w:rsid w:val="00A959AF"/>
    <w:rsid w:val="00A95D83"/>
    <w:rsid w:val="00A96B3E"/>
    <w:rsid w:val="00A97026"/>
    <w:rsid w:val="00A97516"/>
    <w:rsid w:val="00AA02AA"/>
    <w:rsid w:val="00AA1B5B"/>
    <w:rsid w:val="00AA2218"/>
    <w:rsid w:val="00AA3C65"/>
    <w:rsid w:val="00AA4FAE"/>
    <w:rsid w:val="00AA582A"/>
    <w:rsid w:val="00AA664E"/>
    <w:rsid w:val="00AA7DFD"/>
    <w:rsid w:val="00AB0614"/>
    <w:rsid w:val="00AB06A3"/>
    <w:rsid w:val="00AB07B3"/>
    <w:rsid w:val="00AB0975"/>
    <w:rsid w:val="00AB27B9"/>
    <w:rsid w:val="00AB6C34"/>
    <w:rsid w:val="00AC0697"/>
    <w:rsid w:val="00AC13BF"/>
    <w:rsid w:val="00AC17C0"/>
    <w:rsid w:val="00AC2095"/>
    <w:rsid w:val="00AC2F41"/>
    <w:rsid w:val="00AC354C"/>
    <w:rsid w:val="00AC39DD"/>
    <w:rsid w:val="00AC64C1"/>
    <w:rsid w:val="00AC776F"/>
    <w:rsid w:val="00AD0664"/>
    <w:rsid w:val="00AD071D"/>
    <w:rsid w:val="00AD1BD5"/>
    <w:rsid w:val="00AD1FE4"/>
    <w:rsid w:val="00AD2A93"/>
    <w:rsid w:val="00AD3A25"/>
    <w:rsid w:val="00AD7187"/>
    <w:rsid w:val="00AD7B9A"/>
    <w:rsid w:val="00AE2425"/>
    <w:rsid w:val="00AE2EC2"/>
    <w:rsid w:val="00AE3092"/>
    <w:rsid w:val="00AE4A6B"/>
    <w:rsid w:val="00AE5502"/>
    <w:rsid w:val="00AE5E01"/>
    <w:rsid w:val="00AE5EF2"/>
    <w:rsid w:val="00AE6215"/>
    <w:rsid w:val="00AE6291"/>
    <w:rsid w:val="00AE7702"/>
    <w:rsid w:val="00AF01B2"/>
    <w:rsid w:val="00AF1337"/>
    <w:rsid w:val="00AF3834"/>
    <w:rsid w:val="00AF4147"/>
    <w:rsid w:val="00AF4413"/>
    <w:rsid w:val="00AF52FA"/>
    <w:rsid w:val="00AF5C57"/>
    <w:rsid w:val="00AF7D30"/>
    <w:rsid w:val="00B008CC"/>
    <w:rsid w:val="00B00C08"/>
    <w:rsid w:val="00B01EAA"/>
    <w:rsid w:val="00B03402"/>
    <w:rsid w:val="00B03B1E"/>
    <w:rsid w:val="00B044E9"/>
    <w:rsid w:val="00B049B0"/>
    <w:rsid w:val="00B04F10"/>
    <w:rsid w:val="00B05075"/>
    <w:rsid w:val="00B05400"/>
    <w:rsid w:val="00B057ED"/>
    <w:rsid w:val="00B06E9D"/>
    <w:rsid w:val="00B072A4"/>
    <w:rsid w:val="00B07CBC"/>
    <w:rsid w:val="00B1038B"/>
    <w:rsid w:val="00B108FA"/>
    <w:rsid w:val="00B10E42"/>
    <w:rsid w:val="00B110A3"/>
    <w:rsid w:val="00B113B6"/>
    <w:rsid w:val="00B11B43"/>
    <w:rsid w:val="00B11C2B"/>
    <w:rsid w:val="00B12285"/>
    <w:rsid w:val="00B126BF"/>
    <w:rsid w:val="00B12E11"/>
    <w:rsid w:val="00B136D4"/>
    <w:rsid w:val="00B137CE"/>
    <w:rsid w:val="00B143F5"/>
    <w:rsid w:val="00B14B37"/>
    <w:rsid w:val="00B15276"/>
    <w:rsid w:val="00B16630"/>
    <w:rsid w:val="00B1741D"/>
    <w:rsid w:val="00B17CF8"/>
    <w:rsid w:val="00B20AC4"/>
    <w:rsid w:val="00B22728"/>
    <w:rsid w:val="00B24A83"/>
    <w:rsid w:val="00B24D79"/>
    <w:rsid w:val="00B25181"/>
    <w:rsid w:val="00B2602F"/>
    <w:rsid w:val="00B26560"/>
    <w:rsid w:val="00B27ACD"/>
    <w:rsid w:val="00B3121C"/>
    <w:rsid w:val="00B3147F"/>
    <w:rsid w:val="00B31BA6"/>
    <w:rsid w:val="00B32007"/>
    <w:rsid w:val="00B328A1"/>
    <w:rsid w:val="00B33A69"/>
    <w:rsid w:val="00B35A29"/>
    <w:rsid w:val="00B362D6"/>
    <w:rsid w:val="00B36514"/>
    <w:rsid w:val="00B3651E"/>
    <w:rsid w:val="00B369E8"/>
    <w:rsid w:val="00B375A0"/>
    <w:rsid w:val="00B402C6"/>
    <w:rsid w:val="00B40507"/>
    <w:rsid w:val="00B40AD7"/>
    <w:rsid w:val="00B4135D"/>
    <w:rsid w:val="00B41EFF"/>
    <w:rsid w:val="00B4249C"/>
    <w:rsid w:val="00B43C05"/>
    <w:rsid w:val="00B44432"/>
    <w:rsid w:val="00B45A6A"/>
    <w:rsid w:val="00B45AC4"/>
    <w:rsid w:val="00B469CF"/>
    <w:rsid w:val="00B47159"/>
    <w:rsid w:val="00B47EBE"/>
    <w:rsid w:val="00B509EB"/>
    <w:rsid w:val="00B50EA7"/>
    <w:rsid w:val="00B53DE1"/>
    <w:rsid w:val="00B542CB"/>
    <w:rsid w:val="00B54B0B"/>
    <w:rsid w:val="00B554C3"/>
    <w:rsid w:val="00B55786"/>
    <w:rsid w:val="00B55F47"/>
    <w:rsid w:val="00B5623E"/>
    <w:rsid w:val="00B57F24"/>
    <w:rsid w:val="00B6013F"/>
    <w:rsid w:val="00B60B26"/>
    <w:rsid w:val="00B61A6C"/>
    <w:rsid w:val="00B623B2"/>
    <w:rsid w:val="00B62567"/>
    <w:rsid w:val="00B63561"/>
    <w:rsid w:val="00B64D8C"/>
    <w:rsid w:val="00B654C6"/>
    <w:rsid w:val="00B672AC"/>
    <w:rsid w:val="00B67687"/>
    <w:rsid w:val="00B700B3"/>
    <w:rsid w:val="00B70A34"/>
    <w:rsid w:val="00B70ED5"/>
    <w:rsid w:val="00B70F1B"/>
    <w:rsid w:val="00B717C2"/>
    <w:rsid w:val="00B7257A"/>
    <w:rsid w:val="00B72831"/>
    <w:rsid w:val="00B732DD"/>
    <w:rsid w:val="00B74B57"/>
    <w:rsid w:val="00B768C7"/>
    <w:rsid w:val="00B77253"/>
    <w:rsid w:val="00B77BE7"/>
    <w:rsid w:val="00B80DBF"/>
    <w:rsid w:val="00B81B8E"/>
    <w:rsid w:val="00B82687"/>
    <w:rsid w:val="00B83F96"/>
    <w:rsid w:val="00B84529"/>
    <w:rsid w:val="00B85A53"/>
    <w:rsid w:val="00B918F1"/>
    <w:rsid w:val="00B933E4"/>
    <w:rsid w:val="00B947F6"/>
    <w:rsid w:val="00B96044"/>
    <w:rsid w:val="00B96B70"/>
    <w:rsid w:val="00B975FB"/>
    <w:rsid w:val="00B97967"/>
    <w:rsid w:val="00B97DE8"/>
    <w:rsid w:val="00BA0DF3"/>
    <w:rsid w:val="00BA0E1A"/>
    <w:rsid w:val="00BA1800"/>
    <w:rsid w:val="00BA1F0D"/>
    <w:rsid w:val="00BA37D5"/>
    <w:rsid w:val="00BA4D0F"/>
    <w:rsid w:val="00BA7002"/>
    <w:rsid w:val="00BB024B"/>
    <w:rsid w:val="00BB02CA"/>
    <w:rsid w:val="00BB054C"/>
    <w:rsid w:val="00BB067F"/>
    <w:rsid w:val="00BB2353"/>
    <w:rsid w:val="00BB4956"/>
    <w:rsid w:val="00BB4F4A"/>
    <w:rsid w:val="00BB7C8D"/>
    <w:rsid w:val="00BC041B"/>
    <w:rsid w:val="00BC0A42"/>
    <w:rsid w:val="00BC0C22"/>
    <w:rsid w:val="00BC1709"/>
    <w:rsid w:val="00BC27C8"/>
    <w:rsid w:val="00BC3A6C"/>
    <w:rsid w:val="00BC4112"/>
    <w:rsid w:val="00BC4402"/>
    <w:rsid w:val="00BC59D9"/>
    <w:rsid w:val="00BC72A4"/>
    <w:rsid w:val="00BC7E0D"/>
    <w:rsid w:val="00BD0366"/>
    <w:rsid w:val="00BD48E8"/>
    <w:rsid w:val="00BD5166"/>
    <w:rsid w:val="00BD560A"/>
    <w:rsid w:val="00BD6193"/>
    <w:rsid w:val="00BD63CA"/>
    <w:rsid w:val="00BD706D"/>
    <w:rsid w:val="00BD7D4D"/>
    <w:rsid w:val="00BD7E2A"/>
    <w:rsid w:val="00BE0283"/>
    <w:rsid w:val="00BE0576"/>
    <w:rsid w:val="00BE1A39"/>
    <w:rsid w:val="00BE31EA"/>
    <w:rsid w:val="00BE34A1"/>
    <w:rsid w:val="00BE370D"/>
    <w:rsid w:val="00BE458F"/>
    <w:rsid w:val="00BE501E"/>
    <w:rsid w:val="00BE51E3"/>
    <w:rsid w:val="00BE5480"/>
    <w:rsid w:val="00BE6F69"/>
    <w:rsid w:val="00BE73BD"/>
    <w:rsid w:val="00BF0810"/>
    <w:rsid w:val="00BF0902"/>
    <w:rsid w:val="00BF22F9"/>
    <w:rsid w:val="00BF2562"/>
    <w:rsid w:val="00BF2F4E"/>
    <w:rsid w:val="00BF4914"/>
    <w:rsid w:val="00BF4EDA"/>
    <w:rsid w:val="00BF6237"/>
    <w:rsid w:val="00BF6D84"/>
    <w:rsid w:val="00BF783C"/>
    <w:rsid w:val="00BF7E24"/>
    <w:rsid w:val="00C00025"/>
    <w:rsid w:val="00C00233"/>
    <w:rsid w:val="00C00F0B"/>
    <w:rsid w:val="00C0154F"/>
    <w:rsid w:val="00C01A3F"/>
    <w:rsid w:val="00C01D32"/>
    <w:rsid w:val="00C01E9E"/>
    <w:rsid w:val="00C029EC"/>
    <w:rsid w:val="00C02DCE"/>
    <w:rsid w:val="00C03969"/>
    <w:rsid w:val="00C039A4"/>
    <w:rsid w:val="00C0463E"/>
    <w:rsid w:val="00C05389"/>
    <w:rsid w:val="00C054A9"/>
    <w:rsid w:val="00C0641A"/>
    <w:rsid w:val="00C064CE"/>
    <w:rsid w:val="00C06855"/>
    <w:rsid w:val="00C0696C"/>
    <w:rsid w:val="00C06E13"/>
    <w:rsid w:val="00C07004"/>
    <w:rsid w:val="00C100F5"/>
    <w:rsid w:val="00C10E85"/>
    <w:rsid w:val="00C11A06"/>
    <w:rsid w:val="00C123C5"/>
    <w:rsid w:val="00C1257C"/>
    <w:rsid w:val="00C12747"/>
    <w:rsid w:val="00C12D99"/>
    <w:rsid w:val="00C133EF"/>
    <w:rsid w:val="00C13D56"/>
    <w:rsid w:val="00C1408D"/>
    <w:rsid w:val="00C14734"/>
    <w:rsid w:val="00C14E97"/>
    <w:rsid w:val="00C16325"/>
    <w:rsid w:val="00C169FE"/>
    <w:rsid w:val="00C16AE1"/>
    <w:rsid w:val="00C21161"/>
    <w:rsid w:val="00C22B4C"/>
    <w:rsid w:val="00C22FE9"/>
    <w:rsid w:val="00C23199"/>
    <w:rsid w:val="00C2457C"/>
    <w:rsid w:val="00C25B3D"/>
    <w:rsid w:val="00C2725C"/>
    <w:rsid w:val="00C30F54"/>
    <w:rsid w:val="00C31583"/>
    <w:rsid w:val="00C330BC"/>
    <w:rsid w:val="00C33D96"/>
    <w:rsid w:val="00C343CF"/>
    <w:rsid w:val="00C3453B"/>
    <w:rsid w:val="00C40BB0"/>
    <w:rsid w:val="00C4198D"/>
    <w:rsid w:val="00C42354"/>
    <w:rsid w:val="00C425F2"/>
    <w:rsid w:val="00C42F88"/>
    <w:rsid w:val="00C43444"/>
    <w:rsid w:val="00C44525"/>
    <w:rsid w:val="00C450C6"/>
    <w:rsid w:val="00C46146"/>
    <w:rsid w:val="00C46F4F"/>
    <w:rsid w:val="00C4733C"/>
    <w:rsid w:val="00C47DCE"/>
    <w:rsid w:val="00C47E18"/>
    <w:rsid w:val="00C50C72"/>
    <w:rsid w:val="00C50CE7"/>
    <w:rsid w:val="00C51F78"/>
    <w:rsid w:val="00C52D76"/>
    <w:rsid w:val="00C5399D"/>
    <w:rsid w:val="00C551D8"/>
    <w:rsid w:val="00C55AC1"/>
    <w:rsid w:val="00C55B8D"/>
    <w:rsid w:val="00C5674E"/>
    <w:rsid w:val="00C6041B"/>
    <w:rsid w:val="00C60AED"/>
    <w:rsid w:val="00C61809"/>
    <w:rsid w:val="00C61C13"/>
    <w:rsid w:val="00C6264B"/>
    <w:rsid w:val="00C63551"/>
    <w:rsid w:val="00C641DE"/>
    <w:rsid w:val="00C646E4"/>
    <w:rsid w:val="00C647B5"/>
    <w:rsid w:val="00C64B5B"/>
    <w:rsid w:val="00C655F7"/>
    <w:rsid w:val="00C65A28"/>
    <w:rsid w:val="00C6646D"/>
    <w:rsid w:val="00C67897"/>
    <w:rsid w:val="00C7097C"/>
    <w:rsid w:val="00C7273F"/>
    <w:rsid w:val="00C73F1E"/>
    <w:rsid w:val="00C74056"/>
    <w:rsid w:val="00C74921"/>
    <w:rsid w:val="00C7498A"/>
    <w:rsid w:val="00C80157"/>
    <w:rsid w:val="00C80E26"/>
    <w:rsid w:val="00C81627"/>
    <w:rsid w:val="00C8199F"/>
    <w:rsid w:val="00C84037"/>
    <w:rsid w:val="00C840F5"/>
    <w:rsid w:val="00C84BC1"/>
    <w:rsid w:val="00C8679B"/>
    <w:rsid w:val="00C87B7E"/>
    <w:rsid w:val="00C90843"/>
    <w:rsid w:val="00C90EAE"/>
    <w:rsid w:val="00C917E6"/>
    <w:rsid w:val="00C91CEB"/>
    <w:rsid w:val="00C9219F"/>
    <w:rsid w:val="00C926EE"/>
    <w:rsid w:val="00C934E9"/>
    <w:rsid w:val="00C943A9"/>
    <w:rsid w:val="00C94579"/>
    <w:rsid w:val="00C94944"/>
    <w:rsid w:val="00C955BE"/>
    <w:rsid w:val="00C97854"/>
    <w:rsid w:val="00CA03C6"/>
    <w:rsid w:val="00CA04AF"/>
    <w:rsid w:val="00CA0A88"/>
    <w:rsid w:val="00CA0DB4"/>
    <w:rsid w:val="00CA1515"/>
    <w:rsid w:val="00CA17A0"/>
    <w:rsid w:val="00CA1A5F"/>
    <w:rsid w:val="00CA2044"/>
    <w:rsid w:val="00CA2824"/>
    <w:rsid w:val="00CA33C8"/>
    <w:rsid w:val="00CA4AA0"/>
    <w:rsid w:val="00CA4ABD"/>
    <w:rsid w:val="00CA5DE7"/>
    <w:rsid w:val="00CA5F0A"/>
    <w:rsid w:val="00CA614C"/>
    <w:rsid w:val="00CA6EAD"/>
    <w:rsid w:val="00CA7514"/>
    <w:rsid w:val="00CB0EEA"/>
    <w:rsid w:val="00CB1650"/>
    <w:rsid w:val="00CB1A21"/>
    <w:rsid w:val="00CB24E7"/>
    <w:rsid w:val="00CB3830"/>
    <w:rsid w:val="00CB49D0"/>
    <w:rsid w:val="00CB5E0F"/>
    <w:rsid w:val="00CC001E"/>
    <w:rsid w:val="00CC1984"/>
    <w:rsid w:val="00CC2496"/>
    <w:rsid w:val="00CC32CD"/>
    <w:rsid w:val="00CC3C56"/>
    <w:rsid w:val="00CC647E"/>
    <w:rsid w:val="00CC66C2"/>
    <w:rsid w:val="00CC671D"/>
    <w:rsid w:val="00CC6A0E"/>
    <w:rsid w:val="00CC6CEC"/>
    <w:rsid w:val="00CC72DD"/>
    <w:rsid w:val="00CD1017"/>
    <w:rsid w:val="00CD482B"/>
    <w:rsid w:val="00CD4934"/>
    <w:rsid w:val="00CD561A"/>
    <w:rsid w:val="00CE0EDB"/>
    <w:rsid w:val="00CE2031"/>
    <w:rsid w:val="00CE2640"/>
    <w:rsid w:val="00CE5F3F"/>
    <w:rsid w:val="00CE7FCB"/>
    <w:rsid w:val="00CF0F73"/>
    <w:rsid w:val="00CF27AA"/>
    <w:rsid w:val="00CF4F82"/>
    <w:rsid w:val="00CF5103"/>
    <w:rsid w:val="00CF6758"/>
    <w:rsid w:val="00CF6C23"/>
    <w:rsid w:val="00CF735A"/>
    <w:rsid w:val="00CF7596"/>
    <w:rsid w:val="00D00260"/>
    <w:rsid w:val="00D00EE2"/>
    <w:rsid w:val="00D01D40"/>
    <w:rsid w:val="00D0464A"/>
    <w:rsid w:val="00D066FC"/>
    <w:rsid w:val="00D1147C"/>
    <w:rsid w:val="00D11516"/>
    <w:rsid w:val="00D139D4"/>
    <w:rsid w:val="00D159DE"/>
    <w:rsid w:val="00D15E91"/>
    <w:rsid w:val="00D161E5"/>
    <w:rsid w:val="00D16BFF"/>
    <w:rsid w:val="00D16CD9"/>
    <w:rsid w:val="00D177AA"/>
    <w:rsid w:val="00D17D63"/>
    <w:rsid w:val="00D204E8"/>
    <w:rsid w:val="00D2231B"/>
    <w:rsid w:val="00D223C0"/>
    <w:rsid w:val="00D229DA"/>
    <w:rsid w:val="00D23177"/>
    <w:rsid w:val="00D2327E"/>
    <w:rsid w:val="00D24F13"/>
    <w:rsid w:val="00D25956"/>
    <w:rsid w:val="00D25D25"/>
    <w:rsid w:val="00D26676"/>
    <w:rsid w:val="00D266CA"/>
    <w:rsid w:val="00D27450"/>
    <w:rsid w:val="00D27517"/>
    <w:rsid w:val="00D27CC3"/>
    <w:rsid w:val="00D3014A"/>
    <w:rsid w:val="00D30986"/>
    <w:rsid w:val="00D30FDE"/>
    <w:rsid w:val="00D31009"/>
    <w:rsid w:val="00D319DA"/>
    <w:rsid w:val="00D327AA"/>
    <w:rsid w:val="00D32AA2"/>
    <w:rsid w:val="00D32C66"/>
    <w:rsid w:val="00D34C46"/>
    <w:rsid w:val="00D35C2D"/>
    <w:rsid w:val="00D36513"/>
    <w:rsid w:val="00D365BC"/>
    <w:rsid w:val="00D36D27"/>
    <w:rsid w:val="00D37D7C"/>
    <w:rsid w:val="00D4155B"/>
    <w:rsid w:val="00D41A9C"/>
    <w:rsid w:val="00D421FB"/>
    <w:rsid w:val="00D42CDE"/>
    <w:rsid w:val="00D43C4D"/>
    <w:rsid w:val="00D44A30"/>
    <w:rsid w:val="00D44D4D"/>
    <w:rsid w:val="00D452F7"/>
    <w:rsid w:val="00D4607D"/>
    <w:rsid w:val="00D46B1F"/>
    <w:rsid w:val="00D46B58"/>
    <w:rsid w:val="00D47A15"/>
    <w:rsid w:val="00D47C12"/>
    <w:rsid w:val="00D50F4C"/>
    <w:rsid w:val="00D55B33"/>
    <w:rsid w:val="00D55EC9"/>
    <w:rsid w:val="00D57701"/>
    <w:rsid w:val="00D57B7C"/>
    <w:rsid w:val="00D57F1A"/>
    <w:rsid w:val="00D6022B"/>
    <w:rsid w:val="00D602C5"/>
    <w:rsid w:val="00D60A00"/>
    <w:rsid w:val="00D60F41"/>
    <w:rsid w:val="00D6189D"/>
    <w:rsid w:val="00D61DA6"/>
    <w:rsid w:val="00D62776"/>
    <w:rsid w:val="00D6400B"/>
    <w:rsid w:val="00D64472"/>
    <w:rsid w:val="00D6450E"/>
    <w:rsid w:val="00D66436"/>
    <w:rsid w:val="00D66576"/>
    <w:rsid w:val="00D66F63"/>
    <w:rsid w:val="00D736D7"/>
    <w:rsid w:val="00D73744"/>
    <w:rsid w:val="00D7399E"/>
    <w:rsid w:val="00D73C2E"/>
    <w:rsid w:val="00D741A2"/>
    <w:rsid w:val="00D7477D"/>
    <w:rsid w:val="00D75421"/>
    <w:rsid w:val="00D75727"/>
    <w:rsid w:val="00D7652C"/>
    <w:rsid w:val="00D768C7"/>
    <w:rsid w:val="00D77441"/>
    <w:rsid w:val="00D81735"/>
    <w:rsid w:val="00D84201"/>
    <w:rsid w:val="00D84480"/>
    <w:rsid w:val="00D85530"/>
    <w:rsid w:val="00D86AC3"/>
    <w:rsid w:val="00D86C9E"/>
    <w:rsid w:val="00D9119E"/>
    <w:rsid w:val="00D9231D"/>
    <w:rsid w:val="00D92BE3"/>
    <w:rsid w:val="00D92EE0"/>
    <w:rsid w:val="00D93852"/>
    <w:rsid w:val="00D93B3B"/>
    <w:rsid w:val="00D93F86"/>
    <w:rsid w:val="00D940CC"/>
    <w:rsid w:val="00D95B0D"/>
    <w:rsid w:val="00D965B1"/>
    <w:rsid w:val="00D97540"/>
    <w:rsid w:val="00D97E2A"/>
    <w:rsid w:val="00DA03F3"/>
    <w:rsid w:val="00DA1833"/>
    <w:rsid w:val="00DA18C7"/>
    <w:rsid w:val="00DA1FA0"/>
    <w:rsid w:val="00DA3297"/>
    <w:rsid w:val="00DA49A6"/>
    <w:rsid w:val="00DA7CB8"/>
    <w:rsid w:val="00DB0D05"/>
    <w:rsid w:val="00DB0DF5"/>
    <w:rsid w:val="00DB242B"/>
    <w:rsid w:val="00DB3048"/>
    <w:rsid w:val="00DB46C0"/>
    <w:rsid w:val="00DB4CE9"/>
    <w:rsid w:val="00DB523D"/>
    <w:rsid w:val="00DB542F"/>
    <w:rsid w:val="00DB5842"/>
    <w:rsid w:val="00DB6C6B"/>
    <w:rsid w:val="00DC0167"/>
    <w:rsid w:val="00DC0248"/>
    <w:rsid w:val="00DC2B81"/>
    <w:rsid w:val="00DC4C4D"/>
    <w:rsid w:val="00DC5067"/>
    <w:rsid w:val="00DC5915"/>
    <w:rsid w:val="00DD0E15"/>
    <w:rsid w:val="00DD0FAC"/>
    <w:rsid w:val="00DD36EF"/>
    <w:rsid w:val="00DD3DB5"/>
    <w:rsid w:val="00DD3F09"/>
    <w:rsid w:val="00DD4492"/>
    <w:rsid w:val="00DD484D"/>
    <w:rsid w:val="00DD4A9E"/>
    <w:rsid w:val="00DD53B3"/>
    <w:rsid w:val="00DD53EC"/>
    <w:rsid w:val="00DD5E71"/>
    <w:rsid w:val="00DD67B5"/>
    <w:rsid w:val="00DD73D6"/>
    <w:rsid w:val="00DE03BC"/>
    <w:rsid w:val="00DE3376"/>
    <w:rsid w:val="00DE53C5"/>
    <w:rsid w:val="00DE63B8"/>
    <w:rsid w:val="00DE6EB4"/>
    <w:rsid w:val="00DE748F"/>
    <w:rsid w:val="00DE7553"/>
    <w:rsid w:val="00DE76B2"/>
    <w:rsid w:val="00DE7B32"/>
    <w:rsid w:val="00DF3C2F"/>
    <w:rsid w:val="00DF42F5"/>
    <w:rsid w:val="00DF4E10"/>
    <w:rsid w:val="00DF4F29"/>
    <w:rsid w:val="00DF5692"/>
    <w:rsid w:val="00DF599D"/>
    <w:rsid w:val="00DF67F3"/>
    <w:rsid w:val="00DF6ADF"/>
    <w:rsid w:val="00DF6C5C"/>
    <w:rsid w:val="00DF7513"/>
    <w:rsid w:val="00DF7FB6"/>
    <w:rsid w:val="00E005B6"/>
    <w:rsid w:val="00E0194C"/>
    <w:rsid w:val="00E024E6"/>
    <w:rsid w:val="00E027C3"/>
    <w:rsid w:val="00E02980"/>
    <w:rsid w:val="00E0419A"/>
    <w:rsid w:val="00E041E5"/>
    <w:rsid w:val="00E04BBD"/>
    <w:rsid w:val="00E0506C"/>
    <w:rsid w:val="00E06310"/>
    <w:rsid w:val="00E06A56"/>
    <w:rsid w:val="00E104B9"/>
    <w:rsid w:val="00E1054E"/>
    <w:rsid w:val="00E11357"/>
    <w:rsid w:val="00E11A7E"/>
    <w:rsid w:val="00E11CF2"/>
    <w:rsid w:val="00E1265D"/>
    <w:rsid w:val="00E14643"/>
    <w:rsid w:val="00E149C9"/>
    <w:rsid w:val="00E16A89"/>
    <w:rsid w:val="00E16B90"/>
    <w:rsid w:val="00E16EEF"/>
    <w:rsid w:val="00E173F9"/>
    <w:rsid w:val="00E17D8E"/>
    <w:rsid w:val="00E17FDC"/>
    <w:rsid w:val="00E207C5"/>
    <w:rsid w:val="00E20AB1"/>
    <w:rsid w:val="00E20B1B"/>
    <w:rsid w:val="00E224D9"/>
    <w:rsid w:val="00E23526"/>
    <w:rsid w:val="00E249B4"/>
    <w:rsid w:val="00E2579C"/>
    <w:rsid w:val="00E25946"/>
    <w:rsid w:val="00E267E9"/>
    <w:rsid w:val="00E26915"/>
    <w:rsid w:val="00E26D69"/>
    <w:rsid w:val="00E27C0E"/>
    <w:rsid w:val="00E318A8"/>
    <w:rsid w:val="00E31AFA"/>
    <w:rsid w:val="00E31BF7"/>
    <w:rsid w:val="00E32AD9"/>
    <w:rsid w:val="00E33B61"/>
    <w:rsid w:val="00E34E53"/>
    <w:rsid w:val="00E3579D"/>
    <w:rsid w:val="00E36BE8"/>
    <w:rsid w:val="00E3772F"/>
    <w:rsid w:val="00E40E93"/>
    <w:rsid w:val="00E43C82"/>
    <w:rsid w:val="00E45A83"/>
    <w:rsid w:val="00E45E5A"/>
    <w:rsid w:val="00E47838"/>
    <w:rsid w:val="00E47DCD"/>
    <w:rsid w:val="00E504F3"/>
    <w:rsid w:val="00E518A4"/>
    <w:rsid w:val="00E52021"/>
    <w:rsid w:val="00E52026"/>
    <w:rsid w:val="00E527C8"/>
    <w:rsid w:val="00E5359E"/>
    <w:rsid w:val="00E536A4"/>
    <w:rsid w:val="00E544AB"/>
    <w:rsid w:val="00E54AC5"/>
    <w:rsid w:val="00E5522E"/>
    <w:rsid w:val="00E578E2"/>
    <w:rsid w:val="00E57960"/>
    <w:rsid w:val="00E57B10"/>
    <w:rsid w:val="00E60121"/>
    <w:rsid w:val="00E60918"/>
    <w:rsid w:val="00E60AF0"/>
    <w:rsid w:val="00E60F4B"/>
    <w:rsid w:val="00E61862"/>
    <w:rsid w:val="00E62912"/>
    <w:rsid w:val="00E629D7"/>
    <w:rsid w:val="00E64428"/>
    <w:rsid w:val="00E64D46"/>
    <w:rsid w:val="00E703BF"/>
    <w:rsid w:val="00E70BED"/>
    <w:rsid w:val="00E71880"/>
    <w:rsid w:val="00E71C30"/>
    <w:rsid w:val="00E73021"/>
    <w:rsid w:val="00E754D5"/>
    <w:rsid w:val="00E75A91"/>
    <w:rsid w:val="00E76CD5"/>
    <w:rsid w:val="00E80613"/>
    <w:rsid w:val="00E80E3A"/>
    <w:rsid w:val="00E81EFE"/>
    <w:rsid w:val="00E85170"/>
    <w:rsid w:val="00E864C9"/>
    <w:rsid w:val="00E865A8"/>
    <w:rsid w:val="00E878F6"/>
    <w:rsid w:val="00E87FC3"/>
    <w:rsid w:val="00E90083"/>
    <w:rsid w:val="00E90810"/>
    <w:rsid w:val="00E91BEA"/>
    <w:rsid w:val="00E92ABC"/>
    <w:rsid w:val="00E93491"/>
    <w:rsid w:val="00E938F9"/>
    <w:rsid w:val="00E943B6"/>
    <w:rsid w:val="00E9444F"/>
    <w:rsid w:val="00E94954"/>
    <w:rsid w:val="00E94A25"/>
    <w:rsid w:val="00E96318"/>
    <w:rsid w:val="00E97D53"/>
    <w:rsid w:val="00E97FE4"/>
    <w:rsid w:val="00EA05F7"/>
    <w:rsid w:val="00EA1C74"/>
    <w:rsid w:val="00EA223B"/>
    <w:rsid w:val="00EA259B"/>
    <w:rsid w:val="00EA27B1"/>
    <w:rsid w:val="00EA2C40"/>
    <w:rsid w:val="00EA2DED"/>
    <w:rsid w:val="00EA38A3"/>
    <w:rsid w:val="00EA39D7"/>
    <w:rsid w:val="00EA52C5"/>
    <w:rsid w:val="00EA5AA6"/>
    <w:rsid w:val="00EA65DB"/>
    <w:rsid w:val="00EA6AE5"/>
    <w:rsid w:val="00EA6C92"/>
    <w:rsid w:val="00EA6D04"/>
    <w:rsid w:val="00EB0827"/>
    <w:rsid w:val="00EB1724"/>
    <w:rsid w:val="00EB2638"/>
    <w:rsid w:val="00EB31F8"/>
    <w:rsid w:val="00EB528D"/>
    <w:rsid w:val="00EB53A8"/>
    <w:rsid w:val="00EB6ABA"/>
    <w:rsid w:val="00EB77B7"/>
    <w:rsid w:val="00EC0A71"/>
    <w:rsid w:val="00EC0C39"/>
    <w:rsid w:val="00EC1312"/>
    <w:rsid w:val="00EC1542"/>
    <w:rsid w:val="00EC1693"/>
    <w:rsid w:val="00EC1CF7"/>
    <w:rsid w:val="00EC206C"/>
    <w:rsid w:val="00EC3014"/>
    <w:rsid w:val="00EC3698"/>
    <w:rsid w:val="00EC45FE"/>
    <w:rsid w:val="00EC54C8"/>
    <w:rsid w:val="00EC6736"/>
    <w:rsid w:val="00EC6A22"/>
    <w:rsid w:val="00EC720F"/>
    <w:rsid w:val="00EC7A11"/>
    <w:rsid w:val="00EC7F1A"/>
    <w:rsid w:val="00ED02AA"/>
    <w:rsid w:val="00ED2B17"/>
    <w:rsid w:val="00ED2E98"/>
    <w:rsid w:val="00ED333E"/>
    <w:rsid w:val="00ED3A83"/>
    <w:rsid w:val="00ED532E"/>
    <w:rsid w:val="00ED65C9"/>
    <w:rsid w:val="00ED7147"/>
    <w:rsid w:val="00ED7B7D"/>
    <w:rsid w:val="00EE104E"/>
    <w:rsid w:val="00EE1A49"/>
    <w:rsid w:val="00EE27C5"/>
    <w:rsid w:val="00EE5D8D"/>
    <w:rsid w:val="00EE60AE"/>
    <w:rsid w:val="00EE61A8"/>
    <w:rsid w:val="00EE68BC"/>
    <w:rsid w:val="00EE6E04"/>
    <w:rsid w:val="00EE7105"/>
    <w:rsid w:val="00EF06CE"/>
    <w:rsid w:val="00EF165F"/>
    <w:rsid w:val="00EF16EE"/>
    <w:rsid w:val="00EF25A0"/>
    <w:rsid w:val="00EF2ADC"/>
    <w:rsid w:val="00EF3378"/>
    <w:rsid w:val="00EF37B5"/>
    <w:rsid w:val="00EF457C"/>
    <w:rsid w:val="00EF4635"/>
    <w:rsid w:val="00EF4A1F"/>
    <w:rsid w:val="00EF5B02"/>
    <w:rsid w:val="00F00207"/>
    <w:rsid w:val="00F01021"/>
    <w:rsid w:val="00F0167D"/>
    <w:rsid w:val="00F027B1"/>
    <w:rsid w:val="00F03284"/>
    <w:rsid w:val="00F04220"/>
    <w:rsid w:val="00F05494"/>
    <w:rsid w:val="00F05B60"/>
    <w:rsid w:val="00F0628C"/>
    <w:rsid w:val="00F067DC"/>
    <w:rsid w:val="00F078BC"/>
    <w:rsid w:val="00F07FBF"/>
    <w:rsid w:val="00F11003"/>
    <w:rsid w:val="00F13690"/>
    <w:rsid w:val="00F16A0E"/>
    <w:rsid w:val="00F173B6"/>
    <w:rsid w:val="00F20473"/>
    <w:rsid w:val="00F23E9A"/>
    <w:rsid w:val="00F24010"/>
    <w:rsid w:val="00F24390"/>
    <w:rsid w:val="00F24DA9"/>
    <w:rsid w:val="00F257A6"/>
    <w:rsid w:val="00F25943"/>
    <w:rsid w:val="00F26439"/>
    <w:rsid w:val="00F26778"/>
    <w:rsid w:val="00F267D1"/>
    <w:rsid w:val="00F26B79"/>
    <w:rsid w:val="00F26FB5"/>
    <w:rsid w:val="00F27357"/>
    <w:rsid w:val="00F2767B"/>
    <w:rsid w:val="00F3002C"/>
    <w:rsid w:val="00F30785"/>
    <w:rsid w:val="00F31A35"/>
    <w:rsid w:val="00F32466"/>
    <w:rsid w:val="00F33863"/>
    <w:rsid w:val="00F34245"/>
    <w:rsid w:val="00F34E95"/>
    <w:rsid w:val="00F354CF"/>
    <w:rsid w:val="00F36479"/>
    <w:rsid w:val="00F36AC4"/>
    <w:rsid w:val="00F403B0"/>
    <w:rsid w:val="00F404DA"/>
    <w:rsid w:val="00F405AB"/>
    <w:rsid w:val="00F40B98"/>
    <w:rsid w:val="00F424C6"/>
    <w:rsid w:val="00F43F07"/>
    <w:rsid w:val="00F44710"/>
    <w:rsid w:val="00F44D53"/>
    <w:rsid w:val="00F4646F"/>
    <w:rsid w:val="00F4771D"/>
    <w:rsid w:val="00F47F76"/>
    <w:rsid w:val="00F50A22"/>
    <w:rsid w:val="00F51D74"/>
    <w:rsid w:val="00F52648"/>
    <w:rsid w:val="00F52C02"/>
    <w:rsid w:val="00F5454B"/>
    <w:rsid w:val="00F54620"/>
    <w:rsid w:val="00F54858"/>
    <w:rsid w:val="00F54E8E"/>
    <w:rsid w:val="00F553EF"/>
    <w:rsid w:val="00F5590D"/>
    <w:rsid w:val="00F55AB1"/>
    <w:rsid w:val="00F572B9"/>
    <w:rsid w:val="00F57F73"/>
    <w:rsid w:val="00F60078"/>
    <w:rsid w:val="00F604E6"/>
    <w:rsid w:val="00F62603"/>
    <w:rsid w:val="00F6788A"/>
    <w:rsid w:val="00F70FB0"/>
    <w:rsid w:val="00F71205"/>
    <w:rsid w:val="00F72E30"/>
    <w:rsid w:val="00F73028"/>
    <w:rsid w:val="00F73894"/>
    <w:rsid w:val="00F748F4"/>
    <w:rsid w:val="00F76CD6"/>
    <w:rsid w:val="00F771D0"/>
    <w:rsid w:val="00F77F88"/>
    <w:rsid w:val="00F8029C"/>
    <w:rsid w:val="00F80F73"/>
    <w:rsid w:val="00F829E1"/>
    <w:rsid w:val="00F83035"/>
    <w:rsid w:val="00F832D8"/>
    <w:rsid w:val="00F84089"/>
    <w:rsid w:val="00F85FB1"/>
    <w:rsid w:val="00F86303"/>
    <w:rsid w:val="00F87F2D"/>
    <w:rsid w:val="00F90CA6"/>
    <w:rsid w:val="00F91868"/>
    <w:rsid w:val="00F96451"/>
    <w:rsid w:val="00F976A6"/>
    <w:rsid w:val="00F979B6"/>
    <w:rsid w:val="00FA1926"/>
    <w:rsid w:val="00FA3F32"/>
    <w:rsid w:val="00FA4142"/>
    <w:rsid w:val="00FA5B06"/>
    <w:rsid w:val="00FA5EB4"/>
    <w:rsid w:val="00FA6409"/>
    <w:rsid w:val="00FA6E13"/>
    <w:rsid w:val="00FA748F"/>
    <w:rsid w:val="00FA7699"/>
    <w:rsid w:val="00FA78EC"/>
    <w:rsid w:val="00FA7B18"/>
    <w:rsid w:val="00FB1053"/>
    <w:rsid w:val="00FB161B"/>
    <w:rsid w:val="00FB2507"/>
    <w:rsid w:val="00FB2660"/>
    <w:rsid w:val="00FB343A"/>
    <w:rsid w:val="00FB34BF"/>
    <w:rsid w:val="00FB37C9"/>
    <w:rsid w:val="00FB394A"/>
    <w:rsid w:val="00FB4134"/>
    <w:rsid w:val="00FB500E"/>
    <w:rsid w:val="00FB648B"/>
    <w:rsid w:val="00FB6B68"/>
    <w:rsid w:val="00FB6D17"/>
    <w:rsid w:val="00FB756F"/>
    <w:rsid w:val="00FC01D0"/>
    <w:rsid w:val="00FC110B"/>
    <w:rsid w:val="00FC1377"/>
    <w:rsid w:val="00FC1F60"/>
    <w:rsid w:val="00FC2A05"/>
    <w:rsid w:val="00FC363B"/>
    <w:rsid w:val="00FC442A"/>
    <w:rsid w:val="00FC4757"/>
    <w:rsid w:val="00FC4F31"/>
    <w:rsid w:val="00FC57B2"/>
    <w:rsid w:val="00FD16FF"/>
    <w:rsid w:val="00FD1BF8"/>
    <w:rsid w:val="00FD20F2"/>
    <w:rsid w:val="00FD29ED"/>
    <w:rsid w:val="00FD2D50"/>
    <w:rsid w:val="00FD3457"/>
    <w:rsid w:val="00FD35EA"/>
    <w:rsid w:val="00FD36B4"/>
    <w:rsid w:val="00FD3983"/>
    <w:rsid w:val="00FD4C72"/>
    <w:rsid w:val="00FD519D"/>
    <w:rsid w:val="00FD5373"/>
    <w:rsid w:val="00FD55A7"/>
    <w:rsid w:val="00FD7196"/>
    <w:rsid w:val="00FD76D4"/>
    <w:rsid w:val="00FD7841"/>
    <w:rsid w:val="00FD7A33"/>
    <w:rsid w:val="00FD7E8C"/>
    <w:rsid w:val="00FE0FA2"/>
    <w:rsid w:val="00FE1825"/>
    <w:rsid w:val="00FE1CC2"/>
    <w:rsid w:val="00FE1E76"/>
    <w:rsid w:val="00FE23F6"/>
    <w:rsid w:val="00FE2692"/>
    <w:rsid w:val="00FE5EFE"/>
    <w:rsid w:val="00FE6062"/>
    <w:rsid w:val="00FE7447"/>
    <w:rsid w:val="00FE7998"/>
    <w:rsid w:val="00FE7ACC"/>
    <w:rsid w:val="00FE7CA7"/>
    <w:rsid w:val="00FF2137"/>
    <w:rsid w:val="00FF2187"/>
    <w:rsid w:val="00FF6796"/>
    <w:rsid w:val="00FF688A"/>
    <w:rsid w:val="00FF6935"/>
    <w:rsid w:val="00FF7017"/>
    <w:rsid w:val="00FF7829"/>
    <w:rsid w:val="00FF7AEF"/>
    <w:rsid w:val="00FF7F59"/>
    <w:rsid w:val="010546C6"/>
    <w:rsid w:val="011961D8"/>
    <w:rsid w:val="011E19A7"/>
    <w:rsid w:val="012E07FD"/>
    <w:rsid w:val="015873EF"/>
    <w:rsid w:val="01A308F1"/>
    <w:rsid w:val="01AC2B0A"/>
    <w:rsid w:val="01CF2652"/>
    <w:rsid w:val="021B158F"/>
    <w:rsid w:val="02445EB9"/>
    <w:rsid w:val="02656D9D"/>
    <w:rsid w:val="027F1933"/>
    <w:rsid w:val="028303C6"/>
    <w:rsid w:val="02BA71D8"/>
    <w:rsid w:val="02D52206"/>
    <w:rsid w:val="02EE3D79"/>
    <w:rsid w:val="02FE6BD2"/>
    <w:rsid w:val="030208D6"/>
    <w:rsid w:val="03141930"/>
    <w:rsid w:val="034C593D"/>
    <w:rsid w:val="03571BBF"/>
    <w:rsid w:val="035E4E4C"/>
    <w:rsid w:val="03835C61"/>
    <w:rsid w:val="038E16FA"/>
    <w:rsid w:val="039B508D"/>
    <w:rsid w:val="03A14654"/>
    <w:rsid w:val="03AC0968"/>
    <w:rsid w:val="04207FE5"/>
    <w:rsid w:val="04812828"/>
    <w:rsid w:val="048A4DD7"/>
    <w:rsid w:val="04A8653B"/>
    <w:rsid w:val="04CA4BF5"/>
    <w:rsid w:val="04CF57C0"/>
    <w:rsid w:val="04D46B45"/>
    <w:rsid w:val="04EA3D0F"/>
    <w:rsid w:val="04EE61B2"/>
    <w:rsid w:val="04F216DF"/>
    <w:rsid w:val="05165C88"/>
    <w:rsid w:val="053179B0"/>
    <w:rsid w:val="05373257"/>
    <w:rsid w:val="056E5467"/>
    <w:rsid w:val="05744580"/>
    <w:rsid w:val="05754DE9"/>
    <w:rsid w:val="057D46BA"/>
    <w:rsid w:val="058B7446"/>
    <w:rsid w:val="05BC6129"/>
    <w:rsid w:val="05EC3AE4"/>
    <w:rsid w:val="06297E49"/>
    <w:rsid w:val="06503A79"/>
    <w:rsid w:val="066263D7"/>
    <w:rsid w:val="06A46CAD"/>
    <w:rsid w:val="06AF18D7"/>
    <w:rsid w:val="06B13549"/>
    <w:rsid w:val="06C424D2"/>
    <w:rsid w:val="06F64330"/>
    <w:rsid w:val="07023872"/>
    <w:rsid w:val="075C4278"/>
    <w:rsid w:val="07770C79"/>
    <w:rsid w:val="07CB1596"/>
    <w:rsid w:val="07E05036"/>
    <w:rsid w:val="07E664DA"/>
    <w:rsid w:val="07FE276B"/>
    <w:rsid w:val="08164F58"/>
    <w:rsid w:val="081C1CA8"/>
    <w:rsid w:val="087B2A87"/>
    <w:rsid w:val="089079D2"/>
    <w:rsid w:val="089C73C3"/>
    <w:rsid w:val="08B068B8"/>
    <w:rsid w:val="08B6624E"/>
    <w:rsid w:val="08F26C57"/>
    <w:rsid w:val="097B6782"/>
    <w:rsid w:val="099C5706"/>
    <w:rsid w:val="09A33029"/>
    <w:rsid w:val="09E60E11"/>
    <w:rsid w:val="0A042701"/>
    <w:rsid w:val="0A0A0042"/>
    <w:rsid w:val="0A1B6654"/>
    <w:rsid w:val="0A98154F"/>
    <w:rsid w:val="0AA22037"/>
    <w:rsid w:val="0AE57CDC"/>
    <w:rsid w:val="0AF02E0A"/>
    <w:rsid w:val="0AF210CC"/>
    <w:rsid w:val="0BC3181A"/>
    <w:rsid w:val="0BC9359A"/>
    <w:rsid w:val="0BCE436A"/>
    <w:rsid w:val="0BDC3319"/>
    <w:rsid w:val="0C227F18"/>
    <w:rsid w:val="0C2E764B"/>
    <w:rsid w:val="0C3360B8"/>
    <w:rsid w:val="0C44558E"/>
    <w:rsid w:val="0C7758FF"/>
    <w:rsid w:val="0C9F7D29"/>
    <w:rsid w:val="0CA26D82"/>
    <w:rsid w:val="0CF03D83"/>
    <w:rsid w:val="0D0A42A7"/>
    <w:rsid w:val="0D2C4941"/>
    <w:rsid w:val="0D4A3DBE"/>
    <w:rsid w:val="0D5215C8"/>
    <w:rsid w:val="0D6E515F"/>
    <w:rsid w:val="0D7E544C"/>
    <w:rsid w:val="0D833792"/>
    <w:rsid w:val="0DB144DB"/>
    <w:rsid w:val="0DC472B2"/>
    <w:rsid w:val="0DF80225"/>
    <w:rsid w:val="0E0B11A1"/>
    <w:rsid w:val="0E171B12"/>
    <w:rsid w:val="0E265250"/>
    <w:rsid w:val="0E293ECC"/>
    <w:rsid w:val="0E463A80"/>
    <w:rsid w:val="0E78430B"/>
    <w:rsid w:val="0EA9282A"/>
    <w:rsid w:val="0ED2119F"/>
    <w:rsid w:val="0ED26329"/>
    <w:rsid w:val="0EDE4ADF"/>
    <w:rsid w:val="0EE32DA8"/>
    <w:rsid w:val="0EEA18E4"/>
    <w:rsid w:val="0F0535E9"/>
    <w:rsid w:val="0F167E2B"/>
    <w:rsid w:val="0F2771DE"/>
    <w:rsid w:val="0F3305E6"/>
    <w:rsid w:val="0F50763D"/>
    <w:rsid w:val="0F5102C8"/>
    <w:rsid w:val="0F5877FD"/>
    <w:rsid w:val="0FA54667"/>
    <w:rsid w:val="0FBB4B91"/>
    <w:rsid w:val="0FC8000B"/>
    <w:rsid w:val="0FCC55D4"/>
    <w:rsid w:val="0FD50BFD"/>
    <w:rsid w:val="0FDA056A"/>
    <w:rsid w:val="0FF504F7"/>
    <w:rsid w:val="1001119E"/>
    <w:rsid w:val="10156425"/>
    <w:rsid w:val="10560438"/>
    <w:rsid w:val="106A5B72"/>
    <w:rsid w:val="107F2C97"/>
    <w:rsid w:val="10817BB8"/>
    <w:rsid w:val="108E3091"/>
    <w:rsid w:val="10B16A3A"/>
    <w:rsid w:val="10D65B1A"/>
    <w:rsid w:val="10E0679E"/>
    <w:rsid w:val="112A4D9E"/>
    <w:rsid w:val="115C178C"/>
    <w:rsid w:val="115F23EB"/>
    <w:rsid w:val="118B0B95"/>
    <w:rsid w:val="118C6501"/>
    <w:rsid w:val="11973A45"/>
    <w:rsid w:val="11CA4214"/>
    <w:rsid w:val="11E11E71"/>
    <w:rsid w:val="120566CB"/>
    <w:rsid w:val="1225253B"/>
    <w:rsid w:val="12334164"/>
    <w:rsid w:val="12336E69"/>
    <w:rsid w:val="124D54D3"/>
    <w:rsid w:val="12503D0C"/>
    <w:rsid w:val="12544D82"/>
    <w:rsid w:val="125A7F08"/>
    <w:rsid w:val="125B507B"/>
    <w:rsid w:val="12767F6A"/>
    <w:rsid w:val="1282647E"/>
    <w:rsid w:val="12834072"/>
    <w:rsid w:val="12B509EA"/>
    <w:rsid w:val="12DA5A6D"/>
    <w:rsid w:val="12E50E24"/>
    <w:rsid w:val="12ED4B28"/>
    <w:rsid w:val="12FB3B01"/>
    <w:rsid w:val="133D4481"/>
    <w:rsid w:val="13584181"/>
    <w:rsid w:val="137831EA"/>
    <w:rsid w:val="137B1AA8"/>
    <w:rsid w:val="138C6921"/>
    <w:rsid w:val="139B6342"/>
    <w:rsid w:val="13EC4CFF"/>
    <w:rsid w:val="140B2749"/>
    <w:rsid w:val="14354E7C"/>
    <w:rsid w:val="144E199C"/>
    <w:rsid w:val="14626CEA"/>
    <w:rsid w:val="14643F7C"/>
    <w:rsid w:val="14711EA8"/>
    <w:rsid w:val="14914457"/>
    <w:rsid w:val="14CF4388"/>
    <w:rsid w:val="15011F52"/>
    <w:rsid w:val="15085C8F"/>
    <w:rsid w:val="152229A8"/>
    <w:rsid w:val="15344281"/>
    <w:rsid w:val="153E31D6"/>
    <w:rsid w:val="15520656"/>
    <w:rsid w:val="15547FEE"/>
    <w:rsid w:val="158B1C5E"/>
    <w:rsid w:val="158F04EA"/>
    <w:rsid w:val="15C028B9"/>
    <w:rsid w:val="15D07C51"/>
    <w:rsid w:val="15D533E4"/>
    <w:rsid w:val="15DC4D69"/>
    <w:rsid w:val="160C26A8"/>
    <w:rsid w:val="161B088B"/>
    <w:rsid w:val="16202072"/>
    <w:rsid w:val="16251790"/>
    <w:rsid w:val="162C0254"/>
    <w:rsid w:val="163B340E"/>
    <w:rsid w:val="1660197E"/>
    <w:rsid w:val="166234F9"/>
    <w:rsid w:val="16647C2C"/>
    <w:rsid w:val="16671947"/>
    <w:rsid w:val="16787241"/>
    <w:rsid w:val="16B64EC0"/>
    <w:rsid w:val="16D22CC6"/>
    <w:rsid w:val="16E07B41"/>
    <w:rsid w:val="16F63193"/>
    <w:rsid w:val="173C565D"/>
    <w:rsid w:val="17563DBF"/>
    <w:rsid w:val="175A69DB"/>
    <w:rsid w:val="17633D50"/>
    <w:rsid w:val="17B24EA7"/>
    <w:rsid w:val="17B80144"/>
    <w:rsid w:val="17E038F8"/>
    <w:rsid w:val="17F3294F"/>
    <w:rsid w:val="17F51046"/>
    <w:rsid w:val="17FE3E52"/>
    <w:rsid w:val="18562EBF"/>
    <w:rsid w:val="18612B88"/>
    <w:rsid w:val="187237EB"/>
    <w:rsid w:val="188813E3"/>
    <w:rsid w:val="18A853E5"/>
    <w:rsid w:val="18B65CB6"/>
    <w:rsid w:val="18C11B56"/>
    <w:rsid w:val="18D348BA"/>
    <w:rsid w:val="18FC5AAB"/>
    <w:rsid w:val="190B221F"/>
    <w:rsid w:val="190C4CE9"/>
    <w:rsid w:val="19AA7EC0"/>
    <w:rsid w:val="19AB24C6"/>
    <w:rsid w:val="19BC50AC"/>
    <w:rsid w:val="19D27D1F"/>
    <w:rsid w:val="19DB5057"/>
    <w:rsid w:val="19E01B0B"/>
    <w:rsid w:val="1A02157C"/>
    <w:rsid w:val="1A447A29"/>
    <w:rsid w:val="1A7E5E66"/>
    <w:rsid w:val="1AA62D4A"/>
    <w:rsid w:val="1AA8014A"/>
    <w:rsid w:val="1AB334EB"/>
    <w:rsid w:val="1ABC246D"/>
    <w:rsid w:val="1AC05E3D"/>
    <w:rsid w:val="1AC543B5"/>
    <w:rsid w:val="1AD3146D"/>
    <w:rsid w:val="1B1777F7"/>
    <w:rsid w:val="1B2772AE"/>
    <w:rsid w:val="1B3E738B"/>
    <w:rsid w:val="1BA978FF"/>
    <w:rsid w:val="1BB1669E"/>
    <w:rsid w:val="1BCE7FA3"/>
    <w:rsid w:val="1C1D7875"/>
    <w:rsid w:val="1C20398F"/>
    <w:rsid w:val="1C4A5BF5"/>
    <w:rsid w:val="1C517F02"/>
    <w:rsid w:val="1C52186C"/>
    <w:rsid w:val="1C535922"/>
    <w:rsid w:val="1C8A45A0"/>
    <w:rsid w:val="1CA3692F"/>
    <w:rsid w:val="1CA51207"/>
    <w:rsid w:val="1CAF5D11"/>
    <w:rsid w:val="1CBE63B1"/>
    <w:rsid w:val="1CF650CF"/>
    <w:rsid w:val="1D1C5A55"/>
    <w:rsid w:val="1D882075"/>
    <w:rsid w:val="1DC74E11"/>
    <w:rsid w:val="1DD175AC"/>
    <w:rsid w:val="1DDB5E07"/>
    <w:rsid w:val="1E2E3A9E"/>
    <w:rsid w:val="1E584965"/>
    <w:rsid w:val="1E751381"/>
    <w:rsid w:val="1E7525EF"/>
    <w:rsid w:val="1EA91329"/>
    <w:rsid w:val="1EB046D6"/>
    <w:rsid w:val="1EB75B4D"/>
    <w:rsid w:val="1ED16F8D"/>
    <w:rsid w:val="1EED0F42"/>
    <w:rsid w:val="1F256E96"/>
    <w:rsid w:val="1F2A4C84"/>
    <w:rsid w:val="1F33528C"/>
    <w:rsid w:val="1F6A06FA"/>
    <w:rsid w:val="1F9D3BFE"/>
    <w:rsid w:val="1FCD1234"/>
    <w:rsid w:val="1FF71DE2"/>
    <w:rsid w:val="1FFB3262"/>
    <w:rsid w:val="20161A89"/>
    <w:rsid w:val="202F6454"/>
    <w:rsid w:val="204F6788"/>
    <w:rsid w:val="205B5859"/>
    <w:rsid w:val="206B715A"/>
    <w:rsid w:val="208251F4"/>
    <w:rsid w:val="20933457"/>
    <w:rsid w:val="20A35A7A"/>
    <w:rsid w:val="20B51F38"/>
    <w:rsid w:val="20B83EB1"/>
    <w:rsid w:val="20C365F5"/>
    <w:rsid w:val="21147744"/>
    <w:rsid w:val="211848E6"/>
    <w:rsid w:val="211C6B07"/>
    <w:rsid w:val="215A1CAC"/>
    <w:rsid w:val="216827A8"/>
    <w:rsid w:val="217C559F"/>
    <w:rsid w:val="21C36253"/>
    <w:rsid w:val="220E1518"/>
    <w:rsid w:val="223E2A1F"/>
    <w:rsid w:val="226D05DB"/>
    <w:rsid w:val="228607C4"/>
    <w:rsid w:val="23020669"/>
    <w:rsid w:val="233E16D1"/>
    <w:rsid w:val="236211A5"/>
    <w:rsid w:val="2366253C"/>
    <w:rsid w:val="236C38D2"/>
    <w:rsid w:val="23A86F7E"/>
    <w:rsid w:val="23E4794D"/>
    <w:rsid w:val="23EA7DC9"/>
    <w:rsid w:val="23EB65E7"/>
    <w:rsid w:val="23F8526C"/>
    <w:rsid w:val="241975C3"/>
    <w:rsid w:val="24250F79"/>
    <w:rsid w:val="244F2090"/>
    <w:rsid w:val="247753A2"/>
    <w:rsid w:val="24810B05"/>
    <w:rsid w:val="24A80D9A"/>
    <w:rsid w:val="25152E02"/>
    <w:rsid w:val="251762A7"/>
    <w:rsid w:val="251F7E99"/>
    <w:rsid w:val="25203077"/>
    <w:rsid w:val="252048A0"/>
    <w:rsid w:val="2528586E"/>
    <w:rsid w:val="2529593A"/>
    <w:rsid w:val="25672780"/>
    <w:rsid w:val="259957ED"/>
    <w:rsid w:val="25A85315"/>
    <w:rsid w:val="25D51248"/>
    <w:rsid w:val="25E25349"/>
    <w:rsid w:val="25E775F6"/>
    <w:rsid w:val="266F000A"/>
    <w:rsid w:val="26A30A4A"/>
    <w:rsid w:val="26B97C60"/>
    <w:rsid w:val="26D319AF"/>
    <w:rsid w:val="27283C2A"/>
    <w:rsid w:val="27697199"/>
    <w:rsid w:val="27791992"/>
    <w:rsid w:val="27AF633C"/>
    <w:rsid w:val="27BF54EC"/>
    <w:rsid w:val="27D77FC5"/>
    <w:rsid w:val="27EA239D"/>
    <w:rsid w:val="27EB3157"/>
    <w:rsid w:val="2816017C"/>
    <w:rsid w:val="281C71E1"/>
    <w:rsid w:val="282822F2"/>
    <w:rsid w:val="28355224"/>
    <w:rsid w:val="28380FA4"/>
    <w:rsid w:val="28552D01"/>
    <w:rsid w:val="285E6AED"/>
    <w:rsid w:val="28973020"/>
    <w:rsid w:val="28B1068B"/>
    <w:rsid w:val="28C72E2B"/>
    <w:rsid w:val="28DF39E4"/>
    <w:rsid w:val="28FB5615"/>
    <w:rsid w:val="292673D5"/>
    <w:rsid w:val="2941315D"/>
    <w:rsid w:val="294B5AF5"/>
    <w:rsid w:val="29581907"/>
    <w:rsid w:val="29FF2897"/>
    <w:rsid w:val="2A4A0F12"/>
    <w:rsid w:val="2A907227"/>
    <w:rsid w:val="2A924BC7"/>
    <w:rsid w:val="2AA57B9E"/>
    <w:rsid w:val="2AB72CB1"/>
    <w:rsid w:val="2AC55C88"/>
    <w:rsid w:val="2AF41968"/>
    <w:rsid w:val="2AF7264C"/>
    <w:rsid w:val="2B0C01BE"/>
    <w:rsid w:val="2B245AFC"/>
    <w:rsid w:val="2B2D276B"/>
    <w:rsid w:val="2B2D5539"/>
    <w:rsid w:val="2B3C1569"/>
    <w:rsid w:val="2B491DB4"/>
    <w:rsid w:val="2B4F6B4B"/>
    <w:rsid w:val="2B723C4B"/>
    <w:rsid w:val="2BA00550"/>
    <w:rsid w:val="2BDD316D"/>
    <w:rsid w:val="2BF90343"/>
    <w:rsid w:val="2C113986"/>
    <w:rsid w:val="2C3D3DDF"/>
    <w:rsid w:val="2C4A73F8"/>
    <w:rsid w:val="2C6048B4"/>
    <w:rsid w:val="2C7B569A"/>
    <w:rsid w:val="2CBB451A"/>
    <w:rsid w:val="2CBF01AB"/>
    <w:rsid w:val="2CE969B9"/>
    <w:rsid w:val="2D0632C0"/>
    <w:rsid w:val="2D16343F"/>
    <w:rsid w:val="2D977F77"/>
    <w:rsid w:val="2DA93564"/>
    <w:rsid w:val="2DB34156"/>
    <w:rsid w:val="2DC17D32"/>
    <w:rsid w:val="2DCD7242"/>
    <w:rsid w:val="2DEF1F32"/>
    <w:rsid w:val="2E0E0945"/>
    <w:rsid w:val="2E225AE2"/>
    <w:rsid w:val="2E474D57"/>
    <w:rsid w:val="2E656D32"/>
    <w:rsid w:val="2E684CA2"/>
    <w:rsid w:val="2E813B76"/>
    <w:rsid w:val="2E966293"/>
    <w:rsid w:val="2E9B1B94"/>
    <w:rsid w:val="2EB45534"/>
    <w:rsid w:val="2ED73362"/>
    <w:rsid w:val="2EDB3F05"/>
    <w:rsid w:val="2F0B2172"/>
    <w:rsid w:val="2F1A3C40"/>
    <w:rsid w:val="2F5C7A23"/>
    <w:rsid w:val="2FAA05CA"/>
    <w:rsid w:val="2FC755F8"/>
    <w:rsid w:val="2FCB42FA"/>
    <w:rsid w:val="2FEB55DF"/>
    <w:rsid w:val="30152CF1"/>
    <w:rsid w:val="301E40E2"/>
    <w:rsid w:val="30557D0E"/>
    <w:rsid w:val="309637ED"/>
    <w:rsid w:val="30D77072"/>
    <w:rsid w:val="30FC0294"/>
    <w:rsid w:val="30FD1523"/>
    <w:rsid w:val="31364977"/>
    <w:rsid w:val="31720181"/>
    <w:rsid w:val="31880837"/>
    <w:rsid w:val="319908AB"/>
    <w:rsid w:val="31AE369F"/>
    <w:rsid w:val="31CB41C5"/>
    <w:rsid w:val="31DE4FDD"/>
    <w:rsid w:val="322F5408"/>
    <w:rsid w:val="3233496D"/>
    <w:rsid w:val="3261132D"/>
    <w:rsid w:val="326E340F"/>
    <w:rsid w:val="32831F4F"/>
    <w:rsid w:val="329731C9"/>
    <w:rsid w:val="32A06B90"/>
    <w:rsid w:val="32BE2C25"/>
    <w:rsid w:val="32C93704"/>
    <w:rsid w:val="32D91149"/>
    <w:rsid w:val="33911E65"/>
    <w:rsid w:val="33B93C36"/>
    <w:rsid w:val="3420546B"/>
    <w:rsid w:val="34341941"/>
    <w:rsid w:val="343B62DF"/>
    <w:rsid w:val="34A27B30"/>
    <w:rsid w:val="34CE7A96"/>
    <w:rsid w:val="34D31B3B"/>
    <w:rsid w:val="34D65832"/>
    <w:rsid w:val="35111C0C"/>
    <w:rsid w:val="35336A37"/>
    <w:rsid w:val="354733A3"/>
    <w:rsid w:val="3562039A"/>
    <w:rsid w:val="35707BE8"/>
    <w:rsid w:val="35792BEC"/>
    <w:rsid w:val="35995C0B"/>
    <w:rsid w:val="35A103EB"/>
    <w:rsid w:val="35C65F1F"/>
    <w:rsid w:val="35E12DCB"/>
    <w:rsid w:val="35F64BF9"/>
    <w:rsid w:val="36002A06"/>
    <w:rsid w:val="36422393"/>
    <w:rsid w:val="365F6DE8"/>
    <w:rsid w:val="36814B24"/>
    <w:rsid w:val="36B92FFF"/>
    <w:rsid w:val="3718406F"/>
    <w:rsid w:val="372E171B"/>
    <w:rsid w:val="37312118"/>
    <w:rsid w:val="3768004A"/>
    <w:rsid w:val="37755012"/>
    <w:rsid w:val="378E2F7E"/>
    <w:rsid w:val="37B340D3"/>
    <w:rsid w:val="37CD492A"/>
    <w:rsid w:val="37CF185C"/>
    <w:rsid w:val="38771F2C"/>
    <w:rsid w:val="38A10B90"/>
    <w:rsid w:val="38EC00F2"/>
    <w:rsid w:val="38F616EB"/>
    <w:rsid w:val="390D68F0"/>
    <w:rsid w:val="394226A2"/>
    <w:rsid w:val="3948575B"/>
    <w:rsid w:val="39623F2E"/>
    <w:rsid w:val="39900BA6"/>
    <w:rsid w:val="399960BC"/>
    <w:rsid w:val="39A42B45"/>
    <w:rsid w:val="39CD4EF9"/>
    <w:rsid w:val="39D1168E"/>
    <w:rsid w:val="39E51991"/>
    <w:rsid w:val="39E85248"/>
    <w:rsid w:val="39EE5A57"/>
    <w:rsid w:val="3A1911C6"/>
    <w:rsid w:val="3A3F7380"/>
    <w:rsid w:val="3A45687C"/>
    <w:rsid w:val="3A6F2A10"/>
    <w:rsid w:val="3A8C1081"/>
    <w:rsid w:val="3AAB1F00"/>
    <w:rsid w:val="3AB86DCE"/>
    <w:rsid w:val="3AB90173"/>
    <w:rsid w:val="3AD01D1E"/>
    <w:rsid w:val="3AD20217"/>
    <w:rsid w:val="3ADC390D"/>
    <w:rsid w:val="3AE37576"/>
    <w:rsid w:val="3B152416"/>
    <w:rsid w:val="3B241656"/>
    <w:rsid w:val="3B722E9C"/>
    <w:rsid w:val="3B7F338C"/>
    <w:rsid w:val="3BB67D94"/>
    <w:rsid w:val="3BB82370"/>
    <w:rsid w:val="3BD564FA"/>
    <w:rsid w:val="3BFD3B0E"/>
    <w:rsid w:val="3C1F21AC"/>
    <w:rsid w:val="3C53686B"/>
    <w:rsid w:val="3C745347"/>
    <w:rsid w:val="3C8222BE"/>
    <w:rsid w:val="3C9D5D9D"/>
    <w:rsid w:val="3CB626AA"/>
    <w:rsid w:val="3CCC77D4"/>
    <w:rsid w:val="3CDE07E2"/>
    <w:rsid w:val="3D1C005B"/>
    <w:rsid w:val="3D2230FD"/>
    <w:rsid w:val="3D534684"/>
    <w:rsid w:val="3D75115E"/>
    <w:rsid w:val="3DBC3E14"/>
    <w:rsid w:val="3DD2169A"/>
    <w:rsid w:val="3E3024DD"/>
    <w:rsid w:val="3E4A1078"/>
    <w:rsid w:val="3E9571F9"/>
    <w:rsid w:val="3ED037B4"/>
    <w:rsid w:val="3EDD5838"/>
    <w:rsid w:val="3EE223D5"/>
    <w:rsid w:val="3EF02336"/>
    <w:rsid w:val="3F0701DD"/>
    <w:rsid w:val="3F0B1B92"/>
    <w:rsid w:val="3F2D50F7"/>
    <w:rsid w:val="3F421C6A"/>
    <w:rsid w:val="3F440659"/>
    <w:rsid w:val="3F484C1C"/>
    <w:rsid w:val="3F4A324F"/>
    <w:rsid w:val="3F4A4959"/>
    <w:rsid w:val="3F765253"/>
    <w:rsid w:val="3FA47D30"/>
    <w:rsid w:val="3FAC596B"/>
    <w:rsid w:val="3FB72B53"/>
    <w:rsid w:val="3FD01564"/>
    <w:rsid w:val="3FFB0127"/>
    <w:rsid w:val="402E40B0"/>
    <w:rsid w:val="405C218C"/>
    <w:rsid w:val="40673D62"/>
    <w:rsid w:val="40FE0366"/>
    <w:rsid w:val="41287E4F"/>
    <w:rsid w:val="41602A2E"/>
    <w:rsid w:val="416A54C6"/>
    <w:rsid w:val="41817159"/>
    <w:rsid w:val="419802CB"/>
    <w:rsid w:val="41A14E40"/>
    <w:rsid w:val="41C13981"/>
    <w:rsid w:val="41DA14F4"/>
    <w:rsid w:val="42103C30"/>
    <w:rsid w:val="4213332A"/>
    <w:rsid w:val="423A52A1"/>
    <w:rsid w:val="424F13A8"/>
    <w:rsid w:val="42600BE2"/>
    <w:rsid w:val="42794705"/>
    <w:rsid w:val="427C67D5"/>
    <w:rsid w:val="42847458"/>
    <w:rsid w:val="42875791"/>
    <w:rsid w:val="429B65B3"/>
    <w:rsid w:val="42A169DE"/>
    <w:rsid w:val="42AB637A"/>
    <w:rsid w:val="42E67308"/>
    <w:rsid w:val="43032F25"/>
    <w:rsid w:val="431C231F"/>
    <w:rsid w:val="433A7DFD"/>
    <w:rsid w:val="43405B29"/>
    <w:rsid w:val="435D3D96"/>
    <w:rsid w:val="436C5EB8"/>
    <w:rsid w:val="43756E41"/>
    <w:rsid w:val="43806675"/>
    <w:rsid w:val="438418EA"/>
    <w:rsid w:val="43880765"/>
    <w:rsid w:val="43896E50"/>
    <w:rsid w:val="438E6065"/>
    <w:rsid w:val="43BC1B8C"/>
    <w:rsid w:val="43DF14DC"/>
    <w:rsid w:val="43E735F0"/>
    <w:rsid w:val="440F3CB6"/>
    <w:rsid w:val="441D0AC4"/>
    <w:rsid w:val="441E395F"/>
    <w:rsid w:val="443E1518"/>
    <w:rsid w:val="44705C1B"/>
    <w:rsid w:val="447D2655"/>
    <w:rsid w:val="449B589F"/>
    <w:rsid w:val="44C860F1"/>
    <w:rsid w:val="44D677E8"/>
    <w:rsid w:val="44DB2B88"/>
    <w:rsid w:val="44DE1F57"/>
    <w:rsid w:val="45400752"/>
    <w:rsid w:val="4553329B"/>
    <w:rsid w:val="455864A0"/>
    <w:rsid w:val="45D53F83"/>
    <w:rsid w:val="46033372"/>
    <w:rsid w:val="461307B6"/>
    <w:rsid w:val="46142C27"/>
    <w:rsid w:val="46350472"/>
    <w:rsid w:val="46517EA4"/>
    <w:rsid w:val="465F033B"/>
    <w:rsid w:val="467924C2"/>
    <w:rsid w:val="46DA7980"/>
    <w:rsid w:val="46E45FBD"/>
    <w:rsid w:val="472A5628"/>
    <w:rsid w:val="47415B2A"/>
    <w:rsid w:val="47543167"/>
    <w:rsid w:val="47C112CD"/>
    <w:rsid w:val="47D75EF1"/>
    <w:rsid w:val="47E578A7"/>
    <w:rsid w:val="47F34726"/>
    <w:rsid w:val="480301B4"/>
    <w:rsid w:val="4818054A"/>
    <w:rsid w:val="485808EF"/>
    <w:rsid w:val="485B13A8"/>
    <w:rsid w:val="487901A0"/>
    <w:rsid w:val="48A72790"/>
    <w:rsid w:val="48C561B1"/>
    <w:rsid w:val="48F400E8"/>
    <w:rsid w:val="49032E77"/>
    <w:rsid w:val="493B27BD"/>
    <w:rsid w:val="495850E1"/>
    <w:rsid w:val="497708F9"/>
    <w:rsid w:val="49A22B4A"/>
    <w:rsid w:val="49BF0DDD"/>
    <w:rsid w:val="49C64AFD"/>
    <w:rsid w:val="49DC5FFC"/>
    <w:rsid w:val="49F8516E"/>
    <w:rsid w:val="4A536947"/>
    <w:rsid w:val="4A6065A7"/>
    <w:rsid w:val="4A6A37D1"/>
    <w:rsid w:val="4A7B018A"/>
    <w:rsid w:val="4A7E12F8"/>
    <w:rsid w:val="4A9138BB"/>
    <w:rsid w:val="4ABC1077"/>
    <w:rsid w:val="4AC50111"/>
    <w:rsid w:val="4AF87352"/>
    <w:rsid w:val="4B0D32C4"/>
    <w:rsid w:val="4B0F2634"/>
    <w:rsid w:val="4B1402D9"/>
    <w:rsid w:val="4B1A045D"/>
    <w:rsid w:val="4B3C5AA1"/>
    <w:rsid w:val="4B7E7DDF"/>
    <w:rsid w:val="4B8564A9"/>
    <w:rsid w:val="4B90425F"/>
    <w:rsid w:val="4BAB538B"/>
    <w:rsid w:val="4BAC5C50"/>
    <w:rsid w:val="4BB7316D"/>
    <w:rsid w:val="4BD74E28"/>
    <w:rsid w:val="4BDB71EA"/>
    <w:rsid w:val="4BDF6B88"/>
    <w:rsid w:val="4C0517EB"/>
    <w:rsid w:val="4C2A4493"/>
    <w:rsid w:val="4C63374C"/>
    <w:rsid w:val="4CC1123A"/>
    <w:rsid w:val="4CCA6DCC"/>
    <w:rsid w:val="4CE16CAA"/>
    <w:rsid w:val="4D1D1EDA"/>
    <w:rsid w:val="4D3C41B9"/>
    <w:rsid w:val="4D6F358D"/>
    <w:rsid w:val="4D7276A1"/>
    <w:rsid w:val="4D744035"/>
    <w:rsid w:val="4D8160DB"/>
    <w:rsid w:val="4DCB6A69"/>
    <w:rsid w:val="4E277868"/>
    <w:rsid w:val="4E40668C"/>
    <w:rsid w:val="4E4B0A14"/>
    <w:rsid w:val="4E4D4F65"/>
    <w:rsid w:val="4E5D4AA2"/>
    <w:rsid w:val="4E722252"/>
    <w:rsid w:val="4E8E3E24"/>
    <w:rsid w:val="4EE3774F"/>
    <w:rsid w:val="4F4377F6"/>
    <w:rsid w:val="4F4B6962"/>
    <w:rsid w:val="4F6D0C57"/>
    <w:rsid w:val="4FC636A4"/>
    <w:rsid w:val="4FF20128"/>
    <w:rsid w:val="5004698F"/>
    <w:rsid w:val="5013058C"/>
    <w:rsid w:val="502C2FBE"/>
    <w:rsid w:val="50476215"/>
    <w:rsid w:val="505C45CA"/>
    <w:rsid w:val="506726F7"/>
    <w:rsid w:val="508C568B"/>
    <w:rsid w:val="509329A4"/>
    <w:rsid w:val="509A52BA"/>
    <w:rsid w:val="50B412DC"/>
    <w:rsid w:val="50C33430"/>
    <w:rsid w:val="50D116DB"/>
    <w:rsid w:val="51294BED"/>
    <w:rsid w:val="51456514"/>
    <w:rsid w:val="514F69AC"/>
    <w:rsid w:val="51641505"/>
    <w:rsid w:val="51887706"/>
    <w:rsid w:val="51AE2261"/>
    <w:rsid w:val="51D730EE"/>
    <w:rsid w:val="51E13DEE"/>
    <w:rsid w:val="51E5059A"/>
    <w:rsid w:val="51E95ADA"/>
    <w:rsid w:val="51F229CD"/>
    <w:rsid w:val="51F836E7"/>
    <w:rsid w:val="51FC5B10"/>
    <w:rsid w:val="52397AB8"/>
    <w:rsid w:val="5267315D"/>
    <w:rsid w:val="52A016B5"/>
    <w:rsid w:val="52BB75EB"/>
    <w:rsid w:val="52DA60F2"/>
    <w:rsid w:val="53032BB8"/>
    <w:rsid w:val="53063EF7"/>
    <w:rsid w:val="53356D0C"/>
    <w:rsid w:val="533A03C0"/>
    <w:rsid w:val="53564C64"/>
    <w:rsid w:val="53596A42"/>
    <w:rsid w:val="537234E3"/>
    <w:rsid w:val="53A151A5"/>
    <w:rsid w:val="53CA32E8"/>
    <w:rsid w:val="53E1428C"/>
    <w:rsid w:val="53EF175D"/>
    <w:rsid w:val="54395C0B"/>
    <w:rsid w:val="54424C86"/>
    <w:rsid w:val="54642568"/>
    <w:rsid w:val="546E0623"/>
    <w:rsid w:val="548B0E35"/>
    <w:rsid w:val="54A96F37"/>
    <w:rsid w:val="54B957CE"/>
    <w:rsid w:val="54C436F4"/>
    <w:rsid w:val="54D447B7"/>
    <w:rsid w:val="54D93332"/>
    <w:rsid w:val="54FB7EC5"/>
    <w:rsid w:val="55225D6D"/>
    <w:rsid w:val="55227EAB"/>
    <w:rsid w:val="554B5F00"/>
    <w:rsid w:val="556A1063"/>
    <w:rsid w:val="559D0DF3"/>
    <w:rsid w:val="55B10A05"/>
    <w:rsid w:val="55C86819"/>
    <w:rsid w:val="55D70817"/>
    <w:rsid w:val="55FC6857"/>
    <w:rsid w:val="5628176D"/>
    <w:rsid w:val="567D15E1"/>
    <w:rsid w:val="567E533B"/>
    <w:rsid w:val="56B36BD6"/>
    <w:rsid w:val="56B75ADA"/>
    <w:rsid w:val="56CD1B7F"/>
    <w:rsid w:val="56D42B0A"/>
    <w:rsid w:val="57116D75"/>
    <w:rsid w:val="573E6E67"/>
    <w:rsid w:val="575466A0"/>
    <w:rsid w:val="57875597"/>
    <w:rsid w:val="578C06E8"/>
    <w:rsid w:val="57AD53AC"/>
    <w:rsid w:val="57E43DDE"/>
    <w:rsid w:val="581A7CE4"/>
    <w:rsid w:val="584C0AE4"/>
    <w:rsid w:val="586F0558"/>
    <w:rsid w:val="588131D2"/>
    <w:rsid w:val="5883591D"/>
    <w:rsid w:val="589178B1"/>
    <w:rsid w:val="58DC71F5"/>
    <w:rsid w:val="58EA3EAA"/>
    <w:rsid w:val="59123AA3"/>
    <w:rsid w:val="591B34F8"/>
    <w:rsid w:val="59291278"/>
    <w:rsid w:val="596C30B2"/>
    <w:rsid w:val="597069B8"/>
    <w:rsid w:val="5998179A"/>
    <w:rsid w:val="59AC51F7"/>
    <w:rsid w:val="59C136BE"/>
    <w:rsid w:val="59C32B3C"/>
    <w:rsid w:val="59D92697"/>
    <w:rsid w:val="5A057B15"/>
    <w:rsid w:val="5A485795"/>
    <w:rsid w:val="5A62330D"/>
    <w:rsid w:val="5A637DDE"/>
    <w:rsid w:val="5A815B57"/>
    <w:rsid w:val="5A9639CE"/>
    <w:rsid w:val="5AAE7BD8"/>
    <w:rsid w:val="5AD1703E"/>
    <w:rsid w:val="5AF426BD"/>
    <w:rsid w:val="5B071740"/>
    <w:rsid w:val="5B307E65"/>
    <w:rsid w:val="5B6E3A4E"/>
    <w:rsid w:val="5B8C71C4"/>
    <w:rsid w:val="5BC11ADF"/>
    <w:rsid w:val="5BE7365A"/>
    <w:rsid w:val="5C253E46"/>
    <w:rsid w:val="5C3B72A5"/>
    <w:rsid w:val="5C4A00EF"/>
    <w:rsid w:val="5CAF5ABD"/>
    <w:rsid w:val="5CD45AAE"/>
    <w:rsid w:val="5D0323AE"/>
    <w:rsid w:val="5D277344"/>
    <w:rsid w:val="5D2E6124"/>
    <w:rsid w:val="5D3629D5"/>
    <w:rsid w:val="5D41126F"/>
    <w:rsid w:val="5D575521"/>
    <w:rsid w:val="5D6A01E5"/>
    <w:rsid w:val="5D741650"/>
    <w:rsid w:val="5D8961E2"/>
    <w:rsid w:val="5D8D2359"/>
    <w:rsid w:val="5DA77CD5"/>
    <w:rsid w:val="5DAF607E"/>
    <w:rsid w:val="5E4355FC"/>
    <w:rsid w:val="5E8341F5"/>
    <w:rsid w:val="5E965C8D"/>
    <w:rsid w:val="5E967A72"/>
    <w:rsid w:val="5EB36614"/>
    <w:rsid w:val="5EB752F7"/>
    <w:rsid w:val="5F024EDE"/>
    <w:rsid w:val="5F0D5B7E"/>
    <w:rsid w:val="5F223E81"/>
    <w:rsid w:val="5F794ABC"/>
    <w:rsid w:val="5F8E5AA0"/>
    <w:rsid w:val="5F941A8F"/>
    <w:rsid w:val="5FA557BC"/>
    <w:rsid w:val="5FA65EB6"/>
    <w:rsid w:val="5FAF57D6"/>
    <w:rsid w:val="5FB43492"/>
    <w:rsid w:val="5FB517E9"/>
    <w:rsid w:val="5FF978C7"/>
    <w:rsid w:val="600423D9"/>
    <w:rsid w:val="600A5E8D"/>
    <w:rsid w:val="600D7D5B"/>
    <w:rsid w:val="60150503"/>
    <w:rsid w:val="602F15AF"/>
    <w:rsid w:val="605F23E9"/>
    <w:rsid w:val="60667768"/>
    <w:rsid w:val="60834E63"/>
    <w:rsid w:val="6091045C"/>
    <w:rsid w:val="609604A3"/>
    <w:rsid w:val="609A5864"/>
    <w:rsid w:val="60A353FF"/>
    <w:rsid w:val="60C16738"/>
    <w:rsid w:val="60D21066"/>
    <w:rsid w:val="60E66EDD"/>
    <w:rsid w:val="60E951E3"/>
    <w:rsid w:val="60FD1F3E"/>
    <w:rsid w:val="61013AA1"/>
    <w:rsid w:val="610E0849"/>
    <w:rsid w:val="612B790D"/>
    <w:rsid w:val="614D3D76"/>
    <w:rsid w:val="615E4FE9"/>
    <w:rsid w:val="617439D6"/>
    <w:rsid w:val="61953C2F"/>
    <w:rsid w:val="61AB4CC2"/>
    <w:rsid w:val="620D157B"/>
    <w:rsid w:val="62263E16"/>
    <w:rsid w:val="62532486"/>
    <w:rsid w:val="625E0E38"/>
    <w:rsid w:val="62832523"/>
    <w:rsid w:val="629C7C54"/>
    <w:rsid w:val="62C040D9"/>
    <w:rsid w:val="62C15E28"/>
    <w:rsid w:val="62D51A66"/>
    <w:rsid w:val="6323112A"/>
    <w:rsid w:val="636506F3"/>
    <w:rsid w:val="63B71E4B"/>
    <w:rsid w:val="63BF15C4"/>
    <w:rsid w:val="63CA1B45"/>
    <w:rsid w:val="63D16E20"/>
    <w:rsid w:val="64060194"/>
    <w:rsid w:val="641D16EE"/>
    <w:rsid w:val="64301835"/>
    <w:rsid w:val="6438437A"/>
    <w:rsid w:val="6445540E"/>
    <w:rsid w:val="64495D87"/>
    <w:rsid w:val="644D5B95"/>
    <w:rsid w:val="645700C7"/>
    <w:rsid w:val="64622B0E"/>
    <w:rsid w:val="64640A68"/>
    <w:rsid w:val="64F1713E"/>
    <w:rsid w:val="64FF799D"/>
    <w:rsid w:val="65057B6B"/>
    <w:rsid w:val="65113C59"/>
    <w:rsid w:val="65117920"/>
    <w:rsid w:val="65162169"/>
    <w:rsid w:val="65554719"/>
    <w:rsid w:val="655E55F1"/>
    <w:rsid w:val="656F3F6F"/>
    <w:rsid w:val="657213BC"/>
    <w:rsid w:val="658842C5"/>
    <w:rsid w:val="65BE2010"/>
    <w:rsid w:val="65C511BE"/>
    <w:rsid w:val="65C92E56"/>
    <w:rsid w:val="6625082F"/>
    <w:rsid w:val="6626443B"/>
    <w:rsid w:val="66400DB2"/>
    <w:rsid w:val="664232FA"/>
    <w:rsid w:val="664A69DE"/>
    <w:rsid w:val="664B0589"/>
    <w:rsid w:val="664B6F5B"/>
    <w:rsid w:val="66660A05"/>
    <w:rsid w:val="66A40E20"/>
    <w:rsid w:val="67215DEF"/>
    <w:rsid w:val="67581411"/>
    <w:rsid w:val="678E5BC0"/>
    <w:rsid w:val="67A9517F"/>
    <w:rsid w:val="68052E3A"/>
    <w:rsid w:val="68341923"/>
    <w:rsid w:val="68406BA6"/>
    <w:rsid w:val="68435D4B"/>
    <w:rsid w:val="68943D50"/>
    <w:rsid w:val="6895612B"/>
    <w:rsid w:val="68C2614B"/>
    <w:rsid w:val="68C47ECE"/>
    <w:rsid w:val="68FF3506"/>
    <w:rsid w:val="690777A8"/>
    <w:rsid w:val="690F71DD"/>
    <w:rsid w:val="691532B9"/>
    <w:rsid w:val="691603CA"/>
    <w:rsid w:val="695E789C"/>
    <w:rsid w:val="696C38CA"/>
    <w:rsid w:val="698B0617"/>
    <w:rsid w:val="69A4130A"/>
    <w:rsid w:val="69AD269E"/>
    <w:rsid w:val="69DF797F"/>
    <w:rsid w:val="6A3505F6"/>
    <w:rsid w:val="6A600A9D"/>
    <w:rsid w:val="6A7B13B2"/>
    <w:rsid w:val="6A846A1F"/>
    <w:rsid w:val="6AAD69B9"/>
    <w:rsid w:val="6AB837DF"/>
    <w:rsid w:val="6B093C02"/>
    <w:rsid w:val="6B1F4A3F"/>
    <w:rsid w:val="6B593546"/>
    <w:rsid w:val="6B956DEE"/>
    <w:rsid w:val="6BC73FA3"/>
    <w:rsid w:val="6BF27FE0"/>
    <w:rsid w:val="6BF72CEF"/>
    <w:rsid w:val="6C002C77"/>
    <w:rsid w:val="6C5358CF"/>
    <w:rsid w:val="6C574BF8"/>
    <w:rsid w:val="6C5E4044"/>
    <w:rsid w:val="6C7F7926"/>
    <w:rsid w:val="6C821019"/>
    <w:rsid w:val="6C9E1231"/>
    <w:rsid w:val="6CB063B4"/>
    <w:rsid w:val="6CEC45F6"/>
    <w:rsid w:val="6D0D325C"/>
    <w:rsid w:val="6D387D98"/>
    <w:rsid w:val="6D733B33"/>
    <w:rsid w:val="6D766E9F"/>
    <w:rsid w:val="6D9833FD"/>
    <w:rsid w:val="6DAA7A65"/>
    <w:rsid w:val="6DD12787"/>
    <w:rsid w:val="6DE50FCF"/>
    <w:rsid w:val="6DE8141D"/>
    <w:rsid w:val="6DF50D04"/>
    <w:rsid w:val="6DFC044A"/>
    <w:rsid w:val="6E016D78"/>
    <w:rsid w:val="6E222757"/>
    <w:rsid w:val="6E323AFB"/>
    <w:rsid w:val="6E45584A"/>
    <w:rsid w:val="6E657A77"/>
    <w:rsid w:val="6E781AC2"/>
    <w:rsid w:val="6E7A3661"/>
    <w:rsid w:val="6E7C3F4E"/>
    <w:rsid w:val="6E935C26"/>
    <w:rsid w:val="6EA2422F"/>
    <w:rsid w:val="6ECF55A1"/>
    <w:rsid w:val="6EE075A3"/>
    <w:rsid w:val="6F3262E6"/>
    <w:rsid w:val="6F471AAE"/>
    <w:rsid w:val="6F506599"/>
    <w:rsid w:val="6F6D038E"/>
    <w:rsid w:val="6F7234F2"/>
    <w:rsid w:val="6F9C10F1"/>
    <w:rsid w:val="6FA07E08"/>
    <w:rsid w:val="6FA234C5"/>
    <w:rsid w:val="6FA7081E"/>
    <w:rsid w:val="6FB7581C"/>
    <w:rsid w:val="6FDA39CC"/>
    <w:rsid w:val="6FF84F3A"/>
    <w:rsid w:val="70670B70"/>
    <w:rsid w:val="70691F20"/>
    <w:rsid w:val="70A0254C"/>
    <w:rsid w:val="70A6607F"/>
    <w:rsid w:val="70DA182C"/>
    <w:rsid w:val="70DA32E3"/>
    <w:rsid w:val="70E30E7A"/>
    <w:rsid w:val="70E446C8"/>
    <w:rsid w:val="71402A97"/>
    <w:rsid w:val="71482E9C"/>
    <w:rsid w:val="71693610"/>
    <w:rsid w:val="716A13AE"/>
    <w:rsid w:val="71785C84"/>
    <w:rsid w:val="71A01FC4"/>
    <w:rsid w:val="71B5656F"/>
    <w:rsid w:val="71D65BCB"/>
    <w:rsid w:val="72283473"/>
    <w:rsid w:val="72391255"/>
    <w:rsid w:val="725303B6"/>
    <w:rsid w:val="72654B5A"/>
    <w:rsid w:val="727D244C"/>
    <w:rsid w:val="72974812"/>
    <w:rsid w:val="72AC2FF9"/>
    <w:rsid w:val="72CD4797"/>
    <w:rsid w:val="72DA0902"/>
    <w:rsid w:val="72F5629B"/>
    <w:rsid w:val="73034CDC"/>
    <w:rsid w:val="73347EEC"/>
    <w:rsid w:val="735A130D"/>
    <w:rsid w:val="737F1410"/>
    <w:rsid w:val="73964D73"/>
    <w:rsid w:val="73CD0064"/>
    <w:rsid w:val="73ED3F28"/>
    <w:rsid w:val="742C5EAE"/>
    <w:rsid w:val="744658DB"/>
    <w:rsid w:val="7457778C"/>
    <w:rsid w:val="745E7ACF"/>
    <w:rsid w:val="749844A5"/>
    <w:rsid w:val="74A02AAE"/>
    <w:rsid w:val="74A71B58"/>
    <w:rsid w:val="74C45EB6"/>
    <w:rsid w:val="74D242AE"/>
    <w:rsid w:val="750B4211"/>
    <w:rsid w:val="75286786"/>
    <w:rsid w:val="757C4B03"/>
    <w:rsid w:val="75B827C9"/>
    <w:rsid w:val="75E216A7"/>
    <w:rsid w:val="761D6636"/>
    <w:rsid w:val="7622594B"/>
    <w:rsid w:val="762745BB"/>
    <w:rsid w:val="76446796"/>
    <w:rsid w:val="76753FD9"/>
    <w:rsid w:val="76A26538"/>
    <w:rsid w:val="76D152F7"/>
    <w:rsid w:val="77522F5F"/>
    <w:rsid w:val="77AB43A9"/>
    <w:rsid w:val="77F517AA"/>
    <w:rsid w:val="77F528D5"/>
    <w:rsid w:val="77F6500E"/>
    <w:rsid w:val="77FE32BF"/>
    <w:rsid w:val="782C7FDD"/>
    <w:rsid w:val="7848489D"/>
    <w:rsid w:val="786B6084"/>
    <w:rsid w:val="78A52EFB"/>
    <w:rsid w:val="78B513C4"/>
    <w:rsid w:val="78CA0904"/>
    <w:rsid w:val="791A79D1"/>
    <w:rsid w:val="79716221"/>
    <w:rsid w:val="79800CF1"/>
    <w:rsid w:val="798C27B6"/>
    <w:rsid w:val="79D77931"/>
    <w:rsid w:val="7A083EC2"/>
    <w:rsid w:val="7A127690"/>
    <w:rsid w:val="7A127AD8"/>
    <w:rsid w:val="7A341F54"/>
    <w:rsid w:val="7A631E5E"/>
    <w:rsid w:val="7A721882"/>
    <w:rsid w:val="7A9024ED"/>
    <w:rsid w:val="7A9F60B4"/>
    <w:rsid w:val="7AAF1E9F"/>
    <w:rsid w:val="7AB915F0"/>
    <w:rsid w:val="7AD37D5F"/>
    <w:rsid w:val="7AF6417F"/>
    <w:rsid w:val="7B14479C"/>
    <w:rsid w:val="7B31708A"/>
    <w:rsid w:val="7B453D9F"/>
    <w:rsid w:val="7B5A3617"/>
    <w:rsid w:val="7B873698"/>
    <w:rsid w:val="7BB54906"/>
    <w:rsid w:val="7BF620CD"/>
    <w:rsid w:val="7C002F65"/>
    <w:rsid w:val="7C0516FD"/>
    <w:rsid w:val="7C0815C8"/>
    <w:rsid w:val="7C2A2241"/>
    <w:rsid w:val="7C3210B1"/>
    <w:rsid w:val="7C65100B"/>
    <w:rsid w:val="7C8174C5"/>
    <w:rsid w:val="7C9821B9"/>
    <w:rsid w:val="7CB41450"/>
    <w:rsid w:val="7CB429F8"/>
    <w:rsid w:val="7CDE4E6C"/>
    <w:rsid w:val="7CE54680"/>
    <w:rsid w:val="7CEF587E"/>
    <w:rsid w:val="7CF617DD"/>
    <w:rsid w:val="7CFA3810"/>
    <w:rsid w:val="7D04000F"/>
    <w:rsid w:val="7D0F5731"/>
    <w:rsid w:val="7D115202"/>
    <w:rsid w:val="7D19088C"/>
    <w:rsid w:val="7D1B502F"/>
    <w:rsid w:val="7D645A75"/>
    <w:rsid w:val="7D6B261E"/>
    <w:rsid w:val="7D7502A0"/>
    <w:rsid w:val="7D7A1BEE"/>
    <w:rsid w:val="7D905EC4"/>
    <w:rsid w:val="7D9A70EF"/>
    <w:rsid w:val="7DB5644A"/>
    <w:rsid w:val="7DCE28F6"/>
    <w:rsid w:val="7DEF4CE0"/>
    <w:rsid w:val="7E0B2E27"/>
    <w:rsid w:val="7E1808B8"/>
    <w:rsid w:val="7E4F1990"/>
    <w:rsid w:val="7E934A5C"/>
    <w:rsid w:val="7E9D1375"/>
    <w:rsid w:val="7EAD39C5"/>
    <w:rsid w:val="7EBC2318"/>
    <w:rsid w:val="7EC2726C"/>
    <w:rsid w:val="7EDC626B"/>
    <w:rsid w:val="7EEC0F47"/>
    <w:rsid w:val="7EEE26C5"/>
    <w:rsid w:val="7EF36FAE"/>
    <w:rsid w:val="7F020794"/>
    <w:rsid w:val="7F0A4D11"/>
    <w:rsid w:val="7F176632"/>
    <w:rsid w:val="7F1D46CA"/>
    <w:rsid w:val="7F8E7829"/>
    <w:rsid w:val="7F902383"/>
    <w:rsid w:val="7F9F225D"/>
    <w:rsid w:val="7FFD296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4">
    <w:name w:val="heading 1"/>
    <w:basedOn w:val="1"/>
    <w:next w:val="1"/>
    <w:link w:val="105"/>
    <w:qFormat/>
    <w:uiPriority w:val="0"/>
    <w:pPr>
      <w:keepNext/>
      <w:keepLines/>
      <w:spacing w:before="340" w:after="330" w:line="578" w:lineRule="auto"/>
      <w:outlineLvl w:val="0"/>
    </w:pPr>
    <w:rPr>
      <w:b/>
      <w:bCs/>
      <w:kern w:val="44"/>
      <w:sz w:val="44"/>
      <w:szCs w:val="44"/>
    </w:rPr>
  </w:style>
  <w:style w:type="paragraph" w:styleId="5">
    <w:name w:val="heading 2"/>
    <w:basedOn w:val="1"/>
    <w:next w:val="1"/>
    <w:link w:val="106"/>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link w:val="107"/>
    <w:qFormat/>
    <w:uiPriority w:val="0"/>
    <w:pPr>
      <w:keepNext/>
      <w:keepLines/>
      <w:spacing w:before="260" w:after="260" w:line="416" w:lineRule="auto"/>
      <w:ind w:left="709" w:hanging="709"/>
      <w:outlineLvl w:val="2"/>
    </w:pPr>
    <w:rPr>
      <w:b/>
      <w:bCs/>
      <w:sz w:val="28"/>
      <w:szCs w:val="28"/>
    </w:rPr>
  </w:style>
  <w:style w:type="paragraph" w:styleId="7">
    <w:name w:val="heading 4"/>
    <w:basedOn w:val="1"/>
    <w:next w:val="1"/>
    <w:link w:val="108"/>
    <w:qFormat/>
    <w:uiPriority w:val="0"/>
    <w:pPr>
      <w:keepNext/>
      <w:keepLines/>
      <w:spacing w:before="240" w:after="120" w:line="600" w:lineRule="exact"/>
      <w:ind w:firstLine="200" w:firstLineChars="200"/>
      <w:jc w:val="left"/>
      <w:outlineLvl w:val="3"/>
    </w:pPr>
    <w:rPr>
      <w:rFonts w:ascii="华文中宋" w:hAnsi="Arial" w:eastAsia="华文中宋"/>
      <w:bCs/>
      <w:kern w:val="0"/>
      <w:sz w:val="32"/>
      <w:szCs w:val="28"/>
    </w:rPr>
  </w:style>
  <w:style w:type="paragraph" w:styleId="8">
    <w:name w:val="heading 5"/>
    <w:basedOn w:val="1"/>
    <w:next w:val="9"/>
    <w:link w:val="109"/>
    <w:qFormat/>
    <w:uiPriority w:val="0"/>
    <w:pPr>
      <w:keepNext/>
      <w:keepLines/>
      <w:numPr>
        <w:ilvl w:val="4"/>
        <w:numId w:val="1"/>
      </w:numPr>
      <w:tabs>
        <w:tab w:val="left" w:pos="1008"/>
      </w:tabs>
      <w:spacing w:before="280" w:after="290" w:line="374" w:lineRule="auto"/>
      <w:ind w:firstLineChars="200"/>
      <w:outlineLvl w:val="4"/>
    </w:pPr>
    <w:rPr>
      <w:b/>
      <w:bCs/>
      <w:sz w:val="28"/>
      <w:szCs w:val="28"/>
    </w:rPr>
  </w:style>
  <w:style w:type="paragraph" w:styleId="10">
    <w:name w:val="heading 6"/>
    <w:basedOn w:val="1"/>
    <w:next w:val="1"/>
    <w:link w:val="111"/>
    <w:qFormat/>
    <w:uiPriority w:val="0"/>
    <w:pPr>
      <w:keepNext/>
      <w:keepLines/>
      <w:numPr>
        <w:ilvl w:val="5"/>
        <w:numId w:val="1"/>
      </w:numPr>
      <w:tabs>
        <w:tab w:val="left" w:pos="1152"/>
      </w:tabs>
      <w:spacing w:before="240" w:after="64" w:line="319" w:lineRule="auto"/>
      <w:ind w:firstLineChars="200"/>
      <w:outlineLvl w:val="5"/>
    </w:pPr>
    <w:rPr>
      <w:rFonts w:ascii="Arial" w:hAnsi="Arial" w:eastAsia="黑体"/>
      <w:b/>
      <w:bCs/>
    </w:rPr>
  </w:style>
  <w:style w:type="paragraph" w:styleId="11">
    <w:name w:val="heading 7"/>
    <w:basedOn w:val="1"/>
    <w:next w:val="1"/>
    <w:link w:val="112"/>
    <w:qFormat/>
    <w:uiPriority w:val="0"/>
    <w:pPr>
      <w:keepNext/>
      <w:keepLines/>
      <w:spacing w:before="240" w:after="64" w:line="320" w:lineRule="auto"/>
      <w:outlineLvl w:val="6"/>
    </w:pPr>
    <w:rPr>
      <w:b/>
      <w:bCs/>
    </w:rPr>
  </w:style>
  <w:style w:type="paragraph" w:styleId="12">
    <w:name w:val="heading 8"/>
    <w:basedOn w:val="1"/>
    <w:next w:val="1"/>
    <w:link w:val="113"/>
    <w:qFormat/>
    <w:uiPriority w:val="0"/>
    <w:pPr>
      <w:keepNext/>
      <w:keepLines/>
      <w:numPr>
        <w:ilvl w:val="7"/>
        <w:numId w:val="1"/>
      </w:numPr>
      <w:tabs>
        <w:tab w:val="left" w:pos="1440"/>
      </w:tabs>
      <w:spacing w:before="240" w:after="64" w:line="319" w:lineRule="auto"/>
      <w:ind w:firstLineChars="200"/>
      <w:outlineLvl w:val="7"/>
    </w:pPr>
    <w:rPr>
      <w:rFonts w:ascii="Arial" w:hAnsi="Arial" w:eastAsia="黑体"/>
    </w:rPr>
  </w:style>
  <w:style w:type="paragraph" w:styleId="13">
    <w:name w:val="heading 9"/>
    <w:basedOn w:val="1"/>
    <w:next w:val="1"/>
    <w:link w:val="114"/>
    <w:qFormat/>
    <w:uiPriority w:val="0"/>
    <w:pPr>
      <w:keepNext/>
      <w:keepLines/>
      <w:numPr>
        <w:ilvl w:val="8"/>
        <w:numId w:val="1"/>
      </w:numPr>
      <w:tabs>
        <w:tab w:val="left" w:pos="1584"/>
      </w:tabs>
      <w:spacing w:before="240" w:after="64" w:line="319" w:lineRule="auto"/>
      <w:ind w:firstLineChars="200"/>
      <w:outlineLvl w:val="8"/>
    </w:pPr>
    <w:rPr>
      <w:rFonts w:ascii="Arial" w:hAnsi="Arial" w:eastAsia="黑体"/>
      <w:sz w:val="21"/>
      <w:szCs w:val="21"/>
    </w:rPr>
  </w:style>
  <w:style w:type="character" w:default="1" w:styleId="88">
    <w:name w:val="Default Paragraph Font"/>
    <w:semiHidden/>
    <w:qFormat/>
    <w:uiPriority w:val="0"/>
  </w:style>
  <w:style w:type="table" w:default="1" w:styleId="86">
    <w:name w:val="Normal Table"/>
    <w:semiHidden/>
    <w:qFormat/>
    <w:uiPriority w:val="0"/>
    <w:tblPr>
      <w:tblCellMar>
        <w:top w:w="0" w:type="dxa"/>
        <w:left w:w="108" w:type="dxa"/>
        <w:bottom w:w="0" w:type="dxa"/>
        <w:right w:w="108" w:type="dxa"/>
      </w:tblCellMar>
    </w:tblPr>
  </w:style>
  <w:style w:type="paragraph" w:styleId="2">
    <w:name w:val="toa heading"/>
    <w:basedOn w:val="1"/>
    <w:next w:val="1"/>
    <w:qFormat/>
    <w:uiPriority w:val="0"/>
    <w:pPr>
      <w:spacing w:before="120" w:beforeLines="0" w:beforeAutospacing="0"/>
    </w:pPr>
    <w:rPr>
      <w:rFonts w:ascii="Arial" w:hAnsi="Arial"/>
      <w:sz w:val="24"/>
    </w:rPr>
  </w:style>
  <w:style w:type="paragraph" w:styleId="3">
    <w:name w:val="macro"/>
    <w:link w:val="104"/>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ind w:firstLine="561"/>
      <w:textAlignment w:val="baseline"/>
    </w:pPr>
    <w:rPr>
      <w:rFonts w:ascii="Courier New" w:hAnsi="Courier New" w:eastAsia="宋体" w:cs="Courier New"/>
      <w:sz w:val="24"/>
      <w:szCs w:val="24"/>
      <w:lang w:val="en-US" w:eastAsia="zh-CN" w:bidi="ar-SA"/>
    </w:rPr>
  </w:style>
  <w:style w:type="paragraph" w:styleId="9">
    <w:name w:val="Normal Indent"/>
    <w:basedOn w:val="1"/>
    <w:link w:val="110"/>
    <w:qFormat/>
    <w:uiPriority w:val="0"/>
    <w:pPr>
      <w:ind w:firstLine="420" w:firstLineChars="200"/>
    </w:pPr>
    <w:rPr>
      <w:sz w:val="21"/>
    </w:rPr>
  </w:style>
  <w:style w:type="paragraph" w:styleId="14">
    <w:name w:val="List 3"/>
    <w:basedOn w:val="1"/>
    <w:uiPriority w:val="0"/>
    <w:pPr>
      <w:adjustRightInd w:val="0"/>
      <w:spacing w:line="360" w:lineRule="auto"/>
      <w:ind w:left="100" w:leftChars="400" w:hanging="200" w:hangingChars="200"/>
      <w:textAlignment w:val="baseline"/>
    </w:pPr>
    <w:rPr>
      <w:kern w:val="0"/>
      <w:szCs w:val="20"/>
    </w:rPr>
  </w:style>
  <w:style w:type="paragraph" w:styleId="15">
    <w:name w:val="toc 7"/>
    <w:basedOn w:val="1"/>
    <w:next w:val="1"/>
    <w:qFormat/>
    <w:uiPriority w:val="39"/>
    <w:pPr>
      <w:spacing w:line="600" w:lineRule="exact"/>
      <w:ind w:left="1920" w:firstLine="200" w:firstLineChars="200"/>
      <w:jc w:val="left"/>
    </w:pPr>
    <w:rPr>
      <w:rFonts w:eastAsia="仿宋_GB2312"/>
      <w:kern w:val="0"/>
      <w:sz w:val="32"/>
      <w:szCs w:val="21"/>
    </w:rPr>
  </w:style>
  <w:style w:type="paragraph" w:styleId="16">
    <w:name w:val="List Number 2"/>
    <w:basedOn w:val="1"/>
    <w:qFormat/>
    <w:uiPriority w:val="0"/>
    <w:pPr>
      <w:tabs>
        <w:tab w:val="left" w:pos="432"/>
      </w:tabs>
      <w:spacing w:line="460" w:lineRule="exact"/>
      <w:ind w:left="420" w:hanging="420" w:firstLineChars="200"/>
    </w:pPr>
    <w:rPr>
      <w:rFonts w:ascii="Calibri" w:hAnsi="Calibri"/>
      <w:szCs w:val="22"/>
    </w:rPr>
  </w:style>
  <w:style w:type="paragraph" w:styleId="17">
    <w:name w:val="Note Heading"/>
    <w:basedOn w:val="1"/>
    <w:next w:val="1"/>
    <w:link w:val="115"/>
    <w:uiPriority w:val="0"/>
    <w:pPr>
      <w:adjustRightInd w:val="0"/>
      <w:spacing w:line="360" w:lineRule="auto"/>
      <w:ind w:firstLine="561" w:firstLineChars="200"/>
      <w:jc w:val="center"/>
      <w:textAlignment w:val="baseline"/>
    </w:pPr>
    <w:rPr>
      <w:kern w:val="0"/>
      <w:szCs w:val="20"/>
    </w:rPr>
  </w:style>
  <w:style w:type="paragraph" w:styleId="18">
    <w:name w:val="List Bullet 4"/>
    <w:basedOn w:val="1"/>
    <w:qFormat/>
    <w:uiPriority w:val="0"/>
    <w:pPr>
      <w:numPr>
        <w:ilvl w:val="0"/>
        <w:numId w:val="2"/>
      </w:numPr>
      <w:tabs>
        <w:tab w:val="left" w:pos="425"/>
        <w:tab w:val="left" w:pos="1305"/>
      </w:tabs>
      <w:spacing w:line="460" w:lineRule="exact"/>
      <w:ind w:firstLineChars="200"/>
    </w:pPr>
    <w:rPr>
      <w:rFonts w:ascii="Calibri" w:hAnsi="Calibri"/>
      <w:szCs w:val="22"/>
    </w:rPr>
  </w:style>
  <w:style w:type="paragraph" w:styleId="19">
    <w:name w:val="index 8"/>
    <w:basedOn w:val="1"/>
    <w:next w:val="1"/>
    <w:qFormat/>
    <w:uiPriority w:val="0"/>
    <w:pPr>
      <w:spacing w:line="460" w:lineRule="exact"/>
      <w:ind w:left="1400" w:leftChars="1400" w:firstLine="723" w:firstLineChars="200"/>
    </w:pPr>
    <w:rPr>
      <w:kern w:val="0"/>
      <w:szCs w:val="20"/>
    </w:rPr>
  </w:style>
  <w:style w:type="paragraph" w:styleId="20">
    <w:name w:val="E-mail Signature"/>
    <w:basedOn w:val="1"/>
    <w:link w:val="116"/>
    <w:uiPriority w:val="0"/>
    <w:pPr>
      <w:adjustRightInd w:val="0"/>
      <w:spacing w:line="360" w:lineRule="auto"/>
      <w:ind w:firstLine="561" w:firstLineChars="200"/>
      <w:textAlignment w:val="baseline"/>
    </w:pPr>
    <w:rPr>
      <w:kern w:val="0"/>
      <w:szCs w:val="20"/>
    </w:rPr>
  </w:style>
  <w:style w:type="paragraph" w:styleId="21">
    <w:name w:val="List Number"/>
    <w:basedOn w:val="1"/>
    <w:qFormat/>
    <w:uiPriority w:val="0"/>
    <w:pPr>
      <w:tabs>
        <w:tab w:val="left" w:pos="432"/>
      </w:tabs>
      <w:spacing w:line="460" w:lineRule="exact"/>
      <w:ind w:left="420" w:hanging="420" w:firstLineChars="200"/>
    </w:pPr>
    <w:rPr>
      <w:rFonts w:ascii="Calibri" w:hAnsi="Calibri"/>
      <w:szCs w:val="22"/>
    </w:rPr>
  </w:style>
  <w:style w:type="paragraph" w:styleId="22">
    <w:name w:val="caption"/>
    <w:basedOn w:val="1"/>
    <w:next w:val="1"/>
    <w:link w:val="117"/>
    <w:qFormat/>
    <w:uiPriority w:val="0"/>
    <w:pPr>
      <w:widowControl/>
      <w:spacing w:line="460" w:lineRule="exact"/>
      <w:ind w:firstLine="723" w:firstLineChars="200"/>
      <w:jc w:val="left"/>
    </w:pPr>
    <w:rPr>
      <w:rFonts w:ascii="Calibri" w:hAnsi="Calibri"/>
      <w:b/>
      <w:bCs/>
      <w:kern w:val="0"/>
      <w:sz w:val="18"/>
      <w:szCs w:val="18"/>
      <w:lang w:eastAsia="en-US" w:bidi="en-US"/>
    </w:rPr>
  </w:style>
  <w:style w:type="paragraph" w:styleId="23">
    <w:name w:val="index 5"/>
    <w:basedOn w:val="1"/>
    <w:next w:val="1"/>
    <w:qFormat/>
    <w:uiPriority w:val="0"/>
    <w:pPr>
      <w:spacing w:line="460" w:lineRule="exact"/>
      <w:ind w:left="800" w:leftChars="800" w:firstLine="723" w:firstLineChars="200"/>
    </w:pPr>
    <w:rPr>
      <w:kern w:val="0"/>
      <w:szCs w:val="20"/>
    </w:rPr>
  </w:style>
  <w:style w:type="paragraph" w:styleId="24">
    <w:name w:val="List Bullet"/>
    <w:basedOn w:val="1"/>
    <w:qFormat/>
    <w:uiPriority w:val="0"/>
    <w:pPr>
      <w:tabs>
        <w:tab w:val="left" w:pos="360"/>
      </w:tabs>
      <w:spacing w:line="460" w:lineRule="exact"/>
      <w:ind w:left="360" w:hanging="360" w:firstLineChars="200"/>
    </w:pPr>
    <w:rPr>
      <w:szCs w:val="20"/>
    </w:rPr>
  </w:style>
  <w:style w:type="paragraph" w:styleId="25">
    <w:name w:val="envelope address"/>
    <w:basedOn w:val="1"/>
    <w:qFormat/>
    <w:uiPriority w:val="0"/>
    <w:pPr>
      <w:adjustRightInd w:val="0"/>
      <w:snapToGrid w:val="0"/>
      <w:spacing w:line="360" w:lineRule="auto"/>
      <w:ind w:left="100" w:leftChars="1400" w:firstLine="561" w:firstLineChars="200"/>
      <w:textAlignment w:val="baseline"/>
    </w:pPr>
    <w:rPr>
      <w:rFonts w:ascii="Arial" w:hAnsi="Arial" w:cs="Arial"/>
      <w:kern w:val="0"/>
      <w:szCs w:val="20"/>
    </w:rPr>
  </w:style>
  <w:style w:type="paragraph" w:styleId="26">
    <w:name w:val="Document Map"/>
    <w:basedOn w:val="1"/>
    <w:link w:val="118"/>
    <w:qFormat/>
    <w:uiPriority w:val="0"/>
    <w:pPr>
      <w:shd w:val="clear" w:color="auto" w:fill="000080"/>
    </w:pPr>
  </w:style>
  <w:style w:type="paragraph" w:styleId="27">
    <w:name w:val="annotation text"/>
    <w:basedOn w:val="1"/>
    <w:link w:val="119"/>
    <w:qFormat/>
    <w:uiPriority w:val="0"/>
    <w:pPr>
      <w:ind w:firstLine="200" w:firstLineChars="200"/>
      <w:jc w:val="left"/>
    </w:pPr>
    <w:rPr>
      <w:sz w:val="28"/>
    </w:rPr>
  </w:style>
  <w:style w:type="paragraph" w:styleId="28">
    <w:name w:val="index 6"/>
    <w:basedOn w:val="1"/>
    <w:next w:val="1"/>
    <w:qFormat/>
    <w:uiPriority w:val="0"/>
    <w:pPr>
      <w:spacing w:line="460" w:lineRule="exact"/>
      <w:ind w:left="1000" w:leftChars="1000" w:firstLine="723" w:firstLineChars="200"/>
    </w:pPr>
    <w:rPr>
      <w:kern w:val="0"/>
      <w:szCs w:val="20"/>
    </w:rPr>
  </w:style>
  <w:style w:type="paragraph" w:styleId="29">
    <w:name w:val="Salutation"/>
    <w:basedOn w:val="1"/>
    <w:next w:val="1"/>
    <w:link w:val="120"/>
    <w:qFormat/>
    <w:uiPriority w:val="0"/>
    <w:pPr>
      <w:adjustRightInd w:val="0"/>
      <w:spacing w:line="360" w:lineRule="auto"/>
      <w:ind w:firstLine="561" w:firstLineChars="200"/>
      <w:textAlignment w:val="baseline"/>
    </w:pPr>
    <w:rPr>
      <w:kern w:val="0"/>
      <w:szCs w:val="20"/>
    </w:rPr>
  </w:style>
  <w:style w:type="paragraph" w:styleId="30">
    <w:name w:val="Body Text 3"/>
    <w:basedOn w:val="1"/>
    <w:link w:val="121"/>
    <w:qFormat/>
    <w:uiPriority w:val="0"/>
    <w:pPr>
      <w:spacing w:after="120" w:line="460" w:lineRule="exact"/>
      <w:ind w:firstLine="723" w:firstLineChars="200"/>
    </w:pPr>
    <w:rPr>
      <w:sz w:val="16"/>
      <w:szCs w:val="16"/>
    </w:rPr>
  </w:style>
  <w:style w:type="paragraph" w:styleId="31">
    <w:name w:val="Closing"/>
    <w:basedOn w:val="1"/>
    <w:next w:val="1"/>
    <w:link w:val="122"/>
    <w:qFormat/>
    <w:uiPriority w:val="0"/>
    <w:pPr>
      <w:widowControl/>
      <w:spacing w:line="220" w:lineRule="atLeast"/>
      <w:ind w:firstLine="200" w:firstLineChars="200"/>
    </w:pPr>
    <w:rPr>
      <w:rFonts w:ascii="Garamond" w:hAnsi="Garamond"/>
      <w:kern w:val="0"/>
      <w:sz w:val="22"/>
      <w:szCs w:val="20"/>
      <w:shd w:val="clear" w:color="auto" w:fill="FFFFFF"/>
    </w:rPr>
  </w:style>
  <w:style w:type="paragraph" w:styleId="32">
    <w:name w:val="List Bullet 3"/>
    <w:basedOn w:val="1"/>
    <w:qFormat/>
    <w:uiPriority w:val="0"/>
    <w:pPr>
      <w:numPr>
        <w:ilvl w:val="0"/>
        <w:numId w:val="3"/>
      </w:numPr>
      <w:tabs>
        <w:tab w:val="left" w:pos="425"/>
        <w:tab w:val="left" w:pos="1258"/>
      </w:tabs>
      <w:spacing w:line="460" w:lineRule="exact"/>
      <w:ind w:firstLineChars="200"/>
    </w:pPr>
    <w:rPr>
      <w:rFonts w:ascii="Calibri" w:hAnsi="Calibri"/>
      <w:szCs w:val="22"/>
    </w:rPr>
  </w:style>
  <w:style w:type="paragraph" w:styleId="33">
    <w:name w:val="Body Text"/>
    <w:basedOn w:val="1"/>
    <w:next w:val="1"/>
    <w:link w:val="123"/>
    <w:qFormat/>
    <w:uiPriority w:val="0"/>
    <w:pPr>
      <w:adjustRightInd w:val="0"/>
      <w:snapToGrid w:val="0"/>
      <w:spacing w:line="520" w:lineRule="atLeast"/>
    </w:pPr>
    <w:rPr>
      <w:rFonts w:ascii="宋体" w:hAnsi="宋体"/>
      <w:kern w:val="0"/>
      <w:szCs w:val="32"/>
    </w:rPr>
  </w:style>
  <w:style w:type="paragraph" w:styleId="34">
    <w:name w:val="Body Text Indent"/>
    <w:basedOn w:val="1"/>
    <w:link w:val="124"/>
    <w:qFormat/>
    <w:uiPriority w:val="0"/>
    <w:pPr>
      <w:spacing w:before="240"/>
      <w:ind w:firstLine="538" w:firstLineChars="192"/>
    </w:pPr>
    <w:rPr>
      <w:rFonts w:ascii="宋体" w:hAnsi="宋体"/>
      <w:sz w:val="28"/>
    </w:rPr>
  </w:style>
  <w:style w:type="paragraph" w:styleId="35">
    <w:name w:val="List Number 3"/>
    <w:basedOn w:val="1"/>
    <w:qFormat/>
    <w:uiPriority w:val="0"/>
    <w:pPr>
      <w:numPr>
        <w:ilvl w:val="0"/>
        <w:numId w:val="1"/>
      </w:numPr>
      <w:tabs>
        <w:tab w:val="left" w:pos="432"/>
      </w:tabs>
      <w:spacing w:line="460" w:lineRule="exact"/>
      <w:ind w:firstLineChars="200"/>
    </w:pPr>
    <w:rPr>
      <w:rFonts w:ascii="Calibri" w:hAnsi="Calibri"/>
      <w:szCs w:val="22"/>
    </w:rPr>
  </w:style>
  <w:style w:type="paragraph" w:styleId="36">
    <w:name w:val="List 2"/>
    <w:basedOn w:val="1"/>
    <w:qFormat/>
    <w:uiPriority w:val="0"/>
    <w:pPr>
      <w:spacing w:line="312" w:lineRule="auto"/>
      <w:ind w:left="840" w:hanging="420" w:firstLineChars="200"/>
    </w:pPr>
    <w:rPr>
      <w:kern w:val="0"/>
      <w:szCs w:val="20"/>
    </w:rPr>
  </w:style>
  <w:style w:type="paragraph" w:styleId="37">
    <w:name w:val="List Continue"/>
    <w:basedOn w:val="1"/>
    <w:qFormat/>
    <w:uiPriority w:val="0"/>
    <w:pPr>
      <w:adjustRightInd w:val="0"/>
      <w:spacing w:after="120" w:line="360" w:lineRule="auto"/>
      <w:ind w:left="420" w:leftChars="200" w:firstLine="561" w:firstLineChars="200"/>
      <w:textAlignment w:val="baseline"/>
    </w:pPr>
    <w:rPr>
      <w:kern w:val="0"/>
      <w:szCs w:val="20"/>
    </w:rPr>
  </w:style>
  <w:style w:type="paragraph" w:styleId="38">
    <w:name w:val="Block Text"/>
    <w:basedOn w:val="1"/>
    <w:link w:val="125"/>
    <w:qFormat/>
    <w:uiPriority w:val="0"/>
    <w:pPr>
      <w:ind w:left="-57" w:right="-57"/>
      <w:jc w:val="center"/>
    </w:pPr>
    <w:rPr>
      <w:spacing w:val="-20"/>
      <w:szCs w:val="20"/>
    </w:rPr>
  </w:style>
  <w:style w:type="paragraph" w:styleId="39">
    <w:name w:val="List Bullet 2"/>
    <w:basedOn w:val="1"/>
    <w:qFormat/>
    <w:uiPriority w:val="0"/>
    <w:pPr>
      <w:numPr>
        <w:ilvl w:val="0"/>
        <w:numId w:val="4"/>
      </w:numPr>
      <w:tabs>
        <w:tab w:val="left" w:pos="989"/>
        <w:tab w:val="left" w:pos="1505"/>
      </w:tabs>
      <w:spacing w:line="460" w:lineRule="exact"/>
      <w:ind w:firstLineChars="200"/>
    </w:pPr>
    <w:rPr>
      <w:rFonts w:ascii="Calibri" w:hAnsi="Calibri"/>
      <w:szCs w:val="22"/>
    </w:rPr>
  </w:style>
  <w:style w:type="paragraph" w:styleId="40">
    <w:name w:val="HTML Address"/>
    <w:basedOn w:val="1"/>
    <w:link w:val="126"/>
    <w:qFormat/>
    <w:uiPriority w:val="0"/>
    <w:pPr>
      <w:spacing w:line="460" w:lineRule="exact"/>
      <w:ind w:firstLine="723" w:firstLineChars="200"/>
    </w:pPr>
    <w:rPr>
      <w:i/>
      <w:iCs/>
      <w:sz w:val="21"/>
      <w:szCs w:val="20"/>
    </w:rPr>
  </w:style>
  <w:style w:type="paragraph" w:styleId="41">
    <w:name w:val="index 4"/>
    <w:basedOn w:val="1"/>
    <w:next w:val="1"/>
    <w:qFormat/>
    <w:uiPriority w:val="0"/>
    <w:pPr>
      <w:spacing w:line="460" w:lineRule="exact"/>
      <w:ind w:left="600" w:leftChars="600" w:firstLine="723" w:firstLineChars="200"/>
    </w:pPr>
    <w:rPr>
      <w:kern w:val="0"/>
      <w:szCs w:val="20"/>
    </w:rPr>
  </w:style>
  <w:style w:type="paragraph" w:styleId="42">
    <w:name w:val="toc 5"/>
    <w:basedOn w:val="1"/>
    <w:next w:val="1"/>
    <w:qFormat/>
    <w:uiPriority w:val="39"/>
    <w:pPr>
      <w:spacing w:line="600" w:lineRule="exact"/>
      <w:ind w:left="1280" w:firstLine="200" w:firstLineChars="200"/>
      <w:jc w:val="left"/>
    </w:pPr>
    <w:rPr>
      <w:rFonts w:eastAsia="仿宋_GB2312"/>
      <w:kern w:val="0"/>
      <w:sz w:val="32"/>
      <w:szCs w:val="21"/>
    </w:rPr>
  </w:style>
  <w:style w:type="paragraph" w:styleId="43">
    <w:name w:val="toc 3"/>
    <w:basedOn w:val="1"/>
    <w:next w:val="1"/>
    <w:qFormat/>
    <w:uiPriority w:val="39"/>
    <w:pPr>
      <w:spacing w:line="600" w:lineRule="exact"/>
      <w:ind w:left="640" w:firstLine="200" w:firstLineChars="200"/>
      <w:jc w:val="left"/>
    </w:pPr>
    <w:rPr>
      <w:rFonts w:eastAsia="仿宋_GB2312"/>
      <w:i/>
      <w:iCs/>
      <w:kern w:val="0"/>
      <w:sz w:val="32"/>
    </w:rPr>
  </w:style>
  <w:style w:type="paragraph" w:styleId="44">
    <w:name w:val="Plain Text"/>
    <w:basedOn w:val="1"/>
    <w:link w:val="127"/>
    <w:qFormat/>
    <w:uiPriority w:val="99"/>
    <w:pPr>
      <w:snapToGrid w:val="0"/>
      <w:spacing w:line="280" w:lineRule="exact"/>
      <w:ind w:firstLine="200" w:firstLineChars="200"/>
      <w:jc w:val="center"/>
    </w:pPr>
    <w:rPr>
      <w:rFonts w:ascii="仿宋_GB2312" w:hAnsi="Courier New" w:eastAsia="仿宋_GB2312"/>
      <w:color w:val="000000"/>
      <w:szCs w:val="20"/>
    </w:rPr>
  </w:style>
  <w:style w:type="paragraph" w:styleId="45">
    <w:name w:val="List Bullet 5"/>
    <w:basedOn w:val="1"/>
    <w:qFormat/>
    <w:uiPriority w:val="0"/>
    <w:pPr>
      <w:numPr>
        <w:ilvl w:val="0"/>
        <w:numId w:val="5"/>
      </w:numPr>
      <w:tabs>
        <w:tab w:val="left" w:pos="360"/>
        <w:tab w:val="left" w:pos="425"/>
      </w:tabs>
      <w:spacing w:line="460" w:lineRule="exact"/>
      <w:ind w:firstLineChars="200"/>
    </w:pPr>
    <w:rPr>
      <w:rFonts w:ascii="Calibri" w:hAnsi="Calibri"/>
      <w:szCs w:val="22"/>
    </w:rPr>
  </w:style>
  <w:style w:type="paragraph" w:styleId="46">
    <w:name w:val="List Number 4"/>
    <w:basedOn w:val="1"/>
    <w:qFormat/>
    <w:uiPriority w:val="0"/>
    <w:pPr>
      <w:tabs>
        <w:tab w:val="left" w:pos="432"/>
      </w:tabs>
      <w:spacing w:line="460" w:lineRule="exact"/>
      <w:ind w:left="420" w:hanging="420" w:firstLineChars="200"/>
    </w:pPr>
    <w:rPr>
      <w:rFonts w:ascii="Calibri" w:hAnsi="Calibri"/>
      <w:szCs w:val="22"/>
    </w:rPr>
  </w:style>
  <w:style w:type="paragraph" w:styleId="47">
    <w:name w:val="toc 8"/>
    <w:basedOn w:val="1"/>
    <w:next w:val="1"/>
    <w:qFormat/>
    <w:uiPriority w:val="39"/>
    <w:pPr>
      <w:spacing w:line="600" w:lineRule="exact"/>
      <w:ind w:left="2240" w:firstLine="200" w:firstLineChars="200"/>
      <w:jc w:val="left"/>
    </w:pPr>
    <w:rPr>
      <w:rFonts w:eastAsia="仿宋_GB2312"/>
      <w:kern w:val="0"/>
      <w:sz w:val="32"/>
      <w:szCs w:val="21"/>
    </w:rPr>
  </w:style>
  <w:style w:type="paragraph" w:styleId="48">
    <w:name w:val="index 3"/>
    <w:basedOn w:val="1"/>
    <w:next w:val="1"/>
    <w:qFormat/>
    <w:uiPriority w:val="0"/>
    <w:pPr>
      <w:spacing w:line="460" w:lineRule="exact"/>
      <w:ind w:left="400" w:leftChars="400" w:firstLine="723" w:firstLineChars="200"/>
    </w:pPr>
    <w:rPr>
      <w:kern w:val="0"/>
      <w:szCs w:val="20"/>
    </w:rPr>
  </w:style>
  <w:style w:type="paragraph" w:styleId="49">
    <w:name w:val="Date"/>
    <w:basedOn w:val="1"/>
    <w:next w:val="1"/>
    <w:link w:val="128"/>
    <w:qFormat/>
    <w:uiPriority w:val="0"/>
    <w:pPr>
      <w:ind w:left="100" w:leftChars="2500"/>
    </w:pPr>
  </w:style>
  <w:style w:type="paragraph" w:styleId="50">
    <w:name w:val="Body Text Indent 2"/>
    <w:basedOn w:val="1"/>
    <w:link w:val="129"/>
    <w:qFormat/>
    <w:uiPriority w:val="0"/>
    <w:pPr>
      <w:spacing w:before="240"/>
      <w:ind w:firstLine="560" w:firstLineChars="200"/>
    </w:pPr>
    <w:rPr>
      <w:rFonts w:ascii="宋体" w:hAnsi="宋体"/>
      <w:sz w:val="28"/>
    </w:rPr>
  </w:style>
  <w:style w:type="paragraph" w:styleId="51">
    <w:name w:val="endnote text"/>
    <w:basedOn w:val="1"/>
    <w:link w:val="130"/>
    <w:qFormat/>
    <w:uiPriority w:val="0"/>
    <w:pPr>
      <w:adjustRightInd w:val="0"/>
      <w:snapToGrid w:val="0"/>
      <w:spacing w:before="156" w:beforeLines="50" w:after="156" w:afterLines="50" w:line="460" w:lineRule="exact"/>
      <w:ind w:firstLine="561" w:firstLineChars="200"/>
      <w:jc w:val="left"/>
      <w:textAlignment w:val="baseline"/>
    </w:pPr>
    <w:rPr>
      <w:kern w:val="0"/>
      <w:sz w:val="21"/>
      <w:szCs w:val="20"/>
    </w:rPr>
  </w:style>
  <w:style w:type="paragraph" w:styleId="52">
    <w:name w:val="List Continue 5"/>
    <w:basedOn w:val="1"/>
    <w:qFormat/>
    <w:uiPriority w:val="0"/>
    <w:pPr>
      <w:adjustRightInd w:val="0"/>
      <w:spacing w:after="120" w:line="360" w:lineRule="auto"/>
      <w:ind w:left="2100" w:leftChars="1000" w:firstLine="561" w:firstLineChars="200"/>
      <w:textAlignment w:val="baseline"/>
    </w:pPr>
    <w:rPr>
      <w:kern w:val="0"/>
      <w:szCs w:val="20"/>
    </w:rPr>
  </w:style>
  <w:style w:type="paragraph" w:styleId="53">
    <w:name w:val="Balloon Text"/>
    <w:basedOn w:val="1"/>
    <w:link w:val="131"/>
    <w:qFormat/>
    <w:uiPriority w:val="0"/>
    <w:rPr>
      <w:sz w:val="18"/>
      <w:szCs w:val="18"/>
    </w:rPr>
  </w:style>
  <w:style w:type="paragraph" w:styleId="54">
    <w:name w:val="footer"/>
    <w:basedOn w:val="1"/>
    <w:link w:val="132"/>
    <w:qFormat/>
    <w:uiPriority w:val="99"/>
    <w:pPr>
      <w:tabs>
        <w:tab w:val="center" w:pos="4153"/>
        <w:tab w:val="right" w:pos="8306"/>
      </w:tabs>
      <w:snapToGrid w:val="0"/>
      <w:jc w:val="left"/>
    </w:pPr>
    <w:rPr>
      <w:sz w:val="18"/>
      <w:szCs w:val="18"/>
    </w:rPr>
  </w:style>
  <w:style w:type="paragraph" w:styleId="55">
    <w:name w:val="envelope return"/>
    <w:basedOn w:val="1"/>
    <w:qFormat/>
    <w:uiPriority w:val="0"/>
    <w:pPr>
      <w:adjustRightInd w:val="0"/>
      <w:snapToGrid w:val="0"/>
      <w:spacing w:line="360" w:lineRule="auto"/>
      <w:ind w:firstLine="561" w:firstLineChars="200"/>
      <w:textAlignment w:val="baseline"/>
    </w:pPr>
    <w:rPr>
      <w:rFonts w:ascii="Arial" w:hAnsi="Arial" w:cs="Arial"/>
      <w:kern w:val="0"/>
      <w:szCs w:val="20"/>
    </w:rPr>
  </w:style>
  <w:style w:type="paragraph" w:styleId="56">
    <w:name w:val="header"/>
    <w:basedOn w:val="1"/>
    <w:link w:val="133"/>
    <w:qFormat/>
    <w:uiPriority w:val="0"/>
    <w:pPr>
      <w:pBdr>
        <w:bottom w:val="single" w:color="auto" w:sz="6" w:space="1"/>
      </w:pBdr>
      <w:tabs>
        <w:tab w:val="center" w:pos="4153"/>
        <w:tab w:val="right" w:pos="8306"/>
      </w:tabs>
      <w:snapToGrid w:val="0"/>
      <w:jc w:val="center"/>
    </w:pPr>
    <w:rPr>
      <w:sz w:val="18"/>
      <w:szCs w:val="18"/>
    </w:rPr>
  </w:style>
  <w:style w:type="paragraph" w:styleId="57">
    <w:name w:val="Signature"/>
    <w:basedOn w:val="1"/>
    <w:link w:val="134"/>
    <w:qFormat/>
    <w:uiPriority w:val="0"/>
    <w:pPr>
      <w:adjustRightInd w:val="0"/>
      <w:spacing w:line="360" w:lineRule="auto"/>
      <w:ind w:left="100" w:leftChars="2100" w:firstLine="561" w:firstLineChars="200"/>
      <w:textAlignment w:val="baseline"/>
    </w:pPr>
    <w:rPr>
      <w:kern w:val="0"/>
      <w:szCs w:val="20"/>
    </w:rPr>
  </w:style>
  <w:style w:type="paragraph" w:styleId="58">
    <w:name w:val="toc 1"/>
    <w:basedOn w:val="1"/>
    <w:next w:val="1"/>
    <w:qFormat/>
    <w:uiPriority w:val="39"/>
  </w:style>
  <w:style w:type="paragraph" w:styleId="59">
    <w:name w:val="List Continue 4"/>
    <w:basedOn w:val="1"/>
    <w:qFormat/>
    <w:uiPriority w:val="0"/>
    <w:pPr>
      <w:adjustRightInd w:val="0"/>
      <w:spacing w:after="120" w:line="360" w:lineRule="auto"/>
      <w:ind w:left="1680" w:leftChars="800" w:firstLine="561" w:firstLineChars="200"/>
      <w:textAlignment w:val="baseline"/>
    </w:pPr>
    <w:rPr>
      <w:kern w:val="0"/>
      <w:szCs w:val="20"/>
    </w:rPr>
  </w:style>
  <w:style w:type="paragraph" w:styleId="60">
    <w:name w:val="toc 4"/>
    <w:basedOn w:val="1"/>
    <w:next w:val="1"/>
    <w:qFormat/>
    <w:uiPriority w:val="39"/>
    <w:pPr>
      <w:spacing w:line="600" w:lineRule="exact"/>
      <w:ind w:left="960" w:firstLine="200" w:firstLineChars="200"/>
      <w:jc w:val="left"/>
    </w:pPr>
    <w:rPr>
      <w:rFonts w:eastAsia="仿宋_GB2312"/>
      <w:kern w:val="0"/>
      <w:sz w:val="32"/>
      <w:szCs w:val="21"/>
    </w:rPr>
  </w:style>
  <w:style w:type="paragraph" w:styleId="61">
    <w:name w:val="index heading"/>
    <w:basedOn w:val="1"/>
    <w:next w:val="62"/>
    <w:qFormat/>
    <w:uiPriority w:val="0"/>
    <w:pPr>
      <w:adjustRightInd w:val="0"/>
      <w:spacing w:line="360" w:lineRule="auto"/>
      <w:ind w:firstLine="561" w:firstLineChars="200"/>
      <w:textAlignment w:val="baseline"/>
    </w:pPr>
    <w:rPr>
      <w:kern w:val="0"/>
      <w:szCs w:val="20"/>
    </w:rPr>
  </w:style>
  <w:style w:type="paragraph" w:styleId="62">
    <w:name w:val="index 1"/>
    <w:basedOn w:val="1"/>
    <w:next w:val="1"/>
    <w:qFormat/>
    <w:uiPriority w:val="0"/>
    <w:pPr>
      <w:spacing w:line="460" w:lineRule="exact"/>
      <w:ind w:firstLine="723" w:firstLineChars="200"/>
      <w:jc w:val="center"/>
    </w:pPr>
    <w:rPr>
      <w:szCs w:val="20"/>
    </w:rPr>
  </w:style>
  <w:style w:type="paragraph" w:styleId="63">
    <w:name w:val="Subtitle"/>
    <w:basedOn w:val="1"/>
    <w:next w:val="1"/>
    <w:link w:val="135"/>
    <w:qFormat/>
    <w:uiPriority w:val="0"/>
    <w:pPr>
      <w:spacing w:before="240" w:after="60" w:line="312" w:lineRule="atLeast"/>
      <w:ind w:firstLine="200" w:firstLineChars="200"/>
      <w:jc w:val="center"/>
      <w:outlineLvl w:val="1"/>
    </w:pPr>
    <w:rPr>
      <w:rFonts w:ascii="Cambria" w:hAnsi="Cambria"/>
      <w:b/>
      <w:bCs/>
      <w:kern w:val="28"/>
      <w:sz w:val="32"/>
      <w:szCs w:val="32"/>
    </w:rPr>
  </w:style>
  <w:style w:type="paragraph" w:styleId="64">
    <w:name w:val="List Number 5"/>
    <w:basedOn w:val="1"/>
    <w:qFormat/>
    <w:uiPriority w:val="0"/>
    <w:pPr>
      <w:numPr>
        <w:ilvl w:val="0"/>
        <w:numId w:val="6"/>
      </w:numPr>
      <w:tabs>
        <w:tab w:val="left" w:pos="1455"/>
        <w:tab w:val="left" w:pos="2625"/>
      </w:tabs>
      <w:spacing w:line="460" w:lineRule="exact"/>
      <w:ind w:firstLineChars="200"/>
    </w:pPr>
    <w:rPr>
      <w:rFonts w:ascii="Calibri" w:hAnsi="Calibri"/>
      <w:szCs w:val="22"/>
    </w:rPr>
  </w:style>
  <w:style w:type="paragraph" w:styleId="65">
    <w:name w:val="List"/>
    <w:basedOn w:val="36"/>
    <w:next w:val="1"/>
    <w:qFormat/>
    <w:uiPriority w:val="0"/>
    <w:pPr>
      <w:spacing w:before="240" w:after="60"/>
      <w:ind w:left="0" w:firstLine="0"/>
      <w:jc w:val="center"/>
    </w:pPr>
  </w:style>
  <w:style w:type="paragraph" w:styleId="66">
    <w:name w:val="toc 6"/>
    <w:basedOn w:val="1"/>
    <w:next w:val="1"/>
    <w:qFormat/>
    <w:uiPriority w:val="39"/>
    <w:pPr>
      <w:spacing w:line="600" w:lineRule="exact"/>
      <w:ind w:left="1600" w:firstLine="200" w:firstLineChars="200"/>
      <w:jc w:val="left"/>
    </w:pPr>
    <w:rPr>
      <w:rFonts w:eastAsia="仿宋_GB2312"/>
      <w:kern w:val="0"/>
      <w:sz w:val="32"/>
      <w:szCs w:val="21"/>
    </w:rPr>
  </w:style>
  <w:style w:type="paragraph" w:styleId="67">
    <w:name w:val="List 5"/>
    <w:basedOn w:val="1"/>
    <w:qFormat/>
    <w:uiPriority w:val="0"/>
    <w:pPr>
      <w:adjustRightInd w:val="0"/>
      <w:spacing w:line="360" w:lineRule="auto"/>
      <w:ind w:left="100" w:leftChars="800" w:hanging="200" w:hangingChars="200"/>
      <w:textAlignment w:val="baseline"/>
    </w:pPr>
    <w:rPr>
      <w:kern w:val="0"/>
      <w:szCs w:val="20"/>
    </w:rPr>
  </w:style>
  <w:style w:type="paragraph" w:styleId="68">
    <w:name w:val="Body Text Indent 3"/>
    <w:basedOn w:val="1"/>
    <w:link w:val="136"/>
    <w:qFormat/>
    <w:uiPriority w:val="0"/>
    <w:pPr>
      <w:spacing w:line="640" w:lineRule="exact"/>
      <w:ind w:firstLine="538" w:firstLineChars="192"/>
      <w:jc w:val="left"/>
    </w:pPr>
    <w:rPr>
      <w:rFonts w:ascii="宋体" w:hAnsi="宋体"/>
      <w:sz w:val="28"/>
    </w:rPr>
  </w:style>
  <w:style w:type="paragraph" w:styleId="69">
    <w:name w:val="index 7"/>
    <w:basedOn w:val="1"/>
    <w:next w:val="1"/>
    <w:qFormat/>
    <w:uiPriority w:val="0"/>
    <w:pPr>
      <w:spacing w:line="460" w:lineRule="exact"/>
      <w:ind w:left="1200" w:leftChars="1200" w:firstLine="723" w:firstLineChars="200"/>
    </w:pPr>
    <w:rPr>
      <w:kern w:val="0"/>
      <w:szCs w:val="20"/>
    </w:rPr>
  </w:style>
  <w:style w:type="paragraph" w:styleId="70">
    <w:name w:val="index 9"/>
    <w:basedOn w:val="1"/>
    <w:next w:val="1"/>
    <w:qFormat/>
    <w:uiPriority w:val="0"/>
    <w:pPr>
      <w:spacing w:line="460" w:lineRule="exact"/>
      <w:ind w:left="1600" w:leftChars="1600" w:firstLine="723" w:firstLineChars="200"/>
    </w:pPr>
    <w:rPr>
      <w:kern w:val="0"/>
      <w:szCs w:val="20"/>
    </w:rPr>
  </w:style>
  <w:style w:type="paragraph" w:styleId="71">
    <w:name w:val="table of figures"/>
    <w:basedOn w:val="1"/>
    <w:next w:val="1"/>
    <w:qFormat/>
    <w:uiPriority w:val="0"/>
    <w:pPr>
      <w:spacing w:line="460" w:lineRule="exact"/>
      <w:ind w:leftChars="200" w:hanging="200" w:hangingChars="200"/>
    </w:pPr>
  </w:style>
  <w:style w:type="paragraph" w:styleId="72">
    <w:name w:val="toc 2"/>
    <w:basedOn w:val="1"/>
    <w:next w:val="1"/>
    <w:qFormat/>
    <w:uiPriority w:val="39"/>
    <w:pPr>
      <w:ind w:left="420" w:leftChars="200"/>
    </w:pPr>
  </w:style>
  <w:style w:type="paragraph" w:styleId="73">
    <w:name w:val="toc 9"/>
    <w:basedOn w:val="1"/>
    <w:next w:val="1"/>
    <w:qFormat/>
    <w:uiPriority w:val="39"/>
    <w:pPr>
      <w:spacing w:line="600" w:lineRule="exact"/>
      <w:ind w:left="2560" w:firstLine="200" w:firstLineChars="200"/>
      <w:jc w:val="left"/>
    </w:pPr>
    <w:rPr>
      <w:rFonts w:eastAsia="仿宋_GB2312"/>
      <w:kern w:val="0"/>
      <w:sz w:val="32"/>
      <w:szCs w:val="21"/>
    </w:rPr>
  </w:style>
  <w:style w:type="paragraph" w:styleId="74">
    <w:name w:val="Body Text 2"/>
    <w:basedOn w:val="1"/>
    <w:link w:val="137"/>
    <w:qFormat/>
    <w:uiPriority w:val="0"/>
    <w:pPr>
      <w:tabs>
        <w:tab w:val="left" w:pos="2220"/>
      </w:tabs>
      <w:spacing w:line="600" w:lineRule="exact"/>
    </w:pPr>
    <w:rPr>
      <w:rFonts w:ascii="仿宋_GB2312" w:eastAsia="仿宋_GB2312"/>
      <w:kern w:val="0"/>
      <w:sz w:val="32"/>
      <w:szCs w:val="20"/>
    </w:rPr>
  </w:style>
  <w:style w:type="paragraph" w:styleId="75">
    <w:name w:val="List 4"/>
    <w:basedOn w:val="1"/>
    <w:qFormat/>
    <w:uiPriority w:val="0"/>
    <w:pPr>
      <w:adjustRightInd w:val="0"/>
      <w:spacing w:line="360" w:lineRule="auto"/>
      <w:ind w:left="100" w:leftChars="600" w:hanging="200" w:hangingChars="200"/>
      <w:textAlignment w:val="baseline"/>
    </w:pPr>
    <w:rPr>
      <w:kern w:val="0"/>
      <w:szCs w:val="20"/>
    </w:rPr>
  </w:style>
  <w:style w:type="paragraph" w:styleId="76">
    <w:name w:val="List Continue 2"/>
    <w:basedOn w:val="1"/>
    <w:qFormat/>
    <w:uiPriority w:val="0"/>
    <w:pPr>
      <w:adjustRightInd w:val="0"/>
      <w:spacing w:after="120" w:line="360" w:lineRule="auto"/>
      <w:ind w:left="840" w:leftChars="400" w:firstLine="561" w:firstLineChars="200"/>
      <w:textAlignment w:val="baseline"/>
    </w:pPr>
    <w:rPr>
      <w:kern w:val="0"/>
      <w:szCs w:val="20"/>
    </w:rPr>
  </w:style>
  <w:style w:type="paragraph" w:styleId="77">
    <w:name w:val="Message Header"/>
    <w:basedOn w:val="1"/>
    <w:link w:val="138"/>
    <w:qFormat/>
    <w:uiPriority w:val="0"/>
    <w:pPr>
      <w:pBdr>
        <w:top w:val="single" w:color="auto" w:sz="6" w:space="1"/>
        <w:left w:val="single" w:color="auto" w:sz="6" w:space="1"/>
        <w:bottom w:val="single" w:color="auto" w:sz="6" w:space="1"/>
        <w:right w:val="single" w:color="auto" w:sz="6" w:space="1"/>
      </w:pBdr>
      <w:shd w:val="pct20" w:color="auto" w:fill="auto"/>
      <w:adjustRightInd w:val="0"/>
      <w:spacing w:line="360" w:lineRule="auto"/>
      <w:ind w:left="1080" w:leftChars="500" w:hanging="1080" w:hangingChars="500"/>
      <w:textAlignment w:val="baseline"/>
    </w:pPr>
    <w:rPr>
      <w:rFonts w:ascii="Arial" w:hAnsi="Arial"/>
      <w:kern w:val="0"/>
    </w:rPr>
  </w:style>
  <w:style w:type="paragraph" w:styleId="78">
    <w:name w:val="HTML Preformatted"/>
    <w:basedOn w:val="1"/>
    <w:link w:val="139"/>
    <w:qFormat/>
    <w:uiPriority w:val="0"/>
    <w:pPr>
      <w:adjustRightInd w:val="0"/>
      <w:spacing w:line="360" w:lineRule="auto"/>
      <w:ind w:firstLine="561" w:firstLineChars="200"/>
      <w:textAlignment w:val="baseline"/>
    </w:pPr>
    <w:rPr>
      <w:rFonts w:ascii="Courier New" w:hAnsi="Courier New"/>
      <w:kern w:val="0"/>
      <w:sz w:val="20"/>
      <w:szCs w:val="20"/>
    </w:rPr>
  </w:style>
  <w:style w:type="paragraph" w:styleId="79">
    <w:name w:val="Normal (Web)"/>
    <w:basedOn w:val="1"/>
    <w:qFormat/>
    <w:uiPriority w:val="0"/>
    <w:pPr>
      <w:widowControl/>
      <w:spacing w:before="100" w:beforeAutospacing="1" w:after="100" w:afterAutospacing="1"/>
      <w:jc w:val="left"/>
    </w:pPr>
    <w:rPr>
      <w:rFonts w:ascii="宋体" w:hAnsi="宋体" w:cs="宋体"/>
      <w:kern w:val="0"/>
    </w:rPr>
  </w:style>
  <w:style w:type="paragraph" w:styleId="80">
    <w:name w:val="List Continue 3"/>
    <w:basedOn w:val="1"/>
    <w:qFormat/>
    <w:uiPriority w:val="0"/>
    <w:pPr>
      <w:adjustRightInd w:val="0"/>
      <w:spacing w:after="120" w:line="360" w:lineRule="auto"/>
      <w:ind w:left="1260" w:leftChars="600" w:firstLine="561" w:firstLineChars="200"/>
      <w:textAlignment w:val="baseline"/>
    </w:pPr>
    <w:rPr>
      <w:kern w:val="0"/>
      <w:szCs w:val="20"/>
    </w:rPr>
  </w:style>
  <w:style w:type="paragraph" w:styleId="81">
    <w:name w:val="index 2"/>
    <w:basedOn w:val="1"/>
    <w:next w:val="1"/>
    <w:qFormat/>
    <w:uiPriority w:val="0"/>
    <w:pPr>
      <w:spacing w:line="460" w:lineRule="exact"/>
      <w:ind w:left="200" w:leftChars="200" w:firstLine="723" w:firstLineChars="200"/>
    </w:pPr>
    <w:rPr>
      <w:kern w:val="0"/>
      <w:szCs w:val="20"/>
    </w:rPr>
  </w:style>
  <w:style w:type="paragraph" w:styleId="82">
    <w:name w:val="Title"/>
    <w:basedOn w:val="1"/>
    <w:next w:val="1"/>
    <w:link w:val="140"/>
    <w:qFormat/>
    <w:uiPriority w:val="0"/>
    <w:pPr>
      <w:spacing w:before="240" w:after="60" w:line="460" w:lineRule="exact"/>
      <w:ind w:firstLine="723" w:firstLineChars="200"/>
      <w:jc w:val="center"/>
      <w:outlineLvl w:val="0"/>
    </w:pPr>
    <w:rPr>
      <w:rFonts w:ascii="Cambria" w:hAnsi="Cambria"/>
      <w:b/>
      <w:bCs/>
      <w:sz w:val="32"/>
      <w:szCs w:val="32"/>
    </w:rPr>
  </w:style>
  <w:style w:type="paragraph" w:styleId="83">
    <w:name w:val="annotation subject"/>
    <w:basedOn w:val="27"/>
    <w:next w:val="27"/>
    <w:link w:val="141"/>
    <w:qFormat/>
    <w:uiPriority w:val="0"/>
    <w:pPr>
      <w:adjustRightInd w:val="0"/>
      <w:snapToGrid w:val="0"/>
      <w:spacing w:line="360" w:lineRule="auto"/>
    </w:pPr>
    <w:rPr>
      <w:b/>
      <w:bCs/>
    </w:rPr>
  </w:style>
  <w:style w:type="paragraph" w:styleId="84">
    <w:name w:val="Body Text First Indent"/>
    <w:basedOn w:val="33"/>
    <w:link w:val="142"/>
    <w:qFormat/>
    <w:uiPriority w:val="0"/>
    <w:pPr>
      <w:adjustRightInd/>
      <w:snapToGrid/>
      <w:spacing w:after="120" w:line="567" w:lineRule="exact"/>
      <w:ind w:firstLine="567"/>
    </w:pPr>
    <w:rPr>
      <w:rFonts w:ascii="Times New Roman" w:hAnsi="Times New Roman"/>
      <w:spacing w:val="-10"/>
      <w:szCs w:val="20"/>
    </w:rPr>
  </w:style>
  <w:style w:type="paragraph" w:styleId="85">
    <w:name w:val="Body Text First Indent 2"/>
    <w:basedOn w:val="34"/>
    <w:link w:val="143"/>
    <w:qFormat/>
    <w:uiPriority w:val="0"/>
    <w:pPr>
      <w:spacing w:before="0" w:after="120" w:line="460" w:lineRule="exact"/>
      <w:ind w:left="420" w:leftChars="200" w:firstLine="420" w:firstLineChars="200"/>
    </w:pPr>
    <w:rPr>
      <w:rFonts w:ascii="Times New Roman" w:hAnsi="Times New Roman"/>
      <w:sz w:val="21"/>
    </w:rPr>
  </w:style>
  <w:style w:type="table" w:styleId="87">
    <w:name w:val="Table Grid"/>
    <w:basedOn w:val="8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9">
    <w:name w:val="Strong"/>
    <w:qFormat/>
    <w:uiPriority w:val="0"/>
    <w:rPr>
      <w:b/>
      <w:bCs/>
    </w:rPr>
  </w:style>
  <w:style w:type="character" w:styleId="90">
    <w:name w:val="page number"/>
    <w:basedOn w:val="88"/>
    <w:qFormat/>
    <w:uiPriority w:val="0"/>
  </w:style>
  <w:style w:type="character" w:styleId="91">
    <w:name w:val="FollowedHyperlink"/>
    <w:qFormat/>
    <w:uiPriority w:val="99"/>
    <w:rPr>
      <w:color w:val="800080"/>
      <w:u w:val="single"/>
    </w:rPr>
  </w:style>
  <w:style w:type="character" w:styleId="92">
    <w:name w:val="Emphasis"/>
    <w:qFormat/>
    <w:uiPriority w:val="0"/>
    <w:rPr>
      <w:color w:val="CC0000"/>
    </w:rPr>
  </w:style>
  <w:style w:type="character" w:styleId="93">
    <w:name w:val="line number"/>
    <w:qFormat/>
    <w:uiPriority w:val="0"/>
    <w:rPr>
      <w:rFonts w:eastAsia="宋体"/>
      <w:kern w:val="2"/>
      <w:sz w:val="28"/>
      <w:szCs w:val="24"/>
      <w:lang w:val="en-US" w:eastAsia="zh-CN" w:bidi="ar-SA"/>
    </w:rPr>
  </w:style>
  <w:style w:type="character" w:styleId="94">
    <w:name w:val="HTML Definition"/>
    <w:qFormat/>
    <w:uiPriority w:val="0"/>
    <w:rPr>
      <w:rFonts w:eastAsia="宋体"/>
      <w:i/>
      <w:iCs/>
      <w:kern w:val="2"/>
      <w:sz w:val="28"/>
      <w:szCs w:val="24"/>
      <w:lang w:val="en-US" w:eastAsia="zh-CN" w:bidi="ar-SA"/>
    </w:rPr>
  </w:style>
  <w:style w:type="character" w:styleId="95">
    <w:name w:val="HTML Typewriter"/>
    <w:qFormat/>
    <w:uiPriority w:val="0"/>
    <w:rPr>
      <w:rFonts w:ascii="Courier New" w:hAnsi="Courier New" w:eastAsia="宋体" w:cs="Courier New"/>
      <w:kern w:val="2"/>
      <w:sz w:val="20"/>
      <w:szCs w:val="20"/>
      <w:lang w:val="en-US" w:eastAsia="zh-CN" w:bidi="ar-SA"/>
    </w:rPr>
  </w:style>
  <w:style w:type="character" w:styleId="96">
    <w:name w:val="HTML Acronym"/>
    <w:qFormat/>
    <w:uiPriority w:val="0"/>
    <w:rPr>
      <w:rFonts w:eastAsia="宋体"/>
      <w:kern w:val="2"/>
      <w:sz w:val="28"/>
      <w:szCs w:val="24"/>
      <w:lang w:val="en-US" w:eastAsia="zh-CN" w:bidi="ar-SA"/>
    </w:rPr>
  </w:style>
  <w:style w:type="character" w:styleId="97">
    <w:name w:val="HTML Variable"/>
    <w:qFormat/>
    <w:uiPriority w:val="0"/>
    <w:rPr>
      <w:rFonts w:eastAsia="宋体"/>
      <w:i/>
      <w:iCs/>
      <w:kern w:val="2"/>
      <w:sz w:val="28"/>
      <w:szCs w:val="24"/>
      <w:lang w:val="en-US" w:eastAsia="zh-CN" w:bidi="ar-SA"/>
    </w:rPr>
  </w:style>
  <w:style w:type="character" w:styleId="98">
    <w:name w:val="Hyperlink"/>
    <w:qFormat/>
    <w:uiPriority w:val="99"/>
    <w:rPr>
      <w:color w:val="0000FF"/>
      <w:u w:val="single"/>
    </w:rPr>
  </w:style>
  <w:style w:type="character" w:styleId="99">
    <w:name w:val="HTML Code"/>
    <w:qFormat/>
    <w:uiPriority w:val="0"/>
    <w:rPr>
      <w:rFonts w:ascii="Courier New" w:hAnsi="Courier New" w:eastAsia="宋体" w:cs="Courier New"/>
      <w:kern w:val="2"/>
      <w:sz w:val="20"/>
      <w:szCs w:val="20"/>
      <w:lang w:val="en-US" w:eastAsia="zh-CN" w:bidi="ar-SA"/>
    </w:rPr>
  </w:style>
  <w:style w:type="character" w:styleId="100">
    <w:name w:val="annotation reference"/>
    <w:qFormat/>
    <w:uiPriority w:val="0"/>
    <w:rPr>
      <w:sz w:val="21"/>
      <w:szCs w:val="21"/>
    </w:rPr>
  </w:style>
  <w:style w:type="character" w:styleId="101">
    <w:name w:val="HTML Cite"/>
    <w:qFormat/>
    <w:uiPriority w:val="0"/>
    <w:rPr>
      <w:rFonts w:eastAsia="宋体"/>
      <w:i/>
      <w:iCs/>
      <w:kern w:val="2"/>
      <w:sz w:val="28"/>
      <w:szCs w:val="24"/>
      <w:lang w:val="en-US" w:eastAsia="zh-CN" w:bidi="ar-SA"/>
    </w:rPr>
  </w:style>
  <w:style w:type="character" w:styleId="102">
    <w:name w:val="HTML Keyboard"/>
    <w:qFormat/>
    <w:uiPriority w:val="0"/>
    <w:rPr>
      <w:rFonts w:ascii="Courier New" w:hAnsi="Courier New" w:eastAsia="宋体" w:cs="Courier New"/>
      <w:kern w:val="2"/>
      <w:sz w:val="20"/>
      <w:szCs w:val="20"/>
      <w:lang w:val="en-US" w:eastAsia="zh-CN" w:bidi="ar-SA"/>
    </w:rPr>
  </w:style>
  <w:style w:type="character" w:styleId="103">
    <w:name w:val="HTML Sample"/>
    <w:qFormat/>
    <w:uiPriority w:val="0"/>
    <w:rPr>
      <w:rFonts w:ascii="Courier New" w:hAnsi="Courier New" w:eastAsia="宋体" w:cs="Courier New"/>
      <w:kern w:val="2"/>
      <w:sz w:val="28"/>
      <w:szCs w:val="24"/>
      <w:lang w:val="en-US" w:eastAsia="zh-CN" w:bidi="ar-SA"/>
    </w:rPr>
  </w:style>
  <w:style w:type="character" w:customStyle="1" w:styleId="104">
    <w:name w:val="宏文本 Char"/>
    <w:link w:val="3"/>
    <w:qFormat/>
    <w:uiPriority w:val="0"/>
    <w:rPr>
      <w:rFonts w:ascii="Courier New" w:hAnsi="Courier New" w:cs="Courier New"/>
      <w:sz w:val="24"/>
      <w:szCs w:val="24"/>
      <w:lang w:val="en-US" w:eastAsia="zh-CN" w:bidi="ar-SA"/>
    </w:rPr>
  </w:style>
  <w:style w:type="character" w:customStyle="1" w:styleId="105">
    <w:name w:val="标题 1 Char"/>
    <w:link w:val="4"/>
    <w:qFormat/>
    <w:uiPriority w:val="0"/>
    <w:rPr>
      <w:rFonts w:eastAsia="宋体"/>
      <w:b/>
      <w:bCs/>
      <w:kern w:val="44"/>
      <w:sz w:val="44"/>
      <w:szCs w:val="44"/>
      <w:lang w:val="en-US" w:eastAsia="zh-CN" w:bidi="ar-SA"/>
    </w:rPr>
  </w:style>
  <w:style w:type="character" w:customStyle="1" w:styleId="106">
    <w:name w:val="标题 2 Char1"/>
    <w:link w:val="5"/>
    <w:qFormat/>
    <w:uiPriority w:val="0"/>
    <w:rPr>
      <w:rFonts w:ascii="Arial" w:hAnsi="Arial" w:eastAsia="黑体"/>
      <w:b/>
      <w:bCs/>
      <w:kern w:val="2"/>
      <w:sz w:val="32"/>
      <w:szCs w:val="32"/>
    </w:rPr>
  </w:style>
  <w:style w:type="character" w:customStyle="1" w:styleId="107">
    <w:name w:val="标题 3 Char"/>
    <w:link w:val="6"/>
    <w:qFormat/>
    <w:uiPriority w:val="0"/>
    <w:rPr>
      <w:b/>
      <w:bCs/>
      <w:kern w:val="2"/>
      <w:sz w:val="28"/>
      <w:szCs w:val="28"/>
    </w:rPr>
  </w:style>
  <w:style w:type="character" w:customStyle="1" w:styleId="108">
    <w:name w:val="标题 4 Char"/>
    <w:link w:val="7"/>
    <w:qFormat/>
    <w:uiPriority w:val="0"/>
    <w:rPr>
      <w:rFonts w:ascii="华文中宋" w:hAnsi="Arial" w:eastAsia="华文中宋"/>
      <w:bCs/>
      <w:sz w:val="32"/>
      <w:szCs w:val="28"/>
    </w:rPr>
  </w:style>
  <w:style w:type="character" w:customStyle="1" w:styleId="109">
    <w:name w:val="标题 5 Char"/>
    <w:link w:val="8"/>
    <w:qFormat/>
    <w:uiPriority w:val="0"/>
    <w:rPr>
      <w:b/>
      <w:bCs/>
      <w:kern w:val="2"/>
      <w:sz w:val="28"/>
      <w:szCs w:val="28"/>
    </w:rPr>
  </w:style>
  <w:style w:type="character" w:customStyle="1" w:styleId="110">
    <w:name w:val="正文缩进 Char"/>
    <w:link w:val="9"/>
    <w:qFormat/>
    <w:uiPriority w:val="0"/>
    <w:rPr>
      <w:rFonts w:eastAsia="宋体"/>
      <w:kern w:val="2"/>
      <w:sz w:val="21"/>
      <w:szCs w:val="24"/>
      <w:lang w:val="en-US" w:eastAsia="zh-CN" w:bidi="ar-SA"/>
    </w:rPr>
  </w:style>
  <w:style w:type="character" w:customStyle="1" w:styleId="111">
    <w:name w:val="标题 6 Char"/>
    <w:link w:val="10"/>
    <w:qFormat/>
    <w:uiPriority w:val="0"/>
    <w:rPr>
      <w:rFonts w:ascii="Arial" w:hAnsi="Arial" w:eastAsia="黑体"/>
      <w:b/>
      <w:bCs/>
      <w:kern w:val="2"/>
      <w:sz w:val="24"/>
      <w:szCs w:val="24"/>
    </w:rPr>
  </w:style>
  <w:style w:type="character" w:customStyle="1" w:styleId="112">
    <w:name w:val="标题 7 Char"/>
    <w:link w:val="11"/>
    <w:qFormat/>
    <w:uiPriority w:val="0"/>
    <w:rPr>
      <w:b/>
      <w:bCs/>
      <w:kern w:val="2"/>
      <w:sz w:val="24"/>
      <w:szCs w:val="24"/>
    </w:rPr>
  </w:style>
  <w:style w:type="character" w:customStyle="1" w:styleId="113">
    <w:name w:val="标题 8 Char"/>
    <w:link w:val="12"/>
    <w:qFormat/>
    <w:uiPriority w:val="0"/>
    <w:rPr>
      <w:rFonts w:ascii="Arial" w:hAnsi="Arial" w:eastAsia="黑体"/>
      <w:kern w:val="2"/>
      <w:sz w:val="24"/>
      <w:szCs w:val="24"/>
    </w:rPr>
  </w:style>
  <w:style w:type="character" w:customStyle="1" w:styleId="114">
    <w:name w:val="标题 9 Char"/>
    <w:link w:val="13"/>
    <w:qFormat/>
    <w:uiPriority w:val="0"/>
    <w:rPr>
      <w:rFonts w:ascii="Arial" w:hAnsi="Arial" w:eastAsia="黑体"/>
      <w:kern w:val="2"/>
      <w:sz w:val="21"/>
      <w:szCs w:val="21"/>
    </w:rPr>
  </w:style>
  <w:style w:type="character" w:customStyle="1" w:styleId="115">
    <w:name w:val="注释标题 Char"/>
    <w:link w:val="17"/>
    <w:qFormat/>
    <w:uiPriority w:val="0"/>
    <w:rPr>
      <w:sz w:val="24"/>
    </w:rPr>
  </w:style>
  <w:style w:type="character" w:customStyle="1" w:styleId="116">
    <w:name w:val="电子邮件签名 Char"/>
    <w:link w:val="20"/>
    <w:qFormat/>
    <w:uiPriority w:val="0"/>
    <w:rPr>
      <w:sz w:val="24"/>
    </w:rPr>
  </w:style>
  <w:style w:type="character" w:customStyle="1" w:styleId="117">
    <w:name w:val="题注 Char"/>
    <w:link w:val="22"/>
    <w:qFormat/>
    <w:locked/>
    <w:uiPriority w:val="0"/>
    <w:rPr>
      <w:rFonts w:ascii="Calibri" w:hAnsi="Calibri"/>
      <w:b/>
      <w:bCs/>
      <w:sz w:val="18"/>
      <w:szCs w:val="18"/>
      <w:lang w:eastAsia="en-US" w:bidi="en-US"/>
    </w:rPr>
  </w:style>
  <w:style w:type="character" w:customStyle="1" w:styleId="118">
    <w:name w:val="文档结构图 Char"/>
    <w:link w:val="26"/>
    <w:qFormat/>
    <w:uiPriority w:val="0"/>
    <w:rPr>
      <w:kern w:val="2"/>
      <w:sz w:val="24"/>
      <w:szCs w:val="24"/>
      <w:shd w:val="clear" w:color="auto" w:fill="000080"/>
    </w:rPr>
  </w:style>
  <w:style w:type="character" w:customStyle="1" w:styleId="119">
    <w:name w:val="批注文字 Char1"/>
    <w:link w:val="27"/>
    <w:semiHidden/>
    <w:qFormat/>
    <w:uiPriority w:val="0"/>
    <w:rPr>
      <w:kern w:val="2"/>
      <w:sz w:val="28"/>
      <w:szCs w:val="24"/>
    </w:rPr>
  </w:style>
  <w:style w:type="character" w:customStyle="1" w:styleId="120">
    <w:name w:val="称呼 Char"/>
    <w:link w:val="29"/>
    <w:qFormat/>
    <w:uiPriority w:val="0"/>
    <w:rPr>
      <w:sz w:val="24"/>
    </w:rPr>
  </w:style>
  <w:style w:type="character" w:customStyle="1" w:styleId="121">
    <w:name w:val="正文文本 3 Char"/>
    <w:link w:val="30"/>
    <w:qFormat/>
    <w:uiPriority w:val="0"/>
    <w:rPr>
      <w:kern w:val="2"/>
      <w:sz w:val="16"/>
      <w:szCs w:val="16"/>
    </w:rPr>
  </w:style>
  <w:style w:type="character" w:customStyle="1" w:styleId="122">
    <w:name w:val="结束语 Char"/>
    <w:link w:val="31"/>
    <w:qFormat/>
    <w:uiPriority w:val="0"/>
    <w:rPr>
      <w:rFonts w:ascii="Garamond" w:hAnsi="Garamond"/>
      <w:sz w:val="22"/>
    </w:rPr>
  </w:style>
  <w:style w:type="character" w:customStyle="1" w:styleId="123">
    <w:name w:val="正文文本 Char"/>
    <w:link w:val="33"/>
    <w:qFormat/>
    <w:uiPriority w:val="0"/>
    <w:rPr>
      <w:rFonts w:ascii="宋体" w:hAnsi="宋体"/>
      <w:snapToGrid/>
      <w:sz w:val="24"/>
      <w:szCs w:val="32"/>
    </w:rPr>
  </w:style>
  <w:style w:type="character" w:customStyle="1" w:styleId="124">
    <w:name w:val="正文文本缩进 Char1"/>
    <w:link w:val="34"/>
    <w:qFormat/>
    <w:uiPriority w:val="0"/>
    <w:rPr>
      <w:rFonts w:ascii="宋体" w:hAnsi="宋体" w:eastAsia="宋体"/>
      <w:kern w:val="2"/>
      <w:sz w:val="28"/>
      <w:szCs w:val="24"/>
      <w:lang w:val="en-US" w:eastAsia="zh-CN" w:bidi="ar-SA"/>
    </w:rPr>
  </w:style>
  <w:style w:type="character" w:customStyle="1" w:styleId="125">
    <w:name w:val="文本块 Char"/>
    <w:link w:val="38"/>
    <w:qFormat/>
    <w:uiPriority w:val="0"/>
    <w:rPr>
      <w:spacing w:val="-20"/>
      <w:kern w:val="2"/>
      <w:sz w:val="24"/>
    </w:rPr>
  </w:style>
  <w:style w:type="character" w:customStyle="1" w:styleId="126">
    <w:name w:val="HTML 地址 Char"/>
    <w:link w:val="40"/>
    <w:qFormat/>
    <w:uiPriority w:val="0"/>
    <w:rPr>
      <w:i/>
      <w:iCs/>
      <w:kern w:val="2"/>
      <w:sz w:val="21"/>
    </w:rPr>
  </w:style>
  <w:style w:type="character" w:customStyle="1" w:styleId="127">
    <w:name w:val="纯文本 Char1"/>
    <w:link w:val="44"/>
    <w:qFormat/>
    <w:uiPriority w:val="99"/>
    <w:rPr>
      <w:rFonts w:ascii="仿宋_GB2312" w:hAnsi="Courier New" w:eastAsia="仿宋_GB2312"/>
      <w:color w:val="000000"/>
      <w:kern w:val="2"/>
      <w:sz w:val="24"/>
    </w:rPr>
  </w:style>
  <w:style w:type="character" w:customStyle="1" w:styleId="128">
    <w:name w:val="日期 Char"/>
    <w:link w:val="49"/>
    <w:qFormat/>
    <w:uiPriority w:val="0"/>
    <w:rPr>
      <w:kern w:val="2"/>
      <w:sz w:val="24"/>
      <w:szCs w:val="24"/>
    </w:rPr>
  </w:style>
  <w:style w:type="character" w:customStyle="1" w:styleId="129">
    <w:name w:val="正文文本缩进 2 Char"/>
    <w:link w:val="50"/>
    <w:qFormat/>
    <w:uiPriority w:val="0"/>
    <w:rPr>
      <w:rFonts w:ascii="宋体" w:hAnsi="宋体"/>
      <w:kern w:val="2"/>
      <w:sz w:val="28"/>
      <w:szCs w:val="24"/>
    </w:rPr>
  </w:style>
  <w:style w:type="character" w:customStyle="1" w:styleId="130">
    <w:name w:val="尾注文本 Char"/>
    <w:link w:val="51"/>
    <w:qFormat/>
    <w:uiPriority w:val="0"/>
    <w:rPr>
      <w:sz w:val="21"/>
    </w:rPr>
  </w:style>
  <w:style w:type="character" w:customStyle="1" w:styleId="131">
    <w:name w:val="批注框文本 Char"/>
    <w:link w:val="53"/>
    <w:qFormat/>
    <w:uiPriority w:val="0"/>
    <w:rPr>
      <w:kern w:val="2"/>
      <w:sz w:val="18"/>
      <w:szCs w:val="18"/>
    </w:rPr>
  </w:style>
  <w:style w:type="character" w:customStyle="1" w:styleId="132">
    <w:name w:val="页脚 Char"/>
    <w:link w:val="54"/>
    <w:qFormat/>
    <w:uiPriority w:val="99"/>
    <w:rPr>
      <w:kern w:val="2"/>
      <w:sz w:val="18"/>
      <w:szCs w:val="18"/>
    </w:rPr>
  </w:style>
  <w:style w:type="character" w:customStyle="1" w:styleId="133">
    <w:name w:val="页眉 Char"/>
    <w:link w:val="56"/>
    <w:qFormat/>
    <w:uiPriority w:val="0"/>
    <w:rPr>
      <w:kern w:val="2"/>
      <w:sz w:val="18"/>
      <w:szCs w:val="18"/>
    </w:rPr>
  </w:style>
  <w:style w:type="character" w:customStyle="1" w:styleId="134">
    <w:name w:val="签名 Char"/>
    <w:link w:val="57"/>
    <w:qFormat/>
    <w:uiPriority w:val="0"/>
    <w:rPr>
      <w:sz w:val="24"/>
    </w:rPr>
  </w:style>
  <w:style w:type="character" w:customStyle="1" w:styleId="135">
    <w:name w:val="副标题 Char"/>
    <w:link w:val="63"/>
    <w:qFormat/>
    <w:uiPriority w:val="0"/>
    <w:rPr>
      <w:rFonts w:ascii="Cambria" w:hAnsi="Cambria"/>
      <w:b/>
      <w:bCs/>
      <w:kern w:val="28"/>
      <w:sz w:val="32"/>
      <w:szCs w:val="32"/>
    </w:rPr>
  </w:style>
  <w:style w:type="character" w:customStyle="1" w:styleId="136">
    <w:name w:val="正文文本缩进 3 Char"/>
    <w:link w:val="68"/>
    <w:qFormat/>
    <w:uiPriority w:val="0"/>
    <w:rPr>
      <w:rFonts w:ascii="宋体" w:hAnsi="宋体"/>
      <w:kern w:val="2"/>
      <w:sz w:val="28"/>
      <w:szCs w:val="24"/>
    </w:rPr>
  </w:style>
  <w:style w:type="character" w:customStyle="1" w:styleId="137">
    <w:name w:val="正文文本 2 Char"/>
    <w:link w:val="74"/>
    <w:qFormat/>
    <w:uiPriority w:val="0"/>
    <w:rPr>
      <w:rFonts w:ascii="仿宋_GB2312" w:eastAsia="仿宋_GB2312"/>
      <w:sz w:val="32"/>
    </w:rPr>
  </w:style>
  <w:style w:type="character" w:customStyle="1" w:styleId="138">
    <w:name w:val="信息标题 Char"/>
    <w:link w:val="77"/>
    <w:qFormat/>
    <w:uiPriority w:val="0"/>
    <w:rPr>
      <w:rFonts w:ascii="Arial" w:hAnsi="Arial" w:cs="Arial"/>
      <w:sz w:val="24"/>
      <w:szCs w:val="24"/>
      <w:shd w:val="pct20" w:color="auto" w:fill="auto"/>
    </w:rPr>
  </w:style>
  <w:style w:type="character" w:customStyle="1" w:styleId="139">
    <w:name w:val="HTML 预设格式 Char"/>
    <w:link w:val="78"/>
    <w:qFormat/>
    <w:uiPriority w:val="0"/>
    <w:rPr>
      <w:rFonts w:ascii="Courier New" w:hAnsi="Courier New" w:cs="Courier New"/>
    </w:rPr>
  </w:style>
  <w:style w:type="character" w:customStyle="1" w:styleId="140">
    <w:name w:val="标题 Char"/>
    <w:link w:val="82"/>
    <w:qFormat/>
    <w:uiPriority w:val="0"/>
    <w:rPr>
      <w:rFonts w:ascii="Cambria" w:hAnsi="Cambria"/>
      <w:b/>
      <w:bCs/>
      <w:kern w:val="2"/>
      <w:sz w:val="32"/>
      <w:szCs w:val="32"/>
    </w:rPr>
  </w:style>
  <w:style w:type="character" w:customStyle="1" w:styleId="141">
    <w:name w:val="批注主题 Char"/>
    <w:link w:val="83"/>
    <w:qFormat/>
    <w:uiPriority w:val="0"/>
    <w:rPr>
      <w:b/>
      <w:bCs/>
      <w:kern w:val="2"/>
      <w:sz w:val="28"/>
      <w:szCs w:val="24"/>
    </w:rPr>
  </w:style>
  <w:style w:type="character" w:customStyle="1" w:styleId="142">
    <w:name w:val="正文首行缩进 Char"/>
    <w:link w:val="84"/>
    <w:qFormat/>
    <w:uiPriority w:val="0"/>
    <w:rPr>
      <w:spacing w:val="-10"/>
      <w:sz w:val="24"/>
    </w:rPr>
  </w:style>
  <w:style w:type="character" w:customStyle="1" w:styleId="143">
    <w:name w:val="正文首行缩进 2 Char"/>
    <w:link w:val="85"/>
    <w:qFormat/>
    <w:uiPriority w:val="0"/>
    <w:rPr>
      <w:kern w:val="2"/>
      <w:sz w:val="21"/>
      <w:szCs w:val="24"/>
    </w:rPr>
  </w:style>
  <w:style w:type="character" w:customStyle="1" w:styleId="144">
    <w:name w:val="黄龙溪正文粗 Char"/>
    <w:qFormat/>
    <w:uiPriority w:val="0"/>
    <w:rPr>
      <w:rFonts w:ascii="Arial" w:hAnsi="Arial" w:eastAsia="华文细黑"/>
      <w:b/>
      <w:kern w:val="2"/>
      <w:sz w:val="24"/>
      <w:szCs w:val="24"/>
      <w:lang w:val="en-US" w:eastAsia="zh-CN" w:bidi="ar-SA"/>
    </w:rPr>
  </w:style>
  <w:style w:type="character" w:customStyle="1" w:styleId="145">
    <w:name w:val="标题 1 Char1"/>
    <w:qFormat/>
    <w:uiPriority w:val="0"/>
    <w:rPr>
      <w:rFonts w:ascii="Arial" w:hAnsi="Arial" w:eastAsia="宋体" w:cs="Arial"/>
      <w:b/>
      <w:bCs/>
      <w:kern w:val="0"/>
      <w:sz w:val="32"/>
      <w:szCs w:val="44"/>
      <w:lang w:val="en-US" w:eastAsia="zh-CN" w:bidi="ar-SA"/>
    </w:rPr>
  </w:style>
  <w:style w:type="character" w:customStyle="1" w:styleId="146">
    <w:name w:val="textcontents1"/>
    <w:uiPriority w:val="0"/>
    <w:rPr>
      <w:color w:val="000000"/>
      <w:sz w:val="30"/>
      <w:szCs w:val="30"/>
    </w:rPr>
  </w:style>
  <w:style w:type="character" w:customStyle="1" w:styleId="147">
    <w:name w:val="font31"/>
    <w:qFormat/>
    <w:uiPriority w:val="0"/>
    <w:rPr>
      <w:rFonts w:hint="eastAsia" w:ascii="宋体" w:hAnsi="宋体" w:eastAsia="宋体" w:cs="宋体"/>
      <w:color w:val="000000"/>
      <w:sz w:val="21"/>
      <w:szCs w:val="21"/>
      <w:u w:val="none"/>
    </w:rPr>
  </w:style>
  <w:style w:type="character" w:customStyle="1" w:styleId="148">
    <w:name w:val="正文文本缩进 Char"/>
    <w:qFormat/>
    <w:uiPriority w:val="0"/>
    <w:rPr>
      <w:rFonts w:eastAsia="宋体"/>
      <w:kern w:val="2"/>
      <w:sz w:val="28"/>
      <w:szCs w:val="28"/>
      <w:lang w:val="en-US" w:eastAsia="zh-CN" w:bidi="ar-SA"/>
    </w:rPr>
  </w:style>
  <w:style w:type="character" w:customStyle="1" w:styleId="149">
    <w:name w:val="表头 + 加粗"/>
    <w:qFormat/>
    <w:uiPriority w:val="0"/>
    <w:rPr>
      <w:rFonts w:eastAsia="宋体"/>
      <w:b/>
      <w:bCs/>
      <w:color w:val="auto"/>
      <w:kern w:val="2"/>
      <w:sz w:val="28"/>
      <w:szCs w:val="28"/>
      <w:lang w:val="en-US" w:eastAsia="zh-CN" w:bidi="ar-SA"/>
    </w:rPr>
  </w:style>
  <w:style w:type="character" w:customStyle="1" w:styleId="150">
    <w:name w:val="批注主题 Char1"/>
    <w:qFormat/>
    <w:uiPriority w:val="0"/>
    <w:rPr>
      <w:b/>
      <w:bCs/>
      <w:kern w:val="2"/>
      <w:sz w:val="21"/>
      <w:szCs w:val="24"/>
    </w:rPr>
  </w:style>
  <w:style w:type="character" w:customStyle="1" w:styleId="151">
    <w:name w:val="注释标题 Char1"/>
    <w:uiPriority w:val="0"/>
    <w:rPr>
      <w:kern w:val="2"/>
      <w:sz w:val="21"/>
      <w:szCs w:val="24"/>
    </w:rPr>
  </w:style>
  <w:style w:type="character" w:customStyle="1" w:styleId="152">
    <w:name w:val="标题 1 Char Char"/>
    <w:uiPriority w:val="0"/>
    <w:rPr>
      <w:rFonts w:ascii="宋体" w:hAnsi="宋体" w:eastAsia="黑体"/>
      <w:b/>
      <w:color w:val="000000"/>
      <w:kern w:val="18"/>
      <w:sz w:val="32"/>
      <w:szCs w:val="21"/>
      <w:lang w:val="en-US" w:eastAsia="zh-CN" w:bidi="ar-SA"/>
    </w:rPr>
  </w:style>
  <w:style w:type="character" w:customStyle="1" w:styleId="153">
    <w:name w:val="f241"/>
    <w:qFormat/>
    <w:uiPriority w:val="0"/>
    <w:rPr>
      <w:rFonts w:eastAsia="宋体"/>
      <w:kern w:val="2"/>
      <w:sz w:val="36"/>
      <w:szCs w:val="36"/>
      <w:lang w:val="en-US" w:eastAsia="zh-CN" w:bidi="ar-SA"/>
    </w:rPr>
  </w:style>
  <w:style w:type="character" w:customStyle="1" w:styleId="154">
    <w:name w:val="表右齐 Char Char"/>
    <w:basedOn w:val="155"/>
    <w:link w:val="157"/>
    <w:uiPriority w:val="0"/>
  </w:style>
  <w:style w:type="character" w:customStyle="1" w:styleId="155">
    <w:name w:val="表中齐 Char Char"/>
    <w:link w:val="156"/>
    <w:uiPriority w:val="0"/>
    <w:rPr>
      <w:rFonts w:ascii="仿宋_GB2312" w:cs="仿宋_GB2312"/>
      <w:kern w:val="18"/>
      <w:sz w:val="24"/>
      <w:szCs w:val="24"/>
    </w:rPr>
  </w:style>
  <w:style w:type="paragraph" w:customStyle="1" w:styleId="156">
    <w:name w:val="表中齐"/>
    <w:basedOn w:val="1"/>
    <w:link w:val="155"/>
    <w:uiPriority w:val="0"/>
    <w:pPr>
      <w:adjustRightInd w:val="0"/>
      <w:snapToGrid w:val="0"/>
      <w:spacing w:line="460" w:lineRule="exact"/>
      <w:ind w:left="-54" w:leftChars="-23" w:right="-98" w:rightChars="-41" w:hanging="1" w:firstLineChars="200"/>
      <w:jc w:val="center"/>
    </w:pPr>
    <w:rPr>
      <w:rFonts w:ascii="仿宋_GB2312"/>
      <w:kern w:val="18"/>
      <w:shd w:val="clear" w:color="auto" w:fill="FFFFFF"/>
    </w:rPr>
  </w:style>
  <w:style w:type="paragraph" w:customStyle="1" w:styleId="157">
    <w:name w:val="表右齐"/>
    <w:basedOn w:val="156"/>
    <w:link w:val="154"/>
    <w:qFormat/>
    <w:uiPriority w:val="0"/>
    <w:pPr>
      <w:ind w:right="22" w:rightChars="8"/>
      <w:jc w:val="right"/>
    </w:pPr>
    <w:rPr>
      <w:rFonts w:cs="仿宋_GB2312"/>
    </w:rPr>
  </w:style>
  <w:style w:type="character" w:customStyle="1" w:styleId="158">
    <w:name w:val="表头中齐 Char"/>
    <w:basedOn w:val="159"/>
    <w:qFormat/>
    <w:uiPriority w:val="0"/>
  </w:style>
  <w:style w:type="character" w:customStyle="1" w:styleId="159">
    <w:name w:val="表头右齐 Char"/>
    <w:qFormat/>
    <w:uiPriority w:val="0"/>
    <w:rPr>
      <w:rFonts w:ascii="新宋体" w:hAnsi="新宋体" w:eastAsia="新宋体"/>
      <w:color w:val="0000FF"/>
      <w:kern w:val="2"/>
      <w:sz w:val="28"/>
      <w:szCs w:val="24"/>
      <w:shd w:val="clear" w:color="auto" w:fill="FFFFFF"/>
      <w:lang w:val="en-US" w:eastAsia="zh-CN" w:bidi="ar-SA"/>
    </w:rPr>
  </w:style>
  <w:style w:type="character" w:customStyle="1" w:styleId="160">
    <w:name w:val=" Char Char8"/>
    <w:semiHidden/>
    <w:qFormat/>
    <w:uiPriority w:val="99"/>
    <w:rPr>
      <w:rFonts w:ascii="仿宋_GB2312" w:hAnsi="仿宋_GB2312" w:eastAsia="仿宋_GB2312"/>
      <w:kern w:val="2"/>
      <w:sz w:val="32"/>
      <w:szCs w:val="22"/>
    </w:rPr>
  </w:style>
  <w:style w:type="character" w:customStyle="1" w:styleId="161">
    <w:name w:val="HTML 地址 Char1"/>
    <w:qFormat/>
    <w:uiPriority w:val="0"/>
    <w:rPr>
      <w:i/>
      <w:iCs/>
      <w:kern w:val="2"/>
      <w:sz w:val="21"/>
      <w:szCs w:val="24"/>
    </w:rPr>
  </w:style>
  <w:style w:type="character" w:customStyle="1" w:styleId="162">
    <w:name w:val="标题 Char1"/>
    <w:uiPriority w:val="0"/>
    <w:rPr>
      <w:rFonts w:ascii="Cambria" w:hAnsi="Cambria" w:cs="Times New Roman"/>
      <w:b/>
      <w:bCs/>
      <w:kern w:val="2"/>
      <w:sz w:val="32"/>
      <w:szCs w:val="32"/>
    </w:rPr>
  </w:style>
  <w:style w:type="character" w:customStyle="1" w:styleId="163">
    <w:name w:val="正文中齐 Char"/>
    <w:uiPriority w:val="0"/>
    <w:rPr>
      <w:rFonts w:ascii="宋体" w:hAnsi="宋体" w:eastAsia="宋体"/>
      <w:color w:val="000000"/>
      <w:kern w:val="16"/>
      <w:sz w:val="24"/>
      <w:szCs w:val="24"/>
      <w:lang w:val="en-US" w:eastAsia="zh-CN" w:bidi="ar-SA"/>
    </w:rPr>
  </w:style>
  <w:style w:type="character" w:customStyle="1" w:styleId="164">
    <w:name w:val="样式 标题  2 + (中文) 宋体 Char"/>
    <w:link w:val="165"/>
    <w:uiPriority w:val="0"/>
    <w:rPr>
      <w:rFonts w:cs="宋体"/>
      <w:b/>
      <w:kern w:val="2"/>
      <w:sz w:val="30"/>
    </w:rPr>
  </w:style>
  <w:style w:type="paragraph" w:customStyle="1" w:styleId="165">
    <w:name w:val="样式 标题  2 + (中文) 宋体"/>
    <w:basedOn w:val="166"/>
    <w:link w:val="164"/>
    <w:qFormat/>
    <w:uiPriority w:val="0"/>
    <w:rPr>
      <w:rFonts w:eastAsia="宋体"/>
    </w:rPr>
  </w:style>
  <w:style w:type="paragraph" w:customStyle="1" w:styleId="166">
    <w:name w:val="标题  2"/>
    <w:basedOn w:val="167"/>
    <w:link w:val="168"/>
    <w:uiPriority w:val="0"/>
    <w:pPr>
      <w:adjustRightInd w:val="0"/>
      <w:spacing w:before="120" w:beforeLines="50" w:after="120" w:afterLines="50"/>
    </w:pPr>
    <w:rPr>
      <w:rFonts w:eastAsia="黑体" w:cs="Times New Roman"/>
      <w:b/>
      <w:sz w:val="30"/>
    </w:rPr>
  </w:style>
  <w:style w:type="paragraph" w:customStyle="1" w:styleId="167">
    <w:name w:val="标题2"/>
    <w:basedOn w:val="5"/>
    <w:uiPriority w:val="0"/>
    <w:pPr>
      <w:spacing w:before="0" w:after="0" w:line="360" w:lineRule="auto"/>
      <w:ind w:firstLine="723" w:firstLineChars="200"/>
    </w:pPr>
    <w:rPr>
      <w:rFonts w:ascii="Times New Roman" w:hAnsi="Times New Roman" w:eastAsia="仿宋_GB2312" w:cs="宋体"/>
      <w:b w:val="0"/>
      <w:bCs w:val="0"/>
      <w:sz w:val="24"/>
      <w:szCs w:val="20"/>
    </w:rPr>
  </w:style>
  <w:style w:type="character" w:customStyle="1" w:styleId="168">
    <w:name w:val="标题  2 Char"/>
    <w:link w:val="166"/>
    <w:qFormat/>
    <w:uiPriority w:val="0"/>
    <w:rPr>
      <w:rFonts w:eastAsia="黑体" w:cs="宋体"/>
      <w:b/>
      <w:kern w:val="2"/>
      <w:sz w:val="30"/>
    </w:rPr>
  </w:style>
  <w:style w:type="character" w:customStyle="1" w:styleId="169">
    <w:name w:val="font141"/>
    <w:basedOn w:val="88"/>
    <w:uiPriority w:val="0"/>
    <w:rPr>
      <w:rFonts w:hint="default" w:ascii="Times New Roman" w:hAnsi="Times New Roman" w:cs="Times New Roman"/>
      <w:color w:val="000000"/>
      <w:sz w:val="22"/>
      <w:szCs w:val="22"/>
      <w:u w:val="none"/>
      <w:vertAlign w:val="superscript"/>
    </w:rPr>
  </w:style>
  <w:style w:type="character" w:customStyle="1" w:styleId="170">
    <w:name w:val="无间隔 Char"/>
    <w:link w:val="171"/>
    <w:qFormat/>
    <w:uiPriority w:val="0"/>
    <w:rPr>
      <w:rFonts w:ascii="Calibri" w:hAnsi="Calibri"/>
      <w:sz w:val="24"/>
      <w:szCs w:val="22"/>
      <w:lang w:val="en-US" w:eastAsia="zh-CN" w:bidi="ar-SA"/>
    </w:rPr>
  </w:style>
  <w:style w:type="paragraph" w:styleId="171">
    <w:name w:val="No Spacing"/>
    <w:link w:val="170"/>
    <w:qFormat/>
    <w:uiPriority w:val="0"/>
    <w:pPr>
      <w:adjustRightInd w:val="0"/>
      <w:snapToGrid w:val="0"/>
      <w:spacing w:line="240" w:lineRule="atLeast"/>
    </w:pPr>
    <w:rPr>
      <w:rFonts w:ascii="Calibri" w:hAnsi="Calibri" w:eastAsia="宋体" w:cs="Times New Roman"/>
      <w:sz w:val="24"/>
      <w:szCs w:val="22"/>
      <w:lang w:val="en-US" w:eastAsia="zh-CN" w:bidi="ar-SA"/>
    </w:rPr>
  </w:style>
  <w:style w:type="character" w:customStyle="1" w:styleId="172">
    <w:name w:val="font41"/>
    <w:qFormat/>
    <w:uiPriority w:val="0"/>
    <w:rPr>
      <w:rFonts w:hint="default" w:ascii="Times New Roman" w:hAnsi="Times New Roman" w:cs="Times New Roman"/>
      <w:color w:val="000000"/>
      <w:sz w:val="24"/>
      <w:szCs w:val="24"/>
      <w:u w:val="none"/>
    </w:rPr>
  </w:style>
  <w:style w:type="character" w:customStyle="1" w:styleId="173">
    <w:name w:val="正文首行缩进 2 Char1"/>
    <w:qFormat/>
    <w:uiPriority w:val="0"/>
    <w:rPr>
      <w:kern w:val="2"/>
      <w:sz w:val="21"/>
      <w:szCs w:val="24"/>
    </w:rPr>
  </w:style>
  <w:style w:type="character" w:customStyle="1" w:styleId="174">
    <w:name w:val="章 Char1"/>
    <w:uiPriority w:val="0"/>
    <w:rPr>
      <w:rFonts w:ascii="Times New Roman" w:hAnsi="Times New Roman" w:eastAsia="宋体" w:cs="Times New Roman"/>
      <w:b/>
      <w:bCs/>
      <w:kern w:val="44"/>
      <w:sz w:val="44"/>
      <w:szCs w:val="44"/>
    </w:rPr>
  </w:style>
  <w:style w:type="character" w:customStyle="1" w:styleId="175">
    <w:name w:val="font121"/>
    <w:basedOn w:val="88"/>
    <w:uiPriority w:val="0"/>
    <w:rPr>
      <w:rFonts w:hint="default" w:ascii="Times New Roman" w:hAnsi="Times New Roman" w:cs="Times New Roman"/>
      <w:color w:val="000000"/>
      <w:sz w:val="22"/>
      <w:szCs w:val="22"/>
      <w:u w:val="none"/>
      <w:vertAlign w:val="superscript"/>
    </w:rPr>
  </w:style>
  <w:style w:type="character" w:customStyle="1" w:styleId="176">
    <w:name w:val="正文2 Char Char"/>
    <w:link w:val="177"/>
    <w:uiPriority w:val="0"/>
    <w:rPr>
      <w:rFonts w:ascii="仿宋_GB2312" w:eastAsia="仿宋_GB2312"/>
      <w:sz w:val="32"/>
    </w:rPr>
  </w:style>
  <w:style w:type="paragraph" w:customStyle="1" w:styleId="177">
    <w:name w:val="正文2"/>
    <w:basedOn w:val="1"/>
    <w:next w:val="1"/>
    <w:link w:val="176"/>
    <w:uiPriority w:val="0"/>
    <w:pPr>
      <w:spacing w:line="600" w:lineRule="exact"/>
      <w:ind w:firstLine="585" w:firstLineChars="200"/>
    </w:pPr>
    <w:rPr>
      <w:rFonts w:ascii="仿宋_GB2312" w:eastAsia="仿宋_GB2312"/>
      <w:kern w:val="0"/>
      <w:sz w:val="32"/>
      <w:szCs w:val="20"/>
    </w:rPr>
  </w:style>
  <w:style w:type="character" w:customStyle="1" w:styleId="178">
    <w:name w:val="bhq Char"/>
    <w:qFormat/>
    <w:uiPriority w:val="0"/>
    <w:rPr>
      <w:rFonts w:eastAsia="宋体"/>
      <w:kern w:val="2"/>
      <w:sz w:val="28"/>
      <w:szCs w:val="24"/>
      <w:lang w:val="en-US" w:eastAsia="zh-CN" w:bidi="ar-SA"/>
    </w:rPr>
  </w:style>
  <w:style w:type="character" w:customStyle="1" w:styleId="179">
    <w:name w:val="副标题 Char1"/>
    <w:uiPriority w:val="11"/>
    <w:rPr>
      <w:rFonts w:ascii="Cambria" w:hAnsi="Cambria" w:cs="Times New Roman"/>
      <w:b/>
      <w:bCs/>
      <w:kern w:val="28"/>
      <w:sz w:val="32"/>
      <w:szCs w:val="32"/>
    </w:rPr>
  </w:style>
  <w:style w:type="character" w:customStyle="1" w:styleId="180">
    <w:name w:val="页脚 Char1"/>
    <w:qFormat/>
    <w:uiPriority w:val="0"/>
    <w:rPr>
      <w:rFonts w:hint="default" w:ascii="Calibri" w:hAnsi="Calibri" w:cs="黑体"/>
      <w:kern w:val="2"/>
      <w:sz w:val="18"/>
      <w:szCs w:val="18"/>
    </w:rPr>
  </w:style>
  <w:style w:type="character" w:customStyle="1" w:styleId="181">
    <w:name w:val="称呼 字符1"/>
    <w:qFormat/>
    <w:uiPriority w:val="0"/>
    <w:rPr>
      <w:kern w:val="2"/>
      <w:sz w:val="24"/>
      <w:szCs w:val="24"/>
    </w:rPr>
  </w:style>
  <w:style w:type="character" w:customStyle="1" w:styleId="182">
    <w:name w:val="引用 字符1"/>
    <w:uiPriority w:val="99"/>
    <w:rPr>
      <w:i/>
      <w:iCs/>
      <w:color w:val="404040"/>
      <w:kern w:val="2"/>
      <w:sz w:val="24"/>
      <w:szCs w:val="24"/>
    </w:rPr>
  </w:style>
  <w:style w:type="character" w:customStyle="1" w:styleId="183">
    <w:name w:val="表右齐 Char"/>
    <w:basedOn w:val="184"/>
    <w:uiPriority w:val="0"/>
  </w:style>
  <w:style w:type="character" w:customStyle="1" w:styleId="184">
    <w:name w:val="表中齐 Char"/>
    <w:qFormat/>
    <w:uiPriority w:val="0"/>
    <w:rPr>
      <w:rFonts w:ascii="仿宋_GB2312" w:eastAsia="宋体"/>
      <w:kern w:val="18"/>
      <w:sz w:val="24"/>
      <w:szCs w:val="24"/>
      <w:shd w:val="clear" w:color="auto" w:fill="FFFFFF"/>
      <w:lang w:val="en-US" w:eastAsia="zh-CN" w:bidi="ar-SA"/>
    </w:rPr>
  </w:style>
  <w:style w:type="character" w:customStyle="1" w:styleId="185">
    <w:name w:val="font171"/>
    <w:basedOn w:val="88"/>
    <w:qFormat/>
    <w:uiPriority w:val="0"/>
    <w:rPr>
      <w:rFonts w:hint="eastAsia" w:ascii="宋体" w:hAnsi="宋体" w:eastAsia="宋体" w:cs="宋体"/>
      <w:color w:val="000000"/>
      <w:sz w:val="22"/>
      <w:szCs w:val="22"/>
      <w:u w:val="none"/>
    </w:rPr>
  </w:style>
  <w:style w:type="character" w:customStyle="1" w:styleId="186">
    <w:name w:val="_Style 185"/>
    <w:qFormat/>
    <w:uiPriority w:val="0"/>
    <w:rPr>
      <w:rFonts w:ascii="Cambria" w:hAnsi="Cambria" w:eastAsia="宋体"/>
      <w:b/>
      <w:i/>
      <w:kern w:val="2"/>
      <w:sz w:val="24"/>
      <w:szCs w:val="24"/>
      <w:lang w:val="en-US" w:eastAsia="zh-CN" w:bidi="ar-SA"/>
    </w:rPr>
  </w:style>
  <w:style w:type="character" w:customStyle="1" w:styleId="187">
    <w:name w:val="表格 Char"/>
    <w:link w:val="188"/>
    <w:qFormat/>
    <w:uiPriority w:val="0"/>
    <w:rPr>
      <w:rFonts w:ascii="宋体" w:hAnsi="宋体"/>
      <w:kern w:val="2"/>
      <w:sz w:val="24"/>
      <w:szCs w:val="24"/>
    </w:rPr>
  </w:style>
  <w:style w:type="paragraph" w:customStyle="1" w:styleId="188">
    <w:name w:val="表格"/>
    <w:basedOn w:val="1"/>
    <w:link w:val="187"/>
    <w:uiPriority w:val="0"/>
    <w:pPr>
      <w:spacing w:line="264" w:lineRule="auto"/>
      <w:ind w:firstLine="723" w:firstLineChars="200"/>
      <w:jc w:val="center"/>
    </w:pPr>
    <w:rPr>
      <w:rFonts w:ascii="宋体" w:hAnsi="宋体"/>
    </w:rPr>
  </w:style>
  <w:style w:type="character" w:customStyle="1" w:styleId="189">
    <w:name w:val="h1"/>
    <w:qFormat/>
    <w:uiPriority w:val="0"/>
    <w:rPr>
      <w:rFonts w:eastAsia="宋体"/>
      <w:kern w:val="2"/>
      <w:sz w:val="28"/>
      <w:szCs w:val="24"/>
      <w:lang w:val="en-US" w:eastAsia="zh-CN" w:bidi="ar-SA"/>
    </w:rPr>
  </w:style>
  <w:style w:type="character" w:customStyle="1" w:styleId="190">
    <w:name w:val="font51"/>
    <w:qFormat/>
    <w:uiPriority w:val="0"/>
    <w:rPr>
      <w:rFonts w:hint="eastAsia" w:ascii="宋体" w:hAnsi="宋体" w:eastAsia="宋体" w:cs="宋体"/>
      <w:color w:val="000000"/>
      <w:sz w:val="21"/>
      <w:szCs w:val="21"/>
      <w:u w:val="none"/>
      <w:vertAlign w:val="superscript"/>
    </w:rPr>
  </w:style>
  <w:style w:type="character" w:customStyle="1" w:styleId="191">
    <w:name w:val="引用 Char"/>
    <w:link w:val="192"/>
    <w:uiPriority w:val="0"/>
    <w:rPr>
      <w:rFonts w:ascii="Calibri" w:hAnsi="Calibri"/>
      <w:i/>
      <w:kern w:val="2"/>
      <w:sz w:val="24"/>
      <w:szCs w:val="24"/>
      <w:lang w:eastAsia="en-US" w:bidi="en-US"/>
    </w:rPr>
  </w:style>
  <w:style w:type="paragraph" w:styleId="192">
    <w:name w:val="Quote"/>
    <w:basedOn w:val="1"/>
    <w:next w:val="1"/>
    <w:link w:val="191"/>
    <w:qFormat/>
    <w:uiPriority w:val="0"/>
    <w:pPr>
      <w:widowControl/>
      <w:spacing w:line="460" w:lineRule="exact"/>
      <w:ind w:firstLine="723" w:firstLineChars="200"/>
      <w:jc w:val="left"/>
    </w:pPr>
    <w:rPr>
      <w:rFonts w:ascii="Calibri" w:hAnsi="Calibri"/>
      <w:i/>
      <w:lang w:eastAsia="en-US" w:bidi="en-US"/>
    </w:rPr>
  </w:style>
  <w:style w:type="character" w:customStyle="1" w:styleId="193">
    <w:name w:val="font161"/>
    <w:basedOn w:val="88"/>
    <w:uiPriority w:val="0"/>
    <w:rPr>
      <w:rFonts w:hint="default" w:ascii="Times New Roman" w:hAnsi="Times New Roman" w:cs="Times New Roman"/>
      <w:color w:val="000000"/>
      <w:sz w:val="22"/>
      <w:szCs w:val="22"/>
      <w:u w:val="none"/>
    </w:rPr>
  </w:style>
  <w:style w:type="character" w:customStyle="1" w:styleId="194">
    <w:name w:val="纯文本 Char"/>
    <w:uiPriority w:val="0"/>
    <w:rPr>
      <w:rFonts w:ascii="宋体" w:hAnsi="Courier New" w:eastAsia="宋体" w:cs="Courier New"/>
      <w:kern w:val="2"/>
      <w:sz w:val="21"/>
      <w:szCs w:val="21"/>
      <w:lang w:val="en-US" w:eastAsia="zh-CN" w:bidi="ar-SA"/>
    </w:rPr>
  </w:style>
  <w:style w:type="character" w:customStyle="1" w:styleId="195">
    <w:name w:val="报告标题2 Char"/>
    <w:uiPriority w:val="0"/>
    <w:rPr>
      <w:rFonts w:ascii="宋体" w:eastAsia="宋体"/>
      <w:b/>
      <w:sz w:val="30"/>
      <w:szCs w:val="30"/>
      <w:lang w:val="en-US" w:eastAsia="zh-CN" w:bidi="ar-SA"/>
    </w:rPr>
  </w:style>
  <w:style w:type="character" w:customStyle="1" w:styleId="196">
    <w:name w:val="标题 2 Char"/>
    <w:qFormat/>
    <w:uiPriority w:val="0"/>
    <w:rPr>
      <w:rFonts w:ascii="华文中宋" w:hAnsi="Arial" w:eastAsia="华文中宋"/>
      <w:bCs/>
      <w:color w:val="000000"/>
      <w:kern w:val="2"/>
      <w:sz w:val="32"/>
      <w:szCs w:val="32"/>
      <w:lang w:val="en-US" w:eastAsia="zh-CN" w:bidi="ar-SA"/>
    </w:rPr>
  </w:style>
  <w:style w:type="character" w:customStyle="1" w:styleId="197">
    <w:name w:val="表头 Char Char"/>
    <w:qFormat/>
    <w:uiPriority w:val="0"/>
    <w:rPr>
      <w:rFonts w:eastAsia="宋体" w:cs="宋体"/>
      <w:b/>
      <w:bCs/>
      <w:snapToGrid w:val="0"/>
      <w:sz w:val="28"/>
    </w:rPr>
  </w:style>
  <w:style w:type="character" w:customStyle="1" w:styleId="198">
    <w:name w:val="明显引用 Char"/>
    <w:link w:val="199"/>
    <w:uiPriority w:val="0"/>
    <w:rPr>
      <w:rFonts w:ascii="Calibri" w:hAnsi="Calibri"/>
      <w:b/>
      <w:i/>
      <w:kern w:val="2"/>
      <w:sz w:val="24"/>
      <w:szCs w:val="22"/>
      <w:lang w:eastAsia="en-US" w:bidi="en-US"/>
    </w:rPr>
  </w:style>
  <w:style w:type="paragraph" w:styleId="199">
    <w:name w:val="Intense Quote"/>
    <w:basedOn w:val="1"/>
    <w:next w:val="1"/>
    <w:link w:val="198"/>
    <w:qFormat/>
    <w:uiPriority w:val="0"/>
    <w:pPr>
      <w:widowControl/>
      <w:spacing w:line="460" w:lineRule="exact"/>
      <w:ind w:left="720" w:right="720" w:firstLine="723" w:firstLineChars="200"/>
      <w:jc w:val="left"/>
    </w:pPr>
    <w:rPr>
      <w:rFonts w:ascii="Calibri" w:hAnsi="Calibri"/>
      <w:b/>
      <w:i/>
      <w:szCs w:val="22"/>
      <w:lang w:eastAsia="en-US" w:bidi="en-US"/>
    </w:rPr>
  </w:style>
  <w:style w:type="character" w:customStyle="1" w:styleId="200">
    <w:name w:val="信息标题 字符1"/>
    <w:qFormat/>
    <w:uiPriority w:val="0"/>
    <w:rPr>
      <w:rFonts w:ascii="等线 Light" w:hAnsi="等线 Light" w:eastAsia="等线 Light" w:cs="Times New Roman"/>
      <w:kern w:val="2"/>
      <w:sz w:val="24"/>
      <w:szCs w:val="24"/>
      <w:shd w:val="pct20" w:color="auto" w:fill="auto"/>
    </w:rPr>
  </w:style>
  <w:style w:type="character" w:customStyle="1" w:styleId="201">
    <w:name w:val=" Char Char4"/>
    <w:qFormat/>
    <w:uiPriority w:val="0"/>
    <w:rPr>
      <w:rFonts w:ascii="宋体" w:hAnsi="Times New Roman" w:eastAsia="宋体" w:cs="Times New Roman"/>
      <w:b/>
      <w:bCs/>
      <w:sz w:val="30"/>
      <w:szCs w:val="30"/>
    </w:rPr>
  </w:style>
  <w:style w:type="character" w:customStyle="1" w:styleId="202">
    <w:name w:val="正文1 Char"/>
    <w:link w:val="203"/>
    <w:uiPriority w:val="0"/>
    <w:rPr>
      <w:kern w:val="2"/>
      <w:sz w:val="24"/>
      <w:szCs w:val="24"/>
    </w:rPr>
  </w:style>
  <w:style w:type="paragraph" w:customStyle="1" w:styleId="203">
    <w:name w:val="正文1"/>
    <w:basedOn w:val="1"/>
    <w:next w:val="1"/>
    <w:link w:val="202"/>
    <w:uiPriority w:val="0"/>
    <w:pPr>
      <w:adjustRightInd w:val="0"/>
      <w:snapToGrid w:val="0"/>
      <w:spacing w:line="480" w:lineRule="exact"/>
      <w:ind w:firstLine="200" w:firstLineChars="200"/>
    </w:pPr>
  </w:style>
  <w:style w:type="character" w:customStyle="1" w:styleId="204">
    <w:name w:val="样式4 Char Char"/>
    <w:uiPriority w:val="0"/>
    <w:rPr>
      <w:rFonts w:ascii="Arial" w:hAnsi="Arial" w:eastAsia="宋体"/>
      <w:b/>
      <w:bCs/>
      <w:kern w:val="2"/>
      <w:sz w:val="21"/>
      <w:lang w:val="en-US" w:eastAsia="zh-CN" w:bidi="ar-SA"/>
    </w:rPr>
  </w:style>
  <w:style w:type="character" w:customStyle="1" w:styleId="205">
    <w:name w:val="样式 行距: 1.5 倍行距 Char"/>
    <w:link w:val="206"/>
    <w:qFormat/>
    <w:uiPriority w:val="0"/>
    <w:rPr>
      <w:rFonts w:ascii="Arial" w:hAnsi="Arial" w:eastAsia="宋体"/>
      <w:kern w:val="2"/>
      <w:sz w:val="24"/>
      <w:lang w:val="en-US" w:eastAsia="zh-CN" w:bidi="ar-SA"/>
    </w:rPr>
  </w:style>
  <w:style w:type="paragraph" w:customStyle="1" w:styleId="206">
    <w:name w:val="样式 行距: 1.5 倍行距"/>
    <w:basedOn w:val="1"/>
    <w:link w:val="205"/>
    <w:uiPriority w:val="0"/>
    <w:pPr>
      <w:spacing w:line="360" w:lineRule="auto"/>
      <w:ind w:firstLine="480" w:firstLineChars="200"/>
    </w:pPr>
    <w:rPr>
      <w:rFonts w:ascii="Arial" w:hAnsi="Arial"/>
      <w:szCs w:val="20"/>
    </w:rPr>
  </w:style>
  <w:style w:type="character" w:customStyle="1" w:styleId="207">
    <w:name w:val="标题 1 Char2"/>
    <w:qFormat/>
    <w:uiPriority w:val="0"/>
    <w:rPr>
      <w:rFonts w:ascii="黑体" w:hAnsi="宋体" w:eastAsia="黑体"/>
      <w:kern w:val="44"/>
      <w:sz w:val="32"/>
      <w:szCs w:val="24"/>
      <w:lang w:val="en-US" w:eastAsia="zh-CN" w:bidi="ar-SA"/>
    </w:rPr>
  </w:style>
  <w:style w:type="character" w:customStyle="1" w:styleId="208">
    <w:name w:val="框图 Char"/>
    <w:uiPriority w:val="0"/>
    <w:rPr>
      <w:rFonts w:eastAsia="宋体"/>
      <w:kern w:val="2"/>
      <w:sz w:val="21"/>
      <w:lang w:val="en-US" w:eastAsia="zh-CN" w:bidi="ar-SA"/>
    </w:rPr>
  </w:style>
  <w:style w:type="character" w:customStyle="1" w:styleId="209">
    <w:name w:val=" Char Char"/>
    <w:uiPriority w:val="0"/>
    <w:rPr>
      <w:rFonts w:eastAsia="宋体"/>
      <w:kern w:val="2"/>
      <w:sz w:val="18"/>
      <w:szCs w:val="18"/>
      <w:lang w:val="en-US" w:eastAsia="zh-CN" w:bidi="ar-SA"/>
    </w:rPr>
  </w:style>
  <w:style w:type="character" w:customStyle="1" w:styleId="210">
    <w:name w:val="font151"/>
    <w:basedOn w:val="88"/>
    <w:qFormat/>
    <w:uiPriority w:val="0"/>
    <w:rPr>
      <w:rFonts w:hint="default" w:ascii="仿宋_GB2312" w:eastAsia="仿宋_GB2312" w:cs="仿宋_GB2312"/>
      <w:color w:val="000000"/>
      <w:sz w:val="22"/>
      <w:szCs w:val="22"/>
      <w:u w:val="none"/>
    </w:rPr>
  </w:style>
  <w:style w:type="character" w:customStyle="1" w:styleId="211">
    <w:name w:val="标题 3标题1 Char"/>
    <w:qFormat/>
    <w:uiPriority w:val="0"/>
    <w:rPr>
      <w:rFonts w:ascii="Times New Roman" w:hAnsi="Times New Roman" w:eastAsia="宋体" w:cs="Times New Roman"/>
      <w:b/>
      <w:bCs/>
      <w:sz w:val="32"/>
      <w:szCs w:val="32"/>
    </w:rPr>
  </w:style>
  <w:style w:type="character" w:customStyle="1" w:styleId="212">
    <w:name w:val="标题 字符1"/>
    <w:uiPriority w:val="0"/>
    <w:rPr>
      <w:rFonts w:ascii="等线 Light" w:hAnsi="等线 Light" w:cs="Times New Roman"/>
      <w:b/>
      <w:bCs/>
      <w:kern w:val="2"/>
      <w:sz w:val="32"/>
      <w:szCs w:val="32"/>
    </w:rPr>
  </w:style>
  <w:style w:type="character" w:customStyle="1" w:styleId="213">
    <w:name w:val="样式2 Char"/>
    <w:link w:val="214"/>
    <w:qFormat/>
    <w:uiPriority w:val="0"/>
    <w:rPr>
      <w:rFonts w:ascii="仿宋_GB2312" w:hAnsi="仿宋_GB2312" w:eastAsia="仿宋_GB2312"/>
      <w:spacing w:val="10"/>
      <w:kern w:val="2"/>
      <w:sz w:val="32"/>
      <w:szCs w:val="32"/>
    </w:rPr>
  </w:style>
  <w:style w:type="paragraph" w:customStyle="1" w:styleId="214">
    <w:name w:val="样式2"/>
    <w:basedOn w:val="6"/>
    <w:link w:val="213"/>
    <w:qFormat/>
    <w:uiPriority w:val="0"/>
    <w:pPr>
      <w:spacing w:before="0" w:after="217" w:line="600" w:lineRule="exact"/>
      <w:ind w:left="0" w:firstLine="625" w:firstLineChars="200"/>
      <w:jc w:val="left"/>
    </w:pPr>
    <w:rPr>
      <w:rFonts w:ascii="仿宋_GB2312" w:hAnsi="仿宋_GB2312" w:eastAsia="仿宋_GB2312"/>
      <w:b w:val="0"/>
      <w:bCs w:val="0"/>
      <w:spacing w:val="10"/>
      <w:sz w:val="32"/>
      <w:szCs w:val="32"/>
    </w:rPr>
  </w:style>
  <w:style w:type="character" w:customStyle="1" w:styleId="215">
    <w:name w:val="明显引用 Char1"/>
    <w:qFormat/>
    <w:uiPriority w:val="30"/>
    <w:rPr>
      <w:b/>
      <w:bCs/>
      <w:i/>
      <w:iCs/>
      <w:color w:val="4F81BD"/>
      <w:kern w:val="2"/>
      <w:sz w:val="28"/>
      <w:szCs w:val="24"/>
    </w:rPr>
  </w:style>
  <w:style w:type="character" w:customStyle="1" w:styleId="216">
    <w:name w:val="称呼 Char1"/>
    <w:qFormat/>
    <w:uiPriority w:val="0"/>
    <w:rPr>
      <w:kern w:val="2"/>
      <w:sz w:val="21"/>
      <w:szCs w:val="24"/>
    </w:rPr>
  </w:style>
  <w:style w:type="character" w:customStyle="1" w:styleId="217">
    <w:name w:val="正文2 Char"/>
    <w:uiPriority w:val="0"/>
    <w:rPr>
      <w:rFonts w:eastAsia="宋体"/>
      <w:color w:val="000000"/>
      <w:kern w:val="2"/>
      <w:sz w:val="24"/>
      <w:szCs w:val="24"/>
      <w:lang w:val="en-US" w:eastAsia="zh-CN" w:bidi="ar-SA"/>
    </w:rPr>
  </w:style>
  <w:style w:type="character" w:customStyle="1" w:styleId="218">
    <w:name w:val="报告 Char"/>
    <w:link w:val="219"/>
    <w:qFormat/>
    <w:uiPriority w:val="0"/>
    <w:rPr>
      <w:rFonts w:ascii="宋体" w:hAnsi="宋体" w:cs="宋体"/>
      <w:sz w:val="28"/>
    </w:rPr>
  </w:style>
  <w:style w:type="paragraph" w:customStyle="1" w:styleId="219">
    <w:name w:val="报告"/>
    <w:basedOn w:val="1"/>
    <w:link w:val="218"/>
    <w:uiPriority w:val="0"/>
    <w:pPr>
      <w:adjustRightInd w:val="0"/>
      <w:snapToGrid w:val="0"/>
      <w:spacing w:line="360" w:lineRule="auto"/>
      <w:ind w:firstLine="200" w:firstLineChars="200"/>
    </w:pPr>
    <w:rPr>
      <w:rFonts w:ascii="宋体" w:hAnsi="宋体"/>
      <w:kern w:val="0"/>
      <w:sz w:val="28"/>
      <w:szCs w:val="20"/>
    </w:rPr>
  </w:style>
  <w:style w:type="character" w:customStyle="1" w:styleId="220">
    <w:name w:val="宏文本 字符1"/>
    <w:qFormat/>
    <w:uiPriority w:val="0"/>
    <w:rPr>
      <w:rFonts w:ascii="Courier New" w:hAnsi="Courier New" w:cs="Courier New"/>
      <w:kern w:val="2"/>
      <w:sz w:val="24"/>
      <w:szCs w:val="24"/>
    </w:rPr>
  </w:style>
  <w:style w:type="character" w:customStyle="1" w:styleId="221">
    <w:name w:val="HTML 预设格式 Char1"/>
    <w:qFormat/>
    <w:uiPriority w:val="0"/>
    <w:rPr>
      <w:rFonts w:ascii="Courier New" w:hAnsi="Courier New" w:cs="Courier New"/>
      <w:kern w:val="2"/>
    </w:rPr>
  </w:style>
  <w:style w:type="character" w:customStyle="1" w:styleId="222">
    <w:name w:val="t31"/>
    <w:qFormat/>
    <w:uiPriority w:val="0"/>
    <w:rPr>
      <w:rFonts w:hint="eastAsia" w:ascii="宋体" w:hAnsi="宋体" w:eastAsia="宋体"/>
      <w:color w:val="000060"/>
      <w:kern w:val="2"/>
      <w:sz w:val="28"/>
      <w:szCs w:val="28"/>
      <w:lang w:val="en-US" w:eastAsia="zh-CN" w:bidi="ar-SA"/>
    </w:rPr>
  </w:style>
  <w:style w:type="character" w:customStyle="1" w:styleId="223">
    <w:name w:val="文章正文 Char"/>
    <w:link w:val="224"/>
    <w:qFormat/>
    <w:uiPriority w:val="0"/>
    <w:rPr>
      <w:rFonts w:eastAsia="宋体"/>
      <w:kern w:val="2"/>
      <w:sz w:val="24"/>
      <w:lang w:val="en-US" w:eastAsia="zh-CN" w:bidi="ar-SA"/>
    </w:rPr>
  </w:style>
  <w:style w:type="paragraph" w:customStyle="1" w:styleId="224">
    <w:name w:val="文章正文"/>
    <w:basedOn w:val="1"/>
    <w:link w:val="223"/>
    <w:qFormat/>
    <w:uiPriority w:val="0"/>
    <w:pPr>
      <w:spacing w:line="360" w:lineRule="auto"/>
      <w:ind w:firstLine="200" w:firstLineChars="200"/>
    </w:pPr>
    <w:rPr>
      <w:szCs w:val="20"/>
    </w:rPr>
  </w:style>
  <w:style w:type="character" w:customStyle="1" w:styleId="225">
    <w:name w:val="空2格 Char"/>
    <w:link w:val="226"/>
    <w:uiPriority w:val="0"/>
    <w:rPr>
      <w:rFonts w:eastAsia="楷体_GB2312"/>
      <w:kern w:val="2"/>
      <w:sz w:val="24"/>
      <w:szCs w:val="24"/>
    </w:rPr>
  </w:style>
  <w:style w:type="paragraph" w:customStyle="1" w:styleId="226">
    <w:name w:val="空2格"/>
    <w:basedOn w:val="1"/>
    <w:link w:val="225"/>
    <w:uiPriority w:val="0"/>
    <w:pPr>
      <w:tabs>
        <w:tab w:val="left" w:pos="3645"/>
      </w:tabs>
      <w:spacing w:line="360" w:lineRule="auto"/>
      <w:ind w:firstLine="480" w:firstLineChars="200"/>
    </w:pPr>
    <w:rPr>
      <w:rFonts w:eastAsia="楷体_GB2312"/>
    </w:rPr>
  </w:style>
  <w:style w:type="character" w:customStyle="1" w:styleId="227">
    <w:name w:val="font111"/>
    <w:basedOn w:val="88"/>
    <w:qFormat/>
    <w:uiPriority w:val="0"/>
    <w:rPr>
      <w:rFonts w:hint="default" w:ascii="Times New Roman" w:hAnsi="Times New Roman" w:cs="Times New Roman"/>
      <w:color w:val="000000"/>
      <w:sz w:val="22"/>
      <w:szCs w:val="22"/>
      <w:u w:val="none"/>
    </w:rPr>
  </w:style>
  <w:style w:type="character" w:customStyle="1" w:styleId="228">
    <w:name w:val="font181"/>
    <w:basedOn w:val="88"/>
    <w:uiPriority w:val="0"/>
    <w:rPr>
      <w:rFonts w:hint="default" w:ascii="仿宋_GB2312" w:eastAsia="仿宋_GB2312" w:cs="仿宋_GB2312"/>
      <w:color w:val="000000"/>
      <w:sz w:val="22"/>
      <w:szCs w:val="22"/>
      <w:u w:val="none"/>
    </w:rPr>
  </w:style>
  <w:style w:type="character" w:customStyle="1" w:styleId="229">
    <w:name w:val="表格左起 Char Char"/>
    <w:link w:val="230"/>
    <w:uiPriority w:val="0"/>
    <w:rPr>
      <w:kern w:val="2"/>
      <w:sz w:val="24"/>
      <w:szCs w:val="24"/>
    </w:rPr>
  </w:style>
  <w:style w:type="paragraph" w:customStyle="1" w:styleId="230">
    <w:name w:val="表格左起"/>
    <w:basedOn w:val="1"/>
    <w:link w:val="229"/>
    <w:qFormat/>
    <w:uiPriority w:val="0"/>
    <w:pPr>
      <w:adjustRightInd w:val="0"/>
      <w:spacing w:line="240" w:lineRule="exact"/>
      <w:ind w:firstLine="34" w:firstLineChars="200"/>
      <w:jc w:val="left"/>
      <w:textAlignment w:val="baseline"/>
    </w:pPr>
  </w:style>
  <w:style w:type="character" w:customStyle="1" w:styleId="231">
    <w:name w:val=" Char Char7"/>
    <w:qFormat/>
    <w:locked/>
    <w:uiPriority w:val="99"/>
    <w:rPr>
      <w:rFonts w:ascii="Times New Roman" w:hAnsi="Times New Roman" w:eastAsia="仿宋_GB2312" w:cs="Times New Roman"/>
      <w:sz w:val="18"/>
      <w:szCs w:val="18"/>
    </w:rPr>
  </w:style>
  <w:style w:type="character" w:customStyle="1" w:styleId="232">
    <w:name w:val="引用 Char2"/>
    <w:qFormat/>
    <w:uiPriority w:val="29"/>
    <w:rPr>
      <w:i/>
      <w:iCs/>
      <w:color w:val="000000"/>
      <w:kern w:val="2"/>
      <w:sz w:val="21"/>
      <w:szCs w:val="24"/>
    </w:rPr>
  </w:style>
  <w:style w:type="character" w:customStyle="1" w:styleId="233">
    <w:name w:val="正文首行缩进 Char1"/>
    <w:uiPriority w:val="0"/>
    <w:rPr>
      <w:rFonts w:ascii="宋体" w:hAnsi="宋体" w:eastAsia="宋体"/>
      <w:color w:val="000000"/>
      <w:kern w:val="2"/>
      <w:sz w:val="28"/>
      <w:szCs w:val="24"/>
      <w:lang w:val="en-US" w:eastAsia="zh-CN" w:bidi="ar-SA"/>
    </w:rPr>
  </w:style>
  <w:style w:type="character" w:customStyle="1" w:styleId="234">
    <w:name w:val="font91"/>
    <w:uiPriority w:val="0"/>
    <w:rPr>
      <w:rFonts w:hint="eastAsia" w:ascii="宋体" w:hAnsi="宋体" w:eastAsia="宋体" w:cs="宋体"/>
      <w:color w:val="000000"/>
      <w:sz w:val="21"/>
      <w:szCs w:val="21"/>
      <w:u w:val="none"/>
    </w:rPr>
  </w:style>
  <w:style w:type="character" w:customStyle="1" w:styleId="235">
    <w:name w:val="样式 表右齐 + Char Char"/>
    <w:basedOn w:val="154"/>
    <w:link w:val="236"/>
    <w:uiPriority w:val="0"/>
  </w:style>
  <w:style w:type="paragraph" w:customStyle="1" w:styleId="236">
    <w:name w:val="样式 表右齐 +"/>
    <w:basedOn w:val="157"/>
    <w:link w:val="235"/>
    <w:uiPriority w:val="0"/>
    <w:pPr>
      <w:jc w:val="left"/>
    </w:pPr>
  </w:style>
  <w:style w:type="character" w:customStyle="1" w:styleId="237">
    <w:name w:val="嵩县 Char"/>
    <w:uiPriority w:val="0"/>
    <w:rPr>
      <w:rFonts w:eastAsia="宋体"/>
      <w:kern w:val="2"/>
      <w:sz w:val="28"/>
      <w:szCs w:val="24"/>
      <w:lang w:val="en-US" w:eastAsia="zh-CN" w:bidi="ar-SA"/>
    </w:rPr>
  </w:style>
  <w:style w:type="character" w:customStyle="1" w:styleId="238">
    <w:name w:val="font131"/>
    <w:basedOn w:val="88"/>
    <w:uiPriority w:val="0"/>
    <w:rPr>
      <w:rFonts w:hint="default" w:ascii="仿宋_GB2312" w:eastAsia="仿宋_GB2312" w:cs="仿宋_GB2312"/>
      <w:color w:val="000000"/>
      <w:sz w:val="20"/>
      <w:szCs w:val="20"/>
      <w:u w:val="none"/>
    </w:rPr>
  </w:style>
  <w:style w:type="character" w:customStyle="1" w:styleId="239">
    <w:name w:val="正文首行缩进 2 字符1"/>
    <w:uiPriority w:val="0"/>
    <w:rPr>
      <w:rFonts w:ascii="宋体" w:hAnsi="宋体" w:eastAsia="宋体"/>
      <w:kern w:val="2"/>
      <w:sz w:val="24"/>
      <w:szCs w:val="24"/>
      <w:lang w:val="en-US" w:eastAsia="zh-CN" w:bidi="ar-SA"/>
    </w:rPr>
  </w:style>
  <w:style w:type="character" w:customStyle="1" w:styleId="240">
    <w:name w:val="样式 表格 + 五号1 Char Char"/>
    <w:link w:val="241"/>
    <w:qFormat/>
    <w:uiPriority w:val="0"/>
    <w:rPr>
      <w:rFonts w:ascii="宋体" w:hAnsi="宋体"/>
      <w:color w:val="000000"/>
      <w:kern w:val="16"/>
      <w:sz w:val="24"/>
      <w:szCs w:val="21"/>
    </w:rPr>
  </w:style>
  <w:style w:type="paragraph" w:customStyle="1" w:styleId="241">
    <w:name w:val="样式 表格 + 五号1"/>
    <w:basedOn w:val="188"/>
    <w:link w:val="240"/>
    <w:qFormat/>
    <w:uiPriority w:val="0"/>
    <w:pPr>
      <w:wordWrap w:val="0"/>
      <w:adjustRightInd w:val="0"/>
      <w:spacing w:line="288" w:lineRule="auto"/>
      <w:ind w:firstLine="34"/>
      <w:textAlignment w:val="baseline"/>
    </w:pPr>
    <w:rPr>
      <w:color w:val="000000"/>
      <w:kern w:val="16"/>
      <w:szCs w:val="21"/>
    </w:rPr>
  </w:style>
  <w:style w:type="character" w:customStyle="1" w:styleId="242">
    <w:name w:val="font01"/>
    <w:qFormat/>
    <w:uiPriority w:val="0"/>
    <w:rPr>
      <w:rFonts w:hint="eastAsia" w:ascii="宋体" w:hAnsi="宋体" w:eastAsia="宋体" w:cs="宋体"/>
      <w:color w:val="000000"/>
      <w:sz w:val="21"/>
      <w:szCs w:val="21"/>
      <w:u w:val="none"/>
      <w:vertAlign w:val="superscript"/>
    </w:rPr>
  </w:style>
  <w:style w:type="character" w:customStyle="1" w:styleId="243">
    <w:name w:val="表头中齐 Char Char"/>
    <w:link w:val="244"/>
    <w:uiPriority w:val="0"/>
    <w:rPr>
      <w:rFonts w:ascii="新宋体" w:hAnsi="新宋体" w:eastAsia="新宋体"/>
      <w:b/>
      <w:bCs/>
      <w:w w:val="80"/>
      <w:kern w:val="2"/>
      <w:sz w:val="24"/>
      <w:szCs w:val="28"/>
    </w:rPr>
  </w:style>
  <w:style w:type="paragraph" w:customStyle="1" w:styleId="244">
    <w:name w:val="表头中齐"/>
    <w:basedOn w:val="1"/>
    <w:link w:val="243"/>
    <w:uiPriority w:val="0"/>
    <w:pPr>
      <w:snapToGrid w:val="0"/>
      <w:spacing w:line="432" w:lineRule="auto"/>
      <w:ind w:firstLine="480" w:firstLineChars="200"/>
      <w:jc w:val="center"/>
    </w:pPr>
    <w:rPr>
      <w:rFonts w:ascii="新宋体" w:hAnsi="新宋体" w:eastAsia="新宋体"/>
      <w:b/>
      <w:bCs/>
      <w:w w:val="80"/>
      <w:szCs w:val="28"/>
    </w:rPr>
  </w:style>
  <w:style w:type="character" w:customStyle="1" w:styleId="245">
    <w:name w:val="b11"/>
    <w:uiPriority w:val="0"/>
    <w:rPr>
      <w:rFonts w:hint="eastAsia" w:ascii="宋体" w:hAnsi="宋体" w:eastAsia="宋体"/>
      <w:kern w:val="2"/>
      <w:sz w:val="18"/>
      <w:szCs w:val="18"/>
      <w:lang w:val="en-US" w:eastAsia="zh-CN" w:bidi="ar-SA"/>
    </w:rPr>
  </w:style>
  <w:style w:type="character" w:customStyle="1" w:styleId="246">
    <w:name w:val="普通文字 Char Char"/>
    <w:qFormat/>
    <w:uiPriority w:val="0"/>
    <w:rPr>
      <w:rFonts w:ascii="宋体" w:hAnsi="Courier New" w:eastAsia="宋体"/>
      <w:kern w:val="2"/>
      <w:sz w:val="21"/>
      <w:szCs w:val="24"/>
      <w:lang w:val="en-US" w:eastAsia="zh-CN" w:bidi="ar-SA"/>
    </w:rPr>
  </w:style>
  <w:style w:type="character" w:customStyle="1" w:styleId="247">
    <w:name w:val="样式 正文文本 + 宋体 四号 Char Char"/>
    <w:uiPriority w:val="0"/>
    <w:rPr>
      <w:rFonts w:ascii="宋体" w:hAnsi="宋体"/>
      <w:kern w:val="2"/>
      <w:sz w:val="28"/>
      <w:szCs w:val="24"/>
    </w:rPr>
  </w:style>
  <w:style w:type="character" w:customStyle="1" w:styleId="248">
    <w:name w:val="表头右齐 Char Char"/>
    <w:link w:val="249"/>
    <w:qFormat/>
    <w:uiPriority w:val="0"/>
    <w:rPr>
      <w:rFonts w:ascii="新宋体" w:hAnsi="新宋体" w:eastAsia="新宋体"/>
      <w:b/>
      <w:bCs/>
      <w:w w:val="80"/>
      <w:kern w:val="2"/>
      <w:sz w:val="24"/>
      <w:szCs w:val="28"/>
    </w:rPr>
  </w:style>
  <w:style w:type="paragraph" w:customStyle="1" w:styleId="249">
    <w:name w:val="表头右齐"/>
    <w:basedOn w:val="1"/>
    <w:next w:val="1"/>
    <w:link w:val="248"/>
    <w:uiPriority w:val="0"/>
    <w:pPr>
      <w:adjustRightInd w:val="0"/>
      <w:snapToGrid w:val="0"/>
      <w:spacing w:line="360" w:lineRule="auto"/>
      <w:ind w:right="120" w:rightChars="50" w:firstLine="865" w:firstLineChars="200"/>
      <w:jc w:val="center"/>
    </w:pPr>
    <w:rPr>
      <w:rFonts w:ascii="新宋体" w:hAnsi="新宋体" w:eastAsia="新宋体"/>
      <w:b/>
      <w:bCs/>
      <w:w w:val="80"/>
      <w:szCs w:val="28"/>
    </w:rPr>
  </w:style>
  <w:style w:type="character" w:customStyle="1" w:styleId="250">
    <w:name w:val="font101"/>
    <w:uiPriority w:val="0"/>
    <w:rPr>
      <w:rFonts w:hint="default" w:ascii="Times New Roman" w:hAnsi="Times New Roman" w:cs="Times New Roman"/>
      <w:color w:val="000000"/>
      <w:sz w:val="21"/>
      <w:szCs w:val="21"/>
      <w:u w:val="none"/>
    </w:rPr>
  </w:style>
  <w:style w:type="character" w:customStyle="1" w:styleId="251">
    <w:name w:val=" Char Char11"/>
    <w:qFormat/>
    <w:locked/>
    <w:uiPriority w:val="99"/>
    <w:rPr>
      <w:rFonts w:ascii="黑体" w:hAnsi="黑体" w:eastAsia="黑体"/>
      <w:bCs/>
      <w:kern w:val="44"/>
      <w:sz w:val="32"/>
      <w:szCs w:val="44"/>
    </w:rPr>
  </w:style>
  <w:style w:type="character" w:customStyle="1" w:styleId="252">
    <w:name w:val="_Style 251"/>
    <w:qFormat/>
    <w:uiPriority w:val="0"/>
    <w:rPr>
      <w:rFonts w:eastAsia="宋体"/>
      <w:b/>
      <w:i/>
      <w:kern w:val="2"/>
      <w:sz w:val="24"/>
      <w:szCs w:val="24"/>
      <w:u w:val="single"/>
      <w:lang w:val="en-US" w:eastAsia="zh-CN" w:bidi="ar-SA"/>
    </w:rPr>
  </w:style>
  <w:style w:type="character" w:customStyle="1" w:styleId="253">
    <w:name w:val="表格 Char Char"/>
    <w:uiPriority w:val="0"/>
    <w:rPr>
      <w:rFonts w:ascii="Times New Roman" w:hAnsi="Times New Roman" w:eastAsia="宋体"/>
      <w:kern w:val="2"/>
      <w:sz w:val="18"/>
      <w:szCs w:val="22"/>
      <w:lang w:val="en-US" w:eastAsia="zh-CN" w:bidi="ar-SA"/>
    </w:rPr>
  </w:style>
  <w:style w:type="character" w:customStyle="1" w:styleId="254">
    <w:name w:val="font61"/>
    <w:qFormat/>
    <w:uiPriority w:val="0"/>
    <w:rPr>
      <w:rFonts w:hint="eastAsia" w:ascii="宋体" w:hAnsi="宋体" w:eastAsia="宋体" w:cs="宋体"/>
      <w:color w:val="000000"/>
      <w:sz w:val="21"/>
      <w:szCs w:val="21"/>
      <w:u w:val="none"/>
    </w:rPr>
  </w:style>
  <w:style w:type="character" w:customStyle="1" w:styleId="255">
    <w:name w:val="正文首行缩进 Char2"/>
    <w:basedOn w:val="123"/>
    <w:qFormat/>
    <w:uiPriority w:val="0"/>
  </w:style>
  <w:style w:type="character" w:customStyle="1" w:styleId="256">
    <w:name w:val="font81"/>
    <w:qFormat/>
    <w:uiPriority w:val="0"/>
    <w:rPr>
      <w:rFonts w:hint="default" w:ascii="仿宋_GB2312" w:eastAsia="仿宋_GB2312" w:cs="仿宋_GB2312"/>
      <w:color w:val="000000"/>
      <w:sz w:val="24"/>
      <w:szCs w:val="24"/>
      <w:u w:val="none"/>
      <w:vertAlign w:val="superscript"/>
    </w:rPr>
  </w:style>
  <w:style w:type="character" w:customStyle="1" w:styleId="257">
    <w:name w:val="批注文字 Char"/>
    <w:qFormat/>
    <w:uiPriority w:val="0"/>
    <w:rPr>
      <w:kern w:val="2"/>
      <w:sz w:val="28"/>
      <w:szCs w:val="24"/>
    </w:rPr>
  </w:style>
  <w:style w:type="character" w:customStyle="1" w:styleId="258">
    <w:name w:val="h31"/>
    <w:uiPriority w:val="0"/>
    <w:rPr>
      <w:rFonts w:eastAsia="宋体"/>
      <w:kern w:val="2"/>
      <w:sz w:val="21"/>
      <w:szCs w:val="21"/>
      <w:lang w:val="en-US" w:eastAsia="zh-CN" w:bidi="ar-SA"/>
    </w:rPr>
  </w:style>
  <w:style w:type="character" w:customStyle="1" w:styleId="259">
    <w:name w:val=" Char Char6"/>
    <w:uiPriority w:val="0"/>
    <w:rPr>
      <w:rFonts w:ascii="Arial" w:hAnsi="Arial" w:eastAsia="黑体" w:cs="Times New Roman"/>
      <w:b/>
      <w:bCs/>
      <w:sz w:val="32"/>
      <w:szCs w:val="32"/>
    </w:rPr>
  </w:style>
  <w:style w:type="character" w:customStyle="1" w:styleId="260">
    <w:name w:val="签名 Char1"/>
    <w:uiPriority w:val="0"/>
    <w:rPr>
      <w:kern w:val="2"/>
      <w:sz w:val="21"/>
      <w:szCs w:val="24"/>
    </w:rPr>
  </w:style>
  <w:style w:type="character" w:customStyle="1" w:styleId="261">
    <w:name w:val="样式，加粗"/>
    <w:uiPriority w:val="0"/>
    <w:rPr>
      <w:rFonts w:eastAsia="宋体"/>
      <w:spacing w:val="0"/>
      <w:kern w:val="2"/>
      <w:sz w:val="28"/>
      <w:szCs w:val="24"/>
      <w:u w:val="none"/>
      <w:lang w:val="en-US" w:eastAsia="zh-CN" w:bidi="ar-SA"/>
    </w:rPr>
  </w:style>
  <w:style w:type="character" w:customStyle="1" w:styleId="262">
    <w:name w:val="纯文本 Char Char"/>
    <w:qFormat/>
    <w:uiPriority w:val="0"/>
    <w:rPr>
      <w:rFonts w:ascii="宋体" w:hAnsi="Courier New" w:eastAsia="宋体" w:cs="Courier New"/>
      <w:kern w:val="2"/>
      <w:sz w:val="21"/>
      <w:szCs w:val="21"/>
      <w:lang w:val="en-US" w:eastAsia="zh-CN" w:bidi="ar-SA"/>
    </w:rPr>
  </w:style>
  <w:style w:type="character" w:customStyle="1" w:styleId="263">
    <w:name w:val="图名 Char Char"/>
    <w:link w:val="264"/>
    <w:uiPriority w:val="0"/>
    <w:rPr>
      <w:rFonts w:ascii="仿宋_GB2312"/>
      <w:kern w:val="2"/>
      <w:sz w:val="24"/>
      <w:szCs w:val="28"/>
      <w:u w:val="double"/>
    </w:rPr>
  </w:style>
  <w:style w:type="paragraph" w:customStyle="1" w:styleId="264">
    <w:name w:val="图名"/>
    <w:basedOn w:val="1"/>
    <w:link w:val="263"/>
    <w:qFormat/>
    <w:uiPriority w:val="0"/>
    <w:pPr>
      <w:wordWrap w:val="0"/>
      <w:adjustRightInd w:val="0"/>
      <w:snapToGrid w:val="0"/>
      <w:spacing w:line="360" w:lineRule="auto"/>
      <w:ind w:firstLine="723" w:firstLineChars="200"/>
      <w:jc w:val="center"/>
    </w:pPr>
    <w:rPr>
      <w:rFonts w:ascii="仿宋_GB2312"/>
      <w:szCs w:val="28"/>
      <w:u w:val="double"/>
      <w:shd w:val="clear" w:color="auto" w:fill="FFFFFF"/>
    </w:rPr>
  </w:style>
  <w:style w:type="character" w:customStyle="1" w:styleId="265">
    <w:name w:val="正文文本 3 字符1"/>
    <w:qFormat/>
    <w:uiPriority w:val="0"/>
    <w:rPr>
      <w:kern w:val="2"/>
      <w:sz w:val="16"/>
      <w:szCs w:val="16"/>
    </w:rPr>
  </w:style>
  <w:style w:type="character" w:customStyle="1" w:styleId="266">
    <w:name w:val="font71"/>
    <w:uiPriority w:val="0"/>
    <w:rPr>
      <w:rFonts w:hint="default" w:ascii="Times New Roman" w:hAnsi="Times New Roman" w:cs="Times New Roman"/>
      <w:b/>
      <w:color w:val="000000"/>
      <w:sz w:val="20"/>
      <w:szCs w:val="20"/>
      <w:u w:val="none"/>
    </w:rPr>
  </w:style>
  <w:style w:type="character" w:customStyle="1" w:styleId="267">
    <w:name w:val="电子邮件签名 Char1"/>
    <w:uiPriority w:val="0"/>
    <w:rPr>
      <w:kern w:val="2"/>
      <w:sz w:val="21"/>
      <w:szCs w:val="24"/>
    </w:rPr>
  </w:style>
  <w:style w:type="character" w:customStyle="1" w:styleId="268">
    <w:name w:val="表左齐 Char"/>
    <w:qFormat/>
    <w:uiPriority w:val="0"/>
    <w:rPr>
      <w:rFonts w:ascii="仿宋_GB2312" w:eastAsia="宋体"/>
      <w:kern w:val="2"/>
      <w:sz w:val="24"/>
      <w:szCs w:val="24"/>
      <w:shd w:val="clear" w:color="auto" w:fill="FFFFFF"/>
      <w:lang w:val="en-US" w:eastAsia="zh-CN" w:bidi="ar-SA"/>
    </w:rPr>
  </w:style>
  <w:style w:type="character" w:customStyle="1" w:styleId="269">
    <w:name w:val="嵩县 Char Char"/>
    <w:link w:val="270"/>
    <w:uiPriority w:val="0"/>
    <w:rPr>
      <w:kern w:val="2"/>
      <w:sz w:val="28"/>
      <w:szCs w:val="24"/>
    </w:rPr>
  </w:style>
  <w:style w:type="paragraph" w:customStyle="1" w:styleId="270">
    <w:name w:val="嵩县"/>
    <w:basedOn w:val="1"/>
    <w:link w:val="269"/>
    <w:uiPriority w:val="0"/>
    <w:pPr>
      <w:spacing w:line="360" w:lineRule="auto"/>
      <w:ind w:firstLine="200" w:firstLineChars="200"/>
    </w:pPr>
    <w:rPr>
      <w:sz w:val="28"/>
    </w:rPr>
  </w:style>
  <w:style w:type="character" w:customStyle="1" w:styleId="271">
    <w:name w:val="页眉 Char1"/>
    <w:qFormat/>
    <w:uiPriority w:val="0"/>
    <w:rPr>
      <w:kern w:val="2"/>
      <w:sz w:val="18"/>
      <w:szCs w:val="18"/>
    </w:rPr>
  </w:style>
  <w:style w:type="character" w:customStyle="1" w:styleId="272">
    <w:name w:val="样式 表格 + 五号1 Char"/>
    <w:uiPriority w:val="0"/>
    <w:rPr>
      <w:rFonts w:ascii="宋体" w:hAnsi="宋体" w:eastAsia="宋体"/>
      <w:color w:val="000000"/>
      <w:kern w:val="16"/>
      <w:sz w:val="24"/>
      <w:szCs w:val="24"/>
      <w:lang w:val="en-US" w:eastAsia="zh-CN" w:bidi="ar-SA"/>
    </w:rPr>
  </w:style>
  <w:style w:type="character" w:customStyle="1" w:styleId="273">
    <w:name w:val="华阳 Char"/>
    <w:uiPriority w:val="0"/>
    <w:rPr>
      <w:rFonts w:ascii="宋体" w:eastAsia="宋体"/>
      <w:color w:val="000000"/>
      <w:kern w:val="2"/>
      <w:sz w:val="28"/>
      <w:szCs w:val="24"/>
      <w:lang w:val="en-US" w:eastAsia="zh-CN" w:bidi="ar-SA"/>
    </w:rPr>
  </w:style>
  <w:style w:type="character" w:customStyle="1" w:styleId="274">
    <w:name w:val="样式 正文缩进正文（首行缩进两字） + 宋体 四号 Char Char"/>
    <w:link w:val="275"/>
    <w:uiPriority w:val="0"/>
    <w:rPr>
      <w:rFonts w:ascii="宋体" w:hAnsi="宋体"/>
      <w:kern w:val="2"/>
      <w:sz w:val="28"/>
      <w:szCs w:val="24"/>
    </w:rPr>
  </w:style>
  <w:style w:type="paragraph" w:customStyle="1" w:styleId="275">
    <w:name w:val="样式 正文缩进正文（首行缩进两字） + 宋体 四号"/>
    <w:basedOn w:val="9"/>
    <w:link w:val="274"/>
    <w:qFormat/>
    <w:uiPriority w:val="0"/>
    <w:pPr>
      <w:spacing w:line="460" w:lineRule="exact"/>
      <w:ind w:firstLine="200"/>
    </w:pPr>
    <w:rPr>
      <w:rFonts w:ascii="宋体" w:hAnsi="宋体"/>
      <w:sz w:val="28"/>
    </w:rPr>
  </w:style>
  <w:style w:type="character" w:customStyle="1" w:styleId="276">
    <w:name w:val="表头 Char"/>
    <w:link w:val="277"/>
    <w:uiPriority w:val="0"/>
    <w:rPr>
      <w:rFonts w:ascii="黑体" w:eastAsia="黑体"/>
      <w:sz w:val="28"/>
      <w:szCs w:val="28"/>
    </w:rPr>
  </w:style>
  <w:style w:type="paragraph" w:customStyle="1" w:styleId="277">
    <w:name w:val="表头"/>
    <w:basedOn w:val="1"/>
    <w:next w:val="1"/>
    <w:link w:val="276"/>
    <w:qFormat/>
    <w:uiPriority w:val="0"/>
    <w:pPr>
      <w:keepNext/>
      <w:adjustRightInd w:val="0"/>
      <w:snapToGrid w:val="0"/>
      <w:spacing w:before="240"/>
      <w:jc w:val="center"/>
    </w:pPr>
    <w:rPr>
      <w:rFonts w:ascii="黑体" w:eastAsia="黑体"/>
      <w:kern w:val="0"/>
      <w:sz w:val="28"/>
      <w:szCs w:val="28"/>
    </w:rPr>
  </w:style>
  <w:style w:type="character" w:customStyle="1" w:styleId="278">
    <w:name w:val="unnamed11"/>
    <w:uiPriority w:val="0"/>
    <w:rPr>
      <w:rFonts w:eastAsia="宋体"/>
      <w:kern w:val="2"/>
      <w:sz w:val="18"/>
      <w:szCs w:val="18"/>
      <w:lang w:val="en-US" w:eastAsia="zh-CN" w:bidi="ar-SA"/>
    </w:rPr>
  </w:style>
  <w:style w:type="character" w:customStyle="1" w:styleId="279">
    <w:name w:val="样式 正文缩进正文（首行缩进两字） + 宋体 四号 Char"/>
    <w:qFormat/>
    <w:uiPriority w:val="0"/>
    <w:rPr>
      <w:rFonts w:ascii="宋体" w:hAnsi="宋体" w:eastAsia="宋体"/>
      <w:kern w:val="2"/>
      <w:sz w:val="28"/>
      <w:szCs w:val="24"/>
      <w:lang w:val="en-US" w:eastAsia="zh-CN" w:bidi="ar-SA"/>
    </w:rPr>
  </w:style>
  <w:style w:type="character" w:customStyle="1" w:styleId="280">
    <w:name w:val="正文中齐 Char Char"/>
    <w:link w:val="281"/>
    <w:uiPriority w:val="0"/>
    <w:rPr>
      <w:rFonts w:ascii="宋体" w:hAnsi="宋体"/>
      <w:color w:val="000000"/>
      <w:kern w:val="16"/>
      <w:sz w:val="24"/>
      <w:szCs w:val="21"/>
    </w:rPr>
  </w:style>
  <w:style w:type="paragraph" w:customStyle="1" w:styleId="281">
    <w:name w:val="正文中齐"/>
    <w:basedOn w:val="1"/>
    <w:link w:val="280"/>
    <w:qFormat/>
    <w:uiPriority w:val="0"/>
    <w:pPr>
      <w:wordWrap w:val="0"/>
      <w:adjustRightInd w:val="0"/>
      <w:spacing w:line="300" w:lineRule="exact"/>
      <w:ind w:firstLine="723" w:firstLineChars="200"/>
      <w:jc w:val="center"/>
      <w:textAlignment w:val="baseline"/>
    </w:pPr>
    <w:rPr>
      <w:rFonts w:ascii="宋体" w:hAnsi="宋体"/>
      <w:color w:val="000000"/>
      <w:kern w:val="16"/>
      <w:szCs w:val="21"/>
    </w:rPr>
  </w:style>
  <w:style w:type="character" w:customStyle="1" w:styleId="282">
    <w:name w:val="注释标题 字符1"/>
    <w:qFormat/>
    <w:uiPriority w:val="0"/>
    <w:rPr>
      <w:kern w:val="2"/>
      <w:sz w:val="24"/>
      <w:szCs w:val="24"/>
    </w:rPr>
  </w:style>
  <w:style w:type="character" w:customStyle="1" w:styleId="283">
    <w:name w:val="明显引用 字符1"/>
    <w:qFormat/>
    <w:uiPriority w:val="99"/>
    <w:rPr>
      <w:i/>
      <w:iCs/>
      <w:color w:val="5B9BD5"/>
      <w:kern w:val="2"/>
      <w:sz w:val="24"/>
      <w:szCs w:val="24"/>
    </w:rPr>
  </w:style>
  <w:style w:type="character" w:customStyle="1" w:styleId="284">
    <w:name w:val="段落1 Char Char"/>
    <w:link w:val="285"/>
    <w:uiPriority w:val="0"/>
    <w:rPr>
      <w:rFonts w:ascii="黑体" w:hAnsi="宋体" w:eastAsia="黑体" w:cs="宋体"/>
      <w:color w:val="000000"/>
      <w:sz w:val="30"/>
      <w:szCs w:val="30"/>
    </w:rPr>
  </w:style>
  <w:style w:type="paragraph" w:customStyle="1" w:styleId="285">
    <w:name w:val="段落1 Char"/>
    <w:basedOn w:val="1"/>
    <w:link w:val="284"/>
    <w:qFormat/>
    <w:uiPriority w:val="0"/>
    <w:pPr>
      <w:adjustRightInd w:val="0"/>
      <w:snapToGrid w:val="0"/>
      <w:spacing w:before="24" w:after="24" w:line="360" w:lineRule="auto"/>
      <w:ind w:firstLine="600" w:firstLineChars="200"/>
    </w:pPr>
    <w:rPr>
      <w:rFonts w:ascii="黑体" w:hAnsi="宋体" w:eastAsia="黑体"/>
      <w:color w:val="000000"/>
      <w:kern w:val="0"/>
      <w:sz w:val="30"/>
      <w:szCs w:val="30"/>
    </w:rPr>
  </w:style>
  <w:style w:type="character" w:customStyle="1" w:styleId="286">
    <w:name w:val="_Style 285"/>
    <w:qFormat/>
    <w:uiPriority w:val="0"/>
    <w:rPr>
      <w:rFonts w:eastAsia="宋体"/>
      <w:b/>
      <w:kern w:val="2"/>
      <w:sz w:val="24"/>
      <w:szCs w:val="24"/>
      <w:u w:val="single"/>
      <w:lang w:val="en-US" w:eastAsia="zh-CN" w:bidi="ar-SA"/>
    </w:rPr>
  </w:style>
  <w:style w:type="character" w:customStyle="1" w:styleId="287">
    <w:name w:val="明显引用 Char2"/>
    <w:qFormat/>
    <w:uiPriority w:val="30"/>
    <w:rPr>
      <w:b/>
      <w:bCs/>
      <w:i/>
      <w:iCs/>
      <w:color w:val="4F81BD"/>
      <w:kern w:val="2"/>
      <w:sz w:val="21"/>
      <w:szCs w:val="24"/>
    </w:rPr>
  </w:style>
  <w:style w:type="character" w:customStyle="1" w:styleId="288">
    <w:name w:val="华阳 Char Char"/>
    <w:link w:val="289"/>
    <w:uiPriority w:val="0"/>
    <w:rPr>
      <w:rFonts w:ascii="宋体"/>
      <w:color w:val="000000"/>
      <w:kern w:val="2"/>
      <w:sz w:val="28"/>
      <w:szCs w:val="24"/>
    </w:rPr>
  </w:style>
  <w:style w:type="paragraph" w:customStyle="1" w:styleId="289">
    <w:name w:val="华阳"/>
    <w:basedOn w:val="1"/>
    <w:link w:val="288"/>
    <w:qFormat/>
    <w:uiPriority w:val="0"/>
    <w:pPr>
      <w:spacing w:line="360" w:lineRule="auto"/>
      <w:ind w:firstLine="200" w:firstLineChars="200"/>
    </w:pPr>
    <w:rPr>
      <w:rFonts w:ascii="宋体"/>
      <w:color w:val="000000"/>
      <w:sz w:val="28"/>
    </w:rPr>
  </w:style>
  <w:style w:type="character" w:customStyle="1" w:styleId="290">
    <w:name w:val="表头2"/>
    <w:uiPriority w:val="0"/>
    <w:rPr>
      <w:rFonts w:eastAsia="宋体"/>
      <w:bCs/>
      <w:color w:val="auto"/>
      <w:kern w:val="2"/>
      <w:sz w:val="28"/>
      <w:szCs w:val="28"/>
      <w:lang w:val="en-US" w:eastAsia="zh-CN" w:bidi="ar-SA"/>
    </w:rPr>
  </w:style>
  <w:style w:type="character" w:customStyle="1" w:styleId="291">
    <w:name w:val="样式 宋体 四号"/>
    <w:uiPriority w:val="0"/>
    <w:rPr>
      <w:rFonts w:ascii="Times New Roman" w:hAnsi="Times New Roman" w:eastAsia="宋体"/>
      <w:kern w:val="2"/>
      <w:sz w:val="28"/>
      <w:szCs w:val="28"/>
      <w:lang w:val="en-US" w:eastAsia="zh-CN" w:bidi="ar-SA"/>
    </w:rPr>
  </w:style>
  <w:style w:type="character" w:customStyle="1" w:styleId="292">
    <w:name w:val="bhq Char Char"/>
    <w:link w:val="293"/>
    <w:qFormat/>
    <w:uiPriority w:val="0"/>
    <w:rPr>
      <w:kern w:val="2"/>
      <w:sz w:val="28"/>
      <w:szCs w:val="24"/>
    </w:rPr>
  </w:style>
  <w:style w:type="paragraph" w:customStyle="1" w:styleId="293">
    <w:name w:val="bhq"/>
    <w:basedOn w:val="1"/>
    <w:link w:val="292"/>
    <w:qFormat/>
    <w:uiPriority w:val="0"/>
    <w:pPr>
      <w:spacing w:line="360" w:lineRule="auto"/>
      <w:ind w:firstLine="358" w:firstLineChars="128"/>
    </w:pPr>
    <w:rPr>
      <w:sz w:val="28"/>
    </w:rPr>
  </w:style>
  <w:style w:type="character" w:customStyle="1" w:styleId="294">
    <w:name w:val="bhq正文 Char"/>
    <w:uiPriority w:val="0"/>
    <w:rPr>
      <w:rFonts w:ascii="宋体" w:hAnsi="宋体" w:eastAsia="宋体"/>
      <w:kern w:val="2"/>
      <w:sz w:val="28"/>
      <w:szCs w:val="24"/>
      <w:lang w:val="en-US" w:eastAsia="zh-CN" w:bidi="ar-SA"/>
    </w:rPr>
  </w:style>
  <w:style w:type="character" w:customStyle="1" w:styleId="295">
    <w:name w:val="font201"/>
    <w:basedOn w:val="88"/>
    <w:qFormat/>
    <w:uiPriority w:val="0"/>
    <w:rPr>
      <w:rFonts w:hint="default" w:ascii="Times New Roman" w:hAnsi="Times New Roman" w:cs="Times New Roman"/>
      <w:color w:val="000000"/>
      <w:sz w:val="22"/>
      <w:szCs w:val="22"/>
      <w:u w:val="none"/>
      <w:vertAlign w:val="superscript"/>
    </w:rPr>
  </w:style>
  <w:style w:type="character" w:customStyle="1" w:styleId="296">
    <w:name w:val="图名 Char"/>
    <w:qFormat/>
    <w:uiPriority w:val="0"/>
    <w:rPr>
      <w:rFonts w:ascii="仿宋_GB2312" w:eastAsia="宋体"/>
      <w:kern w:val="2"/>
      <w:sz w:val="24"/>
      <w:szCs w:val="24"/>
      <w:u w:val="double"/>
      <w:shd w:val="clear" w:color="auto" w:fill="FFFFFF"/>
      <w:lang w:val="en-US" w:eastAsia="zh-CN" w:bidi="ar-SA"/>
    </w:rPr>
  </w:style>
  <w:style w:type="character" w:customStyle="1" w:styleId="297">
    <w:name w:val="引用 Char1"/>
    <w:qFormat/>
    <w:uiPriority w:val="29"/>
    <w:rPr>
      <w:i/>
      <w:iCs/>
      <w:color w:val="000000"/>
      <w:kern w:val="2"/>
      <w:sz w:val="28"/>
      <w:szCs w:val="24"/>
    </w:rPr>
  </w:style>
  <w:style w:type="character" w:customStyle="1" w:styleId="298">
    <w:name w:val="HTML 预设格式 字符1"/>
    <w:qFormat/>
    <w:uiPriority w:val="0"/>
    <w:rPr>
      <w:rFonts w:ascii="Courier New" w:hAnsi="Courier New" w:cs="Courier New"/>
      <w:kern w:val="2"/>
    </w:rPr>
  </w:style>
  <w:style w:type="character" w:customStyle="1" w:styleId="299">
    <w:name w:val="样式 表右齐 + Char"/>
    <w:basedOn w:val="183"/>
    <w:uiPriority w:val="0"/>
  </w:style>
  <w:style w:type="character" w:customStyle="1" w:styleId="300">
    <w:name w:val="表左齐 Char Char"/>
    <w:link w:val="301"/>
    <w:uiPriority w:val="0"/>
    <w:rPr>
      <w:rFonts w:ascii="仿宋_GB2312" w:cs="仿宋_GB2312"/>
      <w:kern w:val="2"/>
      <w:sz w:val="24"/>
      <w:szCs w:val="24"/>
    </w:rPr>
  </w:style>
  <w:style w:type="paragraph" w:customStyle="1" w:styleId="301">
    <w:name w:val="表左齐"/>
    <w:basedOn w:val="156"/>
    <w:link w:val="300"/>
    <w:uiPriority w:val="0"/>
    <w:pPr>
      <w:adjustRightInd/>
      <w:spacing w:line="360" w:lineRule="auto"/>
      <w:ind w:left="0" w:leftChars="0" w:right="0" w:rightChars="0" w:firstLine="0"/>
      <w:jc w:val="left"/>
    </w:pPr>
    <w:rPr>
      <w:kern w:val="2"/>
    </w:rPr>
  </w:style>
  <w:style w:type="character" w:customStyle="1" w:styleId="302">
    <w:name w:val="结束语 字符1"/>
    <w:uiPriority w:val="0"/>
    <w:rPr>
      <w:kern w:val="2"/>
      <w:sz w:val="24"/>
      <w:szCs w:val="24"/>
    </w:rPr>
  </w:style>
  <w:style w:type="character" w:customStyle="1" w:styleId="303">
    <w:name w:val="签名 字符1"/>
    <w:qFormat/>
    <w:uiPriority w:val="0"/>
    <w:rPr>
      <w:kern w:val="2"/>
      <w:sz w:val="24"/>
      <w:szCs w:val="24"/>
    </w:rPr>
  </w:style>
  <w:style w:type="character" w:customStyle="1" w:styleId="304">
    <w:name w:val="black"/>
    <w:uiPriority w:val="0"/>
    <w:rPr>
      <w:rFonts w:eastAsia="宋体"/>
      <w:kern w:val="2"/>
      <w:sz w:val="28"/>
      <w:szCs w:val="24"/>
      <w:lang w:val="en-US" w:eastAsia="zh-CN" w:bidi="ar-SA"/>
    </w:rPr>
  </w:style>
  <w:style w:type="character" w:customStyle="1" w:styleId="305">
    <w:name w:val=" Char Char3"/>
    <w:qFormat/>
    <w:uiPriority w:val="99"/>
    <w:rPr>
      <w:rFonts w:eastAsia="宋体"/>
      <w:b/>
      <w:bCs/>
      <w:kern w:val="2"/>
      <w:sz w:val="32"/>
      <w:szCs w:val="32"/>
      <w:lang w:val="en-US" w:eastAsia="zh-CN" w:bidi="ar-SA"/>
    </w:rPr>
  </w:style>
  <w:style w:type="character" w:customStyle="1" w:styleId="306">
    <w:name w:val="批注主题 字符1"/>
    <w:qFormat/>
    <w:uiPriority w:val="0"/>
    <w:rPr>
      <w:b/>
      <w:bCs/>
      <w:kern w:val="2"/>
      <w:sz w:val="24"/>
      <w:szCs w:val="24"/>
    </w:rPr>
  </w:style>
  <w:style w:type="character" w:customStyle="1" w:styleId="307">
    <w:name w:val="表文 Char"/>
    <w:uiPriority w:val="0"/>
    <w:rPr>
      <w:rFonts w:eastAsia="宋体"/>
      <w:snapToGrid w:val="0"/>
      <w:kern w:val="10"/>
      <w:sz w:val="21"/>
      <w:szCs w:val="24"/>
      <w:lang w:val="en-US" w:eastAsia="zh-CN" w:bidi="ar-SA"/>
    </w:rPr>
  </w:style>
  <w:style w:type="character" w:customStyle="1" w:styleId="308">
    <w:name w:val="结束语 Char1"/>
    <w:uiPriority w:val="0"/>
    <w:rPr>
      <w:kern w:val="2"/>
      <w:sz w:val="21"/>
      <w:szCs w:val="24"/>
    </w:rPr>
  </w:style>
  <w:style w:type="character" w:customStyle="1" w:styleId="309">
    <w:name w:val=" Char Char2"/>
    <w:qFormat/>
    <w:locked/>
    <w:uiPriority w:val="99"/>
    <w:rPr>
      <w:rFonts w:ascii="Times New Roman" w:hAnsi="Times New Roman" w:eastAsia="仿宋_GB2312" w:cs="Times New Roman"/>
      <w:sz w:val="18"/>
      <w:szCs w:val="18"/>
    </w:rPr>
  </w:style>
  <w:style w:type="character" w:customStyle="1" w:styleId="310">
    <w:name w:val="_Style 309"/>
    <w:qFormat/>
    <w:uiPriority w:val="0"/>
    <w:rPr>
      <w:rFonts w:eastAsia="宋体"/>
      <w:kern w:val="2"/>
      <w:sz w:val="24"/>
      <w:szCs w:val="24"/>
      <w:u w:val="single"/>
      <w:lang w:val="en-US" w:eastAsia="zh-CN" w:bidi="ar-SA"/>
    </w:rPr>
  </w:style>
  <w:style w:type="character" w:customStyle="1" w:styleId="311">
    <w:name w:val="样式  + (西文) Times New Roman (中文) 方正书宋简体 Char Char"/>
    <w:qFormat/>
    <w:uiPriority w:val="0"/>
    <w:rPr>
      <w:rFonts w:ascii="宋体" w:eastAsia="宋体"/>
      <w:sz w:val="24"/>
      <w:szCs w:val="24"/>
      <w:lang w:val="en-US" w:eastAsia="zh-CN" w:bidi="ar-SA"/>
    </w:rPr>
  </w:style>
  <w:style w:type="character" w:customStyle="1" w:styleId="312">
    <w:name w:val="样式 正文文本 + 宋体 四号 Char"/>
    <w:link w:val="313"/>
    <w:uiPriority w:val="0"/>
    <w:rPr>
      <w:rFonts w:ascii="宋体" w:hAnsi="宋体"/>
      <w:color w:val="000000"/>
      <w:kern w:val="2"/>
      <w:sz w:val="24"/>
      <w:szCs w:val="24"/>
    </w:rPr>
  </w:style>
  <w:style w:type="paragraph" w:customStyle="1" w:styleId="313">
    <w:name w:val="样式 正文文本 + 宋体 四号"/>
    <w:basedOn w:val="33"/>
    <w:link w:val="312"/>
    <w:qFormat/>
    <w:uiPriority w:val="0"/>
    <w:pPr>
      <w:adjustRightInd/>
      <w:snapToGrid/>
      <w:spacing w:line="360" w:lineRule="auto"/>
      <w:ind w:firstLine="723" w:firstLineChars="200"/>
      <w:jc w:val="left"/>
    </w:pPr>
    <w:rPr>
      <w:color w:val="000000"/>
      <w:kern w:val="2"/>
      <w:szCs w:val="24"/>
    </w:rPr>
  </w:style>
  <w:style w:type="character" w:customStyle="1" w:styleId="314">
    <w:name w:val="_Style 313"/>
    <w:qFormat/>
    <w:uiPriority w:val="0"/>
    <w:rPr>
      <w:i/>
      <w:color w:val="5A5A5A"/>
    </w:rPr>
  </w:style>
  <w:style w:type="character" w:customStyle="1" w:styleId="315">
    <w:name w:val=" Char Char9"/>
    <w:uiPriority w:val="0"/>
    <w:rPr>
      <w:rFonts w:ascii="仿宋_GB2312" w:hAnsi="仿宋_GB2312" w:eastAsia="仿宋_GB2312"/>
      <w:b/>
      <w:bCs/>
      <w:kern w:val="2"/>
      <w:sz w:val="32"/>
      <w:szCs w:val="32"/>
    </w:rPr>
  </w:style>
  <w:style w:type="character" w:customStyle="1" w:styleId="316">
    <w:name w:val="HTML 地址 字符1"/>
    <w:uiPriority w:val="0"/>
    <w:rPr>
      <w:i/>
      <w:iCs/>
      <w:kern w:val="2"/>
      <w:sz w:val="24"/>
      <w:szCs w:val="24"/>
    </w:rPr>
  </w:style>
  <w:style w:type="character" w:customStyle="1" w:styleId="317">
    <w:name w:val="批注文字 字符"/>
    <w:uiPriority w:val="0"/>
    <w:rPr>
      <w:kern w:val="2"/>
      <w:sz w:val="21"/>
      <w:szCs w:val="21"/>
    </w:rPr>
  </w:style>
  <w:style w:type="character" w:customStyle="1" w:styleId="318">
    <w:name w:val="尾注文本 字符1"/>
    <w:uiPriority w:val="0"/>
    <w:rPr>
      <w:kern w:val="2"/>
      <w:sz w:val="24"/>
      <w:szCs w:val="24"/>
    </w:rPr>
  </w:style>
  <w:style w:type="character" w:customStyle="1" w:styleId="319">
    <w:name w:val="副标题 Char2"/>
    <w:qFormat/>
    <w:uiPriority w:val="0"/>
    <w:rPr>
      <w:rFonts w:ascii="Cambria" w:hAnsi="Cambria" w:cs="Times New Roman"/>
      <w:b/>
      <w:bCs/>
      <w:kern w:val="28"/>
      <w:sz w:val="32"/>
      <w:szCs w:val="32"/>
    </w:rPr>
  </w:style>
  <w:style w:type="character" w:customStyle="1" w:styleId="320">
    <w:name w:val="信息标题 Char1"/>
    <w:qFormat/>
    <w:uiPriority w:val="0"/>
    <w:rPr>
      <w:rFonts w:ascii="Cambria" w:hAnsi="Cambria" w:eastAsia="宋体" w:cs="Times New Roman"/>
      <w:kern w:val="2"/>
      <w:sz w:val="24"/>
      <w:szCs w:val="24"/>
      <w:shd w:val="pct20" w:color="auto" w:fill="auto"/>
    </w:rPr>
  </w:style>
  <w:style w:type="character" w:customStyle="1" w:styleId="321">
    <w:name w:val="样式 小三"/>
    <w:qFormat/>
    <w:uiPriority w:val="0"/>
    <w:rPr>
      <w:rFonts w:eastAsia="宋体"/>
      <w:kern w:val="2"/>
      <w:sz w:val="28"/>
      <w:szCs w:val="28"/>
      <w:lang w:val="en-US" w:eastAsia="zh-CN" w:bidi="ar-SA"/>
    </w:rPr>
  </w:style>
  <w:style w:type="character" w:customStyle="1" w:styleId="322">
    <w:name w:val="电子邮件签名 字符1"/>
    <w:uiPriority w:val="0"/>
    <w:rPr>
      <w:kern w:val="2"/>
      <w:sz w:val="24"/>
      <w:szCs w:val="24"/>
    </w:rPr>
  </w:style>
  <w:style w:type="character" w:customStyle="1" w:styleId="323">
    <w:name w:val="font21"/>
    <w:qFormat/>
    <w:uiPriority w:val="0"/>
    <w:rPr>
      <w:rFonts w:hint="eastAsia" w:ascii="宋体" w:hAnsi="宋体" w:eastAsia="宋体" w:cs="宋体"/>
      <w:color w:val="000000"/>
      <w:sz w:val="21"/>
      <w:szCs w:val="21"/>
      <w:u w:val="none"/>
    </w:rPr>
  </w:style>
  <w:style w:type="character" w:customStyle="1" w:styleId="324">
    <w:name w:val="样式 样式 小三 左 首行缩进:  1.06 厘米 + 宋体 Char Char"/>
    <w:qFormat/>
    <w:uiPriority w:val="0"/>
    <w:rPr>
      <w:rFonts w:ascii="宋体" w:hAnsi="宋体" w:eastAsia="宋体" w:cs="宋体"/>
      <w:kern w:val="2"/>
      <w:sz w:val="28"/>
      <w:szCs w:val="24"/>
      <w:lang w:val="en-US" w:eastAsia="zh-CN" w:bidi="ar-SA"/>
    </w:rPr>
  </w:style>
  <w:style w:type="character" w:customStyle="1" w:styleId="325">
    <w:name w:val="con"/>
    <w:basedOn w:val="88"/>
    <w:qFormat/>
    <w:uiPriority w:val="0"/>
  </w:style>
  <w:style w:type="character" w:customStyle="1" w:styleId="326">
    <w:name w:val="正文小4号缩进 Char"/>
    <w:uiPriority w:val="0"/>
    <w:rPr>
      <w:rFonts w:ascii="宋体" w:hAnsi="宋体" w:eastAsia="宋体"/>
      <w:color w:val="FF0000"/>
      <w:sz w:val="28"/>
      <w:szCs w:val="28"/>
      <w:lang w:val="en-US" w:eastAsia="zh-CN" w:bidi="ar-SA"/>
    </w:rPr>
  </w:style>
  <w:style w:type="character" w:customStyle="1" w:styleId="327">
    <w:name w:val=" Char Char10"/>
    <w:qFormat/>
    <w:locked/>
    <w:uiPriority w:val="99"/>
    <w:rPr>
      <w:rFonts w:ascii="华文楷体" w:hAnsi="华文楷体" w:eastAsia="华文楷体"/>
      <w:b/>
      <w:bCs/>
      <w:sz w:val="32"/>
      <w:szCs w:val="32"/>
    </w:rPr>
  </w:style>
  <w:style w:type="character" w:customStyle="1" w:styleId="328">
    <w:name w:val=" Char Char5"/>
    <w:semiHidden/>
    <w:uiPriority w:val="99"/>
    <w:rPr>
      <w:rFonts w:ascii="宋体" w:hAnsi="Times New Roman"/>
      <w:kern w:val="2"/>
      <w:sz w:val="18"/>
      <w:szCs w:val="18"/>
    </w:rPr>
  </w:style>
  <w:style w:type="character" w:customStyle="1" w:styleId="329">
    <w:name w:val="bhq正文 Char Char"/>
    <w:link w:val="330"/>
    <w:qFormat/>
    <w:uiPriority w:val="0"/>
    <w:rPr>
      <w:rFonts w:ascii="宋体" w:hAnsi="宋体"/>
      <w:kern w:val="2"/>
      <w:sz w:val="28"/>
      <w:szCs w:val="24"/>
    </w:rPr>
  </w:style>
  <w:style w:type="paragraph" w:customStyle="1" w:styleId="330">
    <w:name w:val="bhq正文"/>
    <w:basedOn w:val="1"/>
    <w:link w:val="329"/>
    <w:uiPriority w:val="0"/>
    <w:pPr>
      <w:adjustRightInd w:val="0"/>
      <w:snapToGrid w:val="0"/>
      <w:spacing w:line="432" w:lineRule="auto"/>
      <w:ind w:firstLine="567" w:firstLineChars="200"/>
    </w:pPr>
    <w:rPr>
      <w:rFonts w:ascii="宋体" w:hAnsi="宋体"/>
      <w:sz w:val="28"/>
    </w:rPr>
  </w:style>
  <w:style w:type="character" w:customStyle="1" w:styleId="331">
    <w:name w:val="宏文本 Char1"/>
    <w:qFormat/>
    <w:uiPriority w:val="0"/>
    <w:rPr>
      <w:rFonts w:ascii="Courier New" w:hAnsi="Courier New" w:cs="Courier New"/>
      <w:kern w:val="2"/>
      <w:sz w:val="24"/>
      <w:szCs w:val="24"/>
    </w:rPr>
  </w:style>
  <w:style w:type="character" w:customStyle="1" w:styleId="332">
    <w:name w:val="尾注文本 Char1"/>
    <w:uiPriority w:val="0"/>
    <w:rPr>
      <w:kern w:val="2"/>
      <w:sz w:val="21"/>
      <w:szCs w:val="24"/>
    </w:rPr>
  </w:style>
  <w:style w:type="character" w:customStyle="1" w:styleId="333">
    <w:name w:val="表文 Char Char"/>
    <w:link w:val="334"/>
    <w:uiPriority w:val="0"/>
    <w:rPr>
      <w:kern w:val="10"/>
      <w:sz w:val="21"/>
      <w:szCs w:val="28"/>
    </w:rPr>
  </w:style>
  <w:style w:type="paragraph" w:customStyle="1" w:styleId="334">
    <w:name w:val="表文"/>
    <w:basedOn w:val="1"/>
    <w:next w:val="1"/>
    <w:link w:val="333"/>
    <w:qFormat/>
    <w:uiPriority w:val="0"/>
    <w:pPr>
      <w:adjustRightInd w:val="0"/>
      <w:snapToGrid w:val="0"/>
      <w:spacing w:line="360" w:lineRule="auto"/>
      <w:ind w:firstLine="723" w:firstLineChars="200"/>
      <w:jc w:val="center"/>
      <w:textAlignment w:val="baseline"/>
    </w:pPr>
    <w:rPr>
      <w:kern w:val="10"/>
      <w:sz w:val="21"/>
      <w:szCs w:val="28"/>
    </w:rPr>
  </w:style>
  <w:style w:type="character" w:customStyle="1" w:styleId="335">
    <w:name w:val="font112"/>
    <w:basedOn w:val="88"/>
    <w:qFormat/>
    <w:uiPriority w:val="0"/>
    <w:rPr>
      <w:rFonts w:hint="default" w:ascii="Times New Roman" w:hAnsi="Times New Roman" w:cs="Times New Roman"/>
      <w:color w:val="000000"/>
      <w:sz w:val="22"/>
      <w:szCs w:val="22"/>
      <w:u w:val="none"/>
    </w:rPr>
  </w:style>
  <w:style w:type="character" w:customStyle="1" w:styleId="336">
    <w:name w:val="书籍标题1"/>
    <w:basedOn w:val="88"/>
    <w:uiPriority w:val="0"/>
    <w:rPr>
      <w:rFonts w:eastAsia="华文中宋"/>
      <w:b/>
      <w:caps/>
      <w:color w:val="622423"/>
      <w:spacing w:val="5"/>
      <w:kern w:val="2"/>
      <w:sz w:val="28"/>
      <w:szCs w:val="28"/>
      <w:u w:val="none" w:color="622423"/>
      <w:lang w:val="en-US" w:eastAsia="zh-CN" w:bidi="ar-SA"/>
    </w:rPr>
  </w:style>
  <w:style w:type="character" w:customStyle="1" w:styleId="337">
    <w:name w:val="标题 2 Char3"/>
    <w:basedOn w:val="88"/>
    <w:qFormat/>
    <w:uiPriority w:val="0"/>
    <w:rPr>
      <w:rFonts w:hint="eastAsia" w:ascii="黑体" w:hAnsi="宋体" w:eastAsia="黑体" w:cs="黑体"/>
      <w:b/>
      <w:kern w:val="2"/>
      <w:sz w:val="32"/>
      <w:szCs w:val="24"/>
      <w:lang w:val="en-US" w:eastAsia="zh-CN" w:bidi="ar-SA"/>
    </w:rPr>
  </w:style>
  <w:style w:type="paragraph" w:customStyle="1" w:styleId="338">
    <w:name w:val="p0"/>
    <w:basedOn w:val="1"/>
    <w:qFormat/>
    <w:uiPriority w:val="0"/>
    <w:pPr>
      <w:widowControl/>
      <w:spacing w:line="460" w:lineRule="exact"/>
      <w:ind w:firstLine="723" w:firstLineChars="200"/>
    </w:pPr>
    <w:rPr>
      <w:kern w:val="0"/>
      <w:szCs w:val="21"/>
    </w:rPr>
  </w:style>
  <w:style w:type="paragraph" w:customStyle="1" w:styleId="339">
    <w:name w:val="font11"/>
    <w:basedOn w:val="1"/>
    <w:qFormat/>
    <w:uiPriority w:val="0"/>
    <w:pPr>
      <w:widowControl/>
      <w:spacing w:before="100" w:beforeAutospacing="1" w:after="100" w:afterAutospacing="1"/>
      <w:jc w:val="left"/>
    </w:pPr>
    <w:rPr>
      <w:rFonts w:hint="eastAsia" w:ascii="宋体" w:hAnsi="宋体"/>
      <w:color w:val="000000"/>
      <w:kern w:val="0"/>
      <w:sz w:val="21"/>
      <w:szCs w:val="21"/>
    </w:rPr>
  </w:style>
  <w:style w:type="paragraph" w:customStyle="1" w:styleId="340">
    <w:name w:val="font4"/>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341">
    <w:name w:val=" Char Char Char Char Char Char3 Char Char Char Char Char Char Char Char Char1 Char Char Char Char"/>
    <w:basedOn w:val="1"/>
    <w:qFormat/>
    <w:uiPriority w:val="0"/>
    <w:pPr>
      <w:spacing w:line="460" w:lineRule="exact"/>
      <w:ind w:firstLine="723" w:firstLineChars="200"/>
    </w:pPr>
    <w:rPr>
      <w:rFonts w:ascii="宋体" w:cs="宋体"/>
      <w:szCs w:val="21"/>
    </w:rPr>
  </w:style>
  <w:style w:type="paragraph" w:customStyle="1" w:styleId="342">
    <w:name w:val="xl2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kern w:val="0"/>
      <w:sz w:val="20"/>
      <w:szCs w:val="20"/>
    </w:rPr>
  </w:style>
  <w:style w:type="paragraph" w:customStyle="1" w:styleId="343">
    <w:name w:val="font0"/>
    <w:basedOn w:val="1"/>
    <w:uiPriority w:val="0"/>
    <w:pPr>
      <w:widowControl/>
      <w:spacing w:before="100" w:beforeAutospacing="1" w:after="100" w:afterAutospacing="1"/>
      <w:jc w:val="left"/>
    </w:pPr>
    <w:rPr>
      <w:rFonts w:hint="eastAsia" w:ascii="宋体" w:hAnsi="宋体"/>
      <w:kern w:val="0"/>
    </w:rPr>
  </w:style>
  <w:style w:type="paragraph" w:customStyle="1" w:styleId="344">
    <w:name w:val=" Char Char Char1 Char"/>
    <w:basedOn w:val="1"/>
    <w:uiPriority w:val="0"/>
    <w:rPr>
      <w:sz w:val="21"/>
    </w:rPr>
  </w:style>
  <w:style w:type="paragraph" w:customStyle="1" w:styleId="345">
    <w:name w:val="xl12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left"/>
    </w:pPr>
    <w:rPr>
      <w:rFonts w:ascii="宋体" w:hAnsi="宋体" w:cs="宋体"/>
      <w:b/>
      <w:bCs/>
      <w:color w:val="FF0000"/>
      <w:kern w:val="0"/>
      <w:szCs w:val="21"/>
    </w:rPr>
  </w:style>
  <w:style w:type="paragraph" w:customStyle="1" w:styleId="346">
    <w:name w:val="font15"/>
    <w:basedOn w:val="1"/>
    <w:qFormat/>
    <w:uiPriority w:val="0"/>
    <w:pPr>
      <w:widowControl/>
      <w:spacing w:before="100" w:beforeAutospacing="1" w:after="100" w:afterAutospacing="1"/>
      <w:jc w:val="left"/>
    </w:pPr>
    <w:rPr>
      <w:rFonts w:hint="eastAsia" w:ascii="宋体" w:hAnsi="宋体"/>
      <w:color w:val="3366FF"/>
      <w:kern w:val="0"/>
      <w:sz w:val="21"/>
      <w:szCs w:val="21"/>
    </w:rPr>
  </w:style>
  <w:style w:type="paragraph" w:customStyle="1" w:styleId="347">
    <w:name w:val="xl111"/>
    <w:basedOn w:val="1"/>
    <w:uiPriority w:val="0"/>
    <w:pPr>
      <w:widowControl/>
      <w:pBdr>
        <w:left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rPr>
  </w:style>
  <w:style w:type="paragraph" w:customStyle="1" w:styleId="348">
    <w:name w:val="正文小标题"/>
    <w:basedOn w:val="349"/>
    <w:next w:val="349"/>
    <w:qFormat/>
    <w:uiPriority w:val="0"/>
    <w:pPr>
      <w:ind w:firstLine="562"/>
      <w:outlineLvl w:val="2"/>
    </w:pPr>
    <w:rPr>
      <w:rFonts w:ascii="宋体" w:hAnsi="宋体"/>
      <w:bCs w:val="0"/>
      <w:sz w:val="28"/>
      <w:szCs w:val="28"/>
    </w:rPr>
  </w:style>
  <w:style w:type="paragraph" w:customStyle="1" w:styleId="349">
    <w:name w:val="正文格式"/>
    <w:qFormat/>
    <w:uiPriority w:val="0"/>
    <w:pPr>
      <w:widowControl w:val="0"/>
      <w:ind w:firstLine="602" w:firstLineChars="200"/>
      <w:jc w:val="both"/>
    </w:pPr>
    <w:rPr>
      <w:rFonts w:ascii="Times New Roman" w:hAnsi="Times New Roman" w:eastAsia="宋体" w:cs="Times New Roman"/>
      <w:b/>
      <w:bCs/>
      <w:kern w:val="2"/>
      <w:sz w:val="30"/>
      <w:szCs w:val="30"/>
      <w:lang w:val="en-US" w:eastAsia="zh-CN" w:bidi="ar-SA"/>
    </w:rPr>
  </w:style>
  <w:style w:type="paragraph" w:customStyle="1" w:styleId="350">
    <w:name w:val="表格内文字"/>
    <w:basedOn w:val="33"/>
    <w:uiPriority w:val="0"/>
    <w:pPr>
      <w:adjustRightInd/>
      <w:snapToGrid/>
      <w:spacing w:line="320" w:lineRule="exact"/>
      <w:ind w:firstLine="723" w:firstLineChars="200"/>
      <w:jc w:val="center"/>
    </w:pPr>
    <w:rPr>
      <w:rFonts w:ascii="Times New Roman" w:hAnsi="Times New Roman"/>
      <w:snapToGrid/>
      <w:spacing w:val="10"/>
      <w:kern w:val="2"/>
      <w:szCs w:val="20"/>
    </w:rPr>
  </w:style>
  <w:style w:type="paragraph" w:customStyle="1" w:styleId="351">
    <w:name w:val="陈样式3"/>
    <w:basedOn w:val="6"/>
    <w:uiPriority w:val="0"/>
    <w:pPr>
      <w:spacing w:before="0" w:after="0" w:line="415" w:lineRule="auto"/>
      <w:ind w:left="0" w:firstLine="562" w:firstLineChars="200"/>
      <w:jc w:val="left"/>
    </w:pPr>
    <w:rPr>
      <w:rFonts w:cs="宋体"/>
      <w:b w:val="0"/>
      <w:kern w:val="0"/>
      <w:sz w:val="30"/>
      <w:szCs w:val="18"/>
      <w:lang w:val="en-GB"/>
    </w:rPr>
  </w:style>
  <w:style w:type="paragraph" w:customStyle="1" w:styleId="35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1"/>
      <w:szCs w:val="21"/>
    </w:rPr>
  </w:style>
  <w:style w:type="paragraph" w:customStyle="1" w:styleId="353">
    <w:name w:val="标题3"/>
    <w:basedOn w:val="6"/>
    <w:uiPriority w:val="0"/>
    <w:pPr>
      <w:adjustRightInd w:val="0"/>
      <w:spacing w:before="60" w:after="60" w:line="360" w:lineRule="auto"/>
      <w:ind w:left="0" w:right="210" w:firstLine="723" w:firstLineChars="200"/>
      <w:jc w:val="left"/>
    </w:pPr>
    <w:rPr>
      <w:rFonts w:eastAsia="仿宋_GB2312"/>
      <w:b w:val="0"/>
      <w:bCs w:val="0"/>
      <w:sz w:val="24"/>
    </w:rPr>
  </w:style>
  <w:style w:type="paragraph" w:customStyle="1" w:styleId="354">
    <w:name w:val="样式"/>
    <w:basedOn w:val="1"/>
    <w:next w:val="34"/>
    <w:uiPriority w:val="0"/>
    <w:pPr>
      <w:spacing w:line="400" w:lineRule="exact"/>
      <w:ind w:firstLine="723" w:firstLineChars="200"/>
    </w:pPr>
    <w:rPr>
      <w:rFonts w:ascii="宋体" w:hAnsi="宋体" w:cs="宋体"/>
      <w:kern w:val="0"/>
      <w:szCs w:val="20"/>
    </w:rPr>
  </w:style>
  <w:style w:type="paragraph" w:customStyle="1" w:styleId="355">
    <w:name w:val="样式 四号"/>
    <w:basedOn w:val="1"/>
    <w:qFormat/>
    <w:uiPriority w:val="0"/>
    <w:pPr>
      <w:spacing w:line="360" w:lineRule="auto"/>
      <w:ind w:firstLine="192" w:firstLineChars="192"/>
    </w:pPr>
    <w:rPr>
      <w:rFonts w:cs="宋体"/>
      <w:kern w:val="0"/>
      <w:szCs w:val="20"/>
    </w:rPr>
  </w:style>
  <w:style w:type="paragraph" w:customStyle="1" w:styleId="356">
    <w:name w:val="样式3"/>
    <w:basedOn w:val="4"/>
    <w:qFormat/>
    <w:uiPriority w:val="0"/>
    <w:pPr>
      <w:ind w:firstLine="723" w:firstLineChars="200"/>
    </w:pPr>
    <w:rPr>
      <w:rFonts w:ascii="仿宋_GB2312" w:eastAsia="仿宋_GB2312"/>
    </w:rPr>
  </w:style>
  <w:style w:type="paragraph" w:customStyle="1" w:styleId="357">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b/>
      <w:bCs/>
      <w:color w:val="FF00FF"/>
      <w:kern w:val="0"/>
      <w:szCs w:val="21"/>
    </w:rPr>
  </w:style>
  <w:style w:type="paragraph" w:customStyle="1" w:styleId="358">
    <w:name w:val="页眉1"/>
    <w:basedOn w:val="56"/>
    <w:uiPriority w:val="0"/>
    <w:pPr>
      <w:pBdr>
        <w:bottom w:val="none" w:color="auto" w:sz="0" w:space="0"/>
      </w:pBdr>
      <w:adjustRightInd w:val="0"/>
      <w:spacing w:line="460" w:lineRule="exact"/>
      <w:ind w:firstLine="723" w:firstLineChars="200"/>
      <w:jc w:val="both"/>
    </w:pPr>
    <w:rPr>
      <w:snapToGrid w:val="0"/>
      <w:kern w:val="0"/>
      <w:shd w:val="clear" w:color="auto" w:fill="FFFFFF"/>
    </w:rPr>
  </w:style>
  <w:style w:type="paragraph" w:customStyle="1" w:styleId="359">
    <w:name w:val="三级标题"/>
    <w:basedOn w:val="1"/>
    <w:uiPriority w:val="0"/>
    <w:pPr>
      <w:spacing w:line="460" w:lineRule="exact"/>
      <w:ind w:firstLine="567" w:firstLineChars="200"/>
      <w:jc w:val="left"/>
    </w:pPr>
    <w:rPr>
      <w:rFonts w:eastAsia="楷体_GB2312"/>
      <w:b/>
      <w:sz w:val="28"/>
      <w:szCs w:val="20"/>
    </w:rPr>
  </w:style>
  <w:style w:type="paragraph" w:customStyle="1" w:styleId="360">
    <w:name w:val="样式 表格 + 五号 两端对齐"/>
    <w:basedOn w:val="188"/>
    <w:uiPriority w:val="0"/>
    <w:pPr>
      <w:wordWrap w:val="0"/>
      <w:adjustRightInd w:val="0"/>
      <w:spacing w:line="288" w:lineRule="auto"/>
      <w:ind w:firstLine="34"/>
      <w:jc w:val="left"/>
      <w:textAlignment w:val="baseline"/>
    </w:pPr>
    <w:rPr>
      <w:rFonts w:cs="宋体"/>
      <w:color w:val="000000"/>
      <w:kern w:val="16"/>
      <w:szCs w:val="21"/>
    </w:rPr>
  </w:style>
  <w:style w:type="paragraph" w:customStyle="1" w:styleId="361">
    <w:name w:val="样式 小四 居中"/>
    <w:basedOn w:val="1"/>
    <w:uiPriority w:val="0"/>
    <w:pPr>
      <w:adjustRightInd w:val="0"/>
      <w:snapToGrid w:val="0"/>
      <w:spacing w:line="360" w:lineRule="auto"/>
      <w:ind w:firstLine="723" w:firstLineChars="200"/>
      <w:jc w:val="center"/>
    </w:pPr>
    <w:rPr>
      <w:rFonts w:ascii="宋体" w:cs="宋体"/>
      <w:snapToGrid w:val="0"/>
      <w:kern w:val="0"/>
      <w:szCs w:val="20"/>
    </w:rPr>
  </w:style>
  <w:style w:type="paragraph" w:customStyle="1" w:styleId="362">
    <w:name w:val="xl26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b/>
      <w:bCs/>
      <w:kern w:val="0"/>
      <w:sz w:val="20"/>
      <w:szCs w:val="20"/>
    </w:rPr>
  </w:style>
  <w:style w:type="paragraph" w:customStyle="1" w:styleId="363">
    <w:name w:val="xj表格"/>
    <w:basedOn w:val="1"/>
    <w:uiPriority w:val="0"/>
    <w:pPr>
      <w:widowControl/>
      <w:adjustRightInd w:val="0"/>
      <w:snapToGrid w:val="0"/>
      <w:spacing w:line="288" w:lineRule="auto"/>
      <w:ind w:firstLine="723" w:firstLineChars="200"/>
      <w:jc w:val="center"/>
    </w:pPr>
    <w:rPr>
      <w:rFonts w:ascii="宋体" w:hAnsi="宋体" w:cs="宋体"/>
      <w:kern w:val="0"/>
      <w:szCs w:val="20"/>
    </w:rPr>
  </w:style>
  <w:style w:type="paragraph" w:customStyle="1" w:styleId="364">
    <w:name w:val="样式1"/>
    <w:basedOn w:val="7"/>
    <w:qFormat/>
    <w:uiPriority w:val="0"/>
    <w:pPr>
      <w:ind w:firstLine="625"/>
    </w:pPr>
  </w:style>
  <w:style w:type="paragraph" w:customStyle="1" w:styleId="365">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b/>
      <w:bCs/>
      <w:kern w:val="0"/>
      <w:sz w:val="20"/>
      <w:szCs w:val="20"/>
    </w:rPr>
  </w:style>
  <w:style w:type="paragraph" w:customStyle="1" w:styleId="366">
    <w:name w:val=" Char Char1 Char Char Char Char"/>
    <w:basedOn w:val="1"/>
    <w:semiHidden/>
    <w:qFormat/>
    <w:uiPriority w:val="0"/>
    <w:rPr>
      <w:sz w:val="21"/>
    </w:rPr>
  </w:style>
  <w:style w:type="paragraph" w:customStyle="1" w:styleId="367">
    <w:name w:val="样式 小三 左 首行缩进:  1.06 厘米"/>
    <w:basedOn w:val="1"/>
    <w:qFormat/>
    <w:uiPriority w:val="0"/>
    <w:pPr>
      <w:spacing w:line="360" w:lineRule="auto"/>
      <w:ind w:firstLine="601" w:firstLineChars="200"/>
      <w:jc w:val="left"/>
    </w:pPr>
    <w:rPr>
      <w:kern w:val="0"/>
      <w:szCs w:val="20"/>
    </w:rPr>
  </w:style>
  <w:style w:type="paragraph" w:customStyle="1" w:styleId="368">
    <w:name w:val="样式 列表 + (西文) 仿宋_GB2312"/>
    <w:basedOn w:val="65"/>
    <w:qFormat/>
    <w:uiPriority w:val="0"/>
    <w:pPr>
      <w:snapToGrid w:val="0"/>
      <w:spacing w:before="0" w:after="0" w:line="600" w:lineRule="atLeast"/>
    </w:pPr>
    <w:rPr>
      <w:rFonts w:ascii="仿宋_GB2312" w:hAnsi="仿宋_GB2312" w:eastAsia="仿宋_GB2312"/>
      <w:szCs w:val="28"/>
    </w:rPr>
  </w:style>
  <w:style w:type="paragraph" w:customStyle="1" w:styleId="369">
    <w:name w:val="任务页"/>
    <w:basedOn w:val="1"/>
    <w:qFormat/>
    <w:uiPriority w:val="0"/>
    <w:pPr>
      <w:spacing w:line="360" w:lineRule="auto"/>
      <w:ind w:firstLine="1144" w:firstLineChars="200"/>
    </w:pPr>
    <w:rPr>
      <w:kern w:val="0"/>
      <w:szCs w:val="20"/>
      <w:shd w:val="clear" w:color="auto" w:fill="FFFFFF"/>
    </w:rPr>
  </w:style>
  <w:style w:type="paragraph" w:customStyle="1" w:styleId="370">
    <w:name w:val="xl4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color w:val="3366FF"/>
      <w:kern w:val="0"/>
      <w:sz w:val="21"/>
      <w:szCs w:val="21"/>
    </w:rPr>
  </w:style>
  <w:style w:type="paragraph" w:customStyle="1" w:styleId="371">
    <w:name w:val="xl57"/>
    <w:basedOn w:val="1"/>
    <w:uiPriority w:val="0"/>
    <w:pPr>
      <w:widowControl/>
      <w:spacing w:before="100" w:beforeAutospacing="1" w:after="100" w:afterAutospacing="1" w:line="460" w:lineRule="exact"/>
      <w:ind w:firstLine="723" w:firstLineChars="200"/>
      <w:jc w:val="left"/>
      <w:textAlignment w:val="center"/>
    </w:pPr>
    <w:rPr>
      <w:kern w:val="0"/>
      <w:sz w:val="20"/>
      <w:szCs w:val="20"/>
    </w:rPr>
  </w:style>
  <w:style w:type="paragraph" w:customStyle="1" w:styleId="372">
    <w:name w:val="2 Char"/>
    <w:basedOn w:val="1"/>
    <w:uiPriority w:val="0"/>
    <w:pPr>
      <w:spacing w:line="460" w:lineRule="exact"/>
      <w:ind w:firstLine="723" w:firstLineChars="200"/>
    </w:pPr>
    <w:rPr>
      <w:rFonts w:ascii="Tahoma" w:hAnsi="Tahoma"/>
      <w:szCs w:val="20"/>
    </w:rPr>
  </w:style>
  <w:style w:type="paragraph" w:customStyle="1" w:styleId="373">
    <w:name w:val="CM2"/>
    <w:basedOn w:val="374"/>
    <w:next w:val="374"/>
    <w:unhideWhenUsed/>
    <w:qFormat/>
    <w:uiPriority w:val="99"/>
    <w:pPr>
      <w:spacing w:line="560" w:lineRule="atLeast"/>
    </w:pPr>
  </w:style>
  <w:style w:type="paragraph" w:customStyle="1" w:styleId="374">
    <w:name w:val="Defaul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75">
    <w:name w:val="xl45"/>
    <w:basedOn w:val="1"/>
    <w:qFormat/>
    <w:uiPriority w:val="0"/>
    <w:pPr>
      <w:widowControl/>
      <w:pBdr>
        <w:top w:val="single" w:color="auto" w:sz="4" w:space="0"/>
        <w:bottom w:val="single" w:color="auto" w:sz="4" w:space="0"/>
      </w:pBdr>
      <w:spacing w:before="100" w:beforeAutospacing="1" w:after="100" w:afterAutospacing="1"/>
      <w:jc w:val="center"/>
      <w:textAlignment w:val="center"/>
    </w:pPr>
    <w:rPr>
      <w:kern w:val="0"/>
      <w:sz w:val="20"/>
      <w:szCs w:val="20"/>
    </w:rPr>
  </w:style>
  <w:style w:type="paragraph" w:customStyle="1" w:styleId="376">
    <w:name w:val="样式 正文2 表内文字 + 字距调整8 磅"/>
    <w:basedOn w:val="1"/>
    <w:uiPriority w:val="0"/>
    <w:pPr>
      <w:widowControl/>
      <w:spacing w:line="360" w:lineRule="auto"/>
      <w:ind w:left="200" w:right="-21" w:hanging="200" w:hangingChars="200"/>
      <w:jc w:val="left"/>
    </w:pPr>
    <w:rPr>
      <w:color w:val="000000"/>
      <w:kern w:val="16"/>
      <w:szCs w:val="20"/>
    </w:rPr>
  </w:style>
  <w:style w:type="paragraph" w:customStyle="1" w:styleId="377">
    <w:name w:val="xl13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left"/>
    </w:pPr>
    <w:rPr>
      <w:b/>
      <w:bCs/>
      <w:color w:val="FF0000"/>
      <w:kern w:val="0"/>
      <w:szCs w:val="21"/>
    </w:rPr>
  </w:style>
  <w:style w:type="paragraph" w:customStyle="1" w:styleId="378">
    <w:name w:val="xl109"/>
    <w:basedOn w:val="1"/>
    <w:qFormat/>
    <w:uiPriority w:val="0"/>
    <w:pPr>
      <w:widowControl/>
      <w:pBdr>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sz w:val="20"/>
      <w:szCs w:val="20"/>
    </w:rPr>
  </w:style>
  <w:style w:type="paragraph" w:customStyle="1" w:styleId="379">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sz w:val="20"/>
      <w:szCs w:val="20"/>
    </w:rPr>
  </w:style>
  <w:style w:type="paragraph" w:customStyle="1" w:styleId="380">
    <w:name w:val="扉页2"/>
    <w:basedOn w:val="381"/>
    <w:uiPriority w:val="0"/>
    <w:pPr>
      <w:ind w:left="900" w:firstLine="561"/>
    </w:pPr>
  </w:style>
  <w:style w:type="paragraph" w:customStyle="1" w:styleId="381">
    <w:name w:val="扉页1"/>
    <w:basedOn w:val="382"/>
    <w:qFormat/>
    <w:uiPriority w:val="0"/>
    <w:pPr>
      <w:spacing w:line="360" w:lineRule="auto"/>
      <w:ind w:left="2160" w:leftChars="900" w:firstLine="560"/>
    </w:pPr>
  </w:style>
  <w:style w:type="paragraph" w:customStyle="1" w:styleId="382">
    <w:name w:val="扉页"/>
    <w:basedOn w:val="1"/>
    <w:qFormat/>
    <w:uiPriority w:val="0"/>
    <w:pPr>
      <w:adjustRightInd w:val="0"/>
      <w:snapToGrid w:val="0"/>
      <w:spacing w:line="480" w:lineRule="auto"/>
      <w:ind w:firstLine="723" w:firstLineChars="200"/>
    </w:pPr>
    <w:rPr>
      <w:rFonts w:ascii="宋体" w:hAnsi="宋体"/>
      <w:b/>
      <w:bCs/>
      <w:snapToGrid w:val="0"/>
      <w:kern w:val="0"/>
      <w:szCs w:val="28"/>
      <w:shd w:val="clear" w:color="auto" w:fill="FFFFFF"/>
    </w:rPr>
  </w:style>
  <w:style w:type="paragraph" w:customStyle="1" w:styleId="383">
    <w:name w:val="表格左对起"/>
    <w:basedOn w:val="1"/>
    <w:qFormat/>
    <w:uiPriority w:val="0"/>
    <w:pPr>
      <w:adjustRightInd w:val="0"/>
      <w:snapToGrid w:val="0"/>
      <w:spacing w:line="260" w:lineRule="exact"/>
      <w:ind w:firstLine="723" w:firstLineChars="200"/>
      <w:jc w:val="left"/>
    </w:pPr>
  </w:style>
  <w:style w:type="paragraph" w:customStyle="1" w:styleId="384">
    <w:name w:val="A"/>
    <w:basedOn w:val="1"/>
    <w:next w:val="1"/>
    <w:qFormat/>
    <w:uiPriority w:val="0"/>
    <w:pPr>
      <w:numPr>
        <w:ilvl w:val="0"/>
        <w:numId w:val="7"/>
      </w:numPr>
      <w:spacing w:line="460" w:lineRule="exact"/>
      <w:ind w:firstLineChars="200"/>
      <w:jc w:val="center"/>
      <w:outlineLvl w:val="0"/>
    </w:pPr>
    <w:rPr>
      <w:rFonts w:ascii="Calibri" w:hAnsi="Calibri" w:eastAsia="微软雅黑"/>
      <w:b/>
      <w:color w:val="548DD4"/>
      <w:sz w:val="44"/>
      <w:szCs w:val="22"/>
    </w:rPr>
  </w:style>
  <w:style w:type="paragraph" w:customStyle="1" w:styleId="385">
    <w:name w:val=" Char6"/>
    <w:basedOn w:val="1"/>
    <w:uiPriority w:val="0"/>
    <w:pPr>
      <w:adjustRightInd w:val="0"/>
      <w:snapToGrid w:val="0"/>
      <w:spacing w:line="360" w:lineRule="auto"/>
      <w:ind w:firstLine="640" w:firstLineChars="200"/>
      <w:jc w:val="left"/>
    </w:pPr>
    <w:rPr>
      <w:rFonts w:eastAsia="楷体_GB2312"/>
    </w:rPr>
  </w:style>
  <w:style w:type="paragraph" w:customStyle="1" w:styleId="386">
    <w:name w:val="标准中文版式_正文"/>
    <w:basedOn w:val="1"/>
    <w:uiPriority w:val="0"/>
    <w:pPr>
      <w:snapToGrid w:val="0"/>
      <w:spacing w:before="93" w:beforeLines="30" w:line="360" w:lineRule="auto"/>
      <w:ind w:firstLine="723" w:firstLineChars="200"/>
    </w:pPr>
    <w:rPr>
      <w:spacing w:val="-10"/>
      <w:szCs w:val="21"/>
    </w:rPr>
  </w:style>
  <w:style w:type="paragraph" w:customStyle="1" w:styleId="387">
    <w:name w:val="突出"/>
    <w:basedOn w:val="1"/>
    <w:uiPriority w:val="0"/>
    <w:pPr>
      <w:spacing w:line="360" w:lineRule="auto"/>
      <w:ind w:firstLine="480" w:firstLineChars="200"/>
    </w:pPr>
    <w:rPr>
      <w:rFonts w:eastAsia="楷体_GB2312"/>
      <w:b/>
      <w:kern w:val="0"/>
      <w:szCs w:val="20"/>
    </w:rPr>
  </w:style>
  <w:style w:type="paragraph" w:customStyle="1" w:styleId="388">
    <w:name w:val="unnamed1"/>
    <w:basedOn w:val="1"/>
    <w:uiPriority w:val="0"/>
    <w:pPr>
      <w:widowControl/>
      <w:spacing w:before="100" w:beforeAutospacing="1" w:after="100" w:afterAutospacing="1" w:line="460" w:lineRule="exact"/>
      <w:ind w:firstLine="723" w:firstLineChars="200"/>
      <w:jc w:val="left"/>
    </w:pPr>
    <w:rPr>
      <w:rFonts w:ascii="宋体" w:hAnsi="宋体"/>
      <w:color w:val="006699"/>
      <w:kern w:val="0"/>
      <w:sz w:val="18"/>
      <w:szCs w:val="18"/>
    </w:rPr>
  </w:style>
  <w:style w:type="paragraph" w:customStyle="1" w:styleId="389">
    <w:name w:val="一级标题"/>
    <w:basedOn w:val="1"/>
    <w:qFormat/>
    <w:uiPriority w:val="0"/>
    <w:pPr>
      <w:spacing w:line="460" w:lineRule="exact"/>
      <w:ind w:firstLine="723" w:firstLineChars="200"/>
      <w:jc w:val="center"/>
    </w:pPr>
    <w:rPr>
      <w:rFonts w:eastAsia="黑体"/>
      <w:b/>
      <w:sz w:val="30"/>
      <w:szCs w:val="20"/>
    </w:rPr>
  </w:style>
  <w:style w:type="paragraph" w:customStyle="1" w:styleId="390">
    <w:name w:val="xl15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left"/>
    </w:pPr>
    <w:rPr>
      <w:rFonts w:ascii="宋体" w:hAnsi="宋体" w:cs="宋体"/>
      <w:kern w:val="0"/>
      <w:szCs w:val="21"/>
    </w:rPr>
  </w:style>
  <w:style w:type="paragraph" w:customStyle="1" w:styleId="391">
    <w:name w:val="表格-居中-1.5倍"/>
    <w:basedOn w:val="1"/>
    <w:qFormat/>
    <w:uiPriority w:val="0"/>
    <w:pPr>
      <w:widowControl/>
      <w:adjustRightInd w:val="0"/>
      <w:spacing w:line="360" w:lineRule="auto"/>
      <w:ind w:firstLine="723" w:firstLineChars="200"/>
      <w:jc w:val="center"/>
    </w:pPr>
    <w:rPr>
      <w:rFonts w:ascii="宋体" w:hAnsi="宋体" w:cs="宋体"/>
      <w:color w:val="000000"/>
      <w:kern w:val="0"/>
      <w:szCs w:val="18"/>
    </w:rPr>
  </w:style>
  <w:style w:type="paragraph" w:customStyle="1" w:styleId="392">
    <w:name w:val="表格文字内容"/>
    <w:basedOn w:val="1"/>
    <w:qFormat/>
    <w:uiPriority w:val="0"/>
    <w:pPr>
      <w:spacing w:line="240" w:lineRule="exact"/>
      <w:ind w:firstLine="723" w:firstLineChars="200"/>
      <w:jc w:val="center"/>
    </w:pPr>
    <w:rPr>
      <w:rFonts w:ascii="Calibri" w:hAnsi="Calibri" w:cs="宋体"/>
      <w:sz w:val="18"/>
      <w:szCs w:val="22"/>
    </w:rPr>
  </w:style>
  <w:style w:type="paragraph" w:customStyle="1" w:styleId="393">
    <w:name w:val="xl95"/>
    <w:basedOn w:val="1"/>
    <w:uiPriority w:val="0"/>
    <w:pPr>
      <w:widowControl/>
      <w:pBdr>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sz w:val="20"/>
      <w:szCs w:val="20"/>
    </w:rPr>
  </w:style>
  <w:style w:type="paragraph" w:customStyle="1" w:styleId="394">
    <w:name w:val="xl12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b/>
      <w:bCs/>
      <w:color w:val="FF00FF"/>
      <w:kern w:val="0"/>
      <w:szCs w:val="21"/>
    </w:rPr>
  </w:style>
  <w:style w:type="paragraph" w:customStyle="1" w:styleId="395">
    <w:name w:val="Line 1 body"/>
    <w:basedOn w:val="1"/>
    <w:next w:val="1"/>
    <w:qFormat/>
    <w:uiPriority w:val="0"/>
    <w:pPr>
      <w:widowControl/>
      <w:tabs>
        <w:tab w:val="left" w:pos="2188"/>
      </w:tabs>
      <w:spacing w:before="40" w:line="460" w:lineRule="exact"/>
      <w:ind w:left="2188" w:hanging="1152" w:firstLineChars="200"/>
    </w:pPr>
    <w:rPr>
      <w:rFonts w:eastAsia="楷体_GB2312"/>
      <w:kern w:val="0"/>
      <w:szCs w:val="20"/>
    </w:rPr>
  </w:style>
  <w:style w:type="paragraph" w:customStyle="1" w:styleId="396">
    <w:name w:val="B"/>
    <w:basedOn w:val="1"/>
    <w:next w:val="1"/>
    <w:qFormat/>
    <w:uiPriority w:val="0"/>
    <w:pPr>
      <w:numPr>
        <w:ilvl w:val="1"/>
        <w:numId w:val="7"/>
      </w:numPr>
      <w:spacing w:line="460" w:lineRule="exact"/>
      <w:ind w:firstLineChars="200"/>
      <w:jc w:val="left"/>
      <w:outlineLvl w:val="1"/>
    </w:pPr>
    <w:rPr>
      <w:rFonts w:ascii="Calibri" w:hAnsi="Calibri" w:eastAsia="微软雅黑"/>
      <w:b/>
      <w:color w:val="E36C0A"/>
      <w:sz w:val="32"/>
      <w:szCs w:val="22"/>
    </w:rPr>
  </w:style>
  <w:style w:type="paragraph" w:customStyle="1" w:styleId="397">
    <w:name w:val="xl26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color w:val="FF0000"/>
      <w:kern w:val="0"/>
      <w:sz w:val="20"/>
      <w:szCs w:val="20"/>
    </w:rPr>
  </w:style>
  <w:style w:type="paragraph" w:customStyle="1" w:styleId="398">
    <w:name w:val="样式 标题 2 + 左侧:  0 厘米"/>
    <w:basedOn w:val="5"/>
    <w:qFormat/>
    <w:uiPriority w:val="0"/>
    <w:pPr>
      <w:adjustRightInd w:val="0"/>
      <w:snapToGrid w:val="0"/>
      <w:spacing w:line="240" w:lineRule="auto"/>
      <w:ind w:firstLine="562" w:firstLineChars="200"/>
    </w:pPr>
    <w:rPr>
      <w:rFonts w:ascii="宋体" w:hAnsi="宋体" w:cs="宋体"/>
      <w:b w:val="0"/>
      <w:szCs w:val="30"/>
    </w:rPr>
  </w:style>
  <w:style w:type="paragraph" w:customStyle="1" w:styleId="399">
    <w:name w:val="样式6"/>
    <w:basedOn w:val="54"/>
    <w:uiPriority w:val="0"/>
    <w:pPr>
      <w:tabs>
        <w:tab w:val="right" w:leader="dot" w:pos="8302"/>
        <w:tab w:val="clear" w:pos="4153"/>
        <w:tab w:val="clear" w:pos="8306"/>
      </w:tabs>
      <w:spacing w:line="360" w:lineRule="auto"/>
      <w:ind w:left="567" w:firstLine="723" w:firstLineChars="200"/>
    </w:pPr>
    <w:rPr>
      <w:rFonts w:ascii="宋体" w:hAnsi="宋体" w:eastAsia="仿宋_GB2312"/>
      <w:i/>
      <w:kern w:val="0"/>
      <w:sz w:val="24"/>
    </w:rPr>
  </w:style>
  <w:style w:type="paragraph" w:customStyle="1" w:styleId="400">
    <w:name w:val="默认段落字体 Para Char Char Char Char Char Char Char Char Char Char Char Char Char"/>
    <w:basedOn w:val="1"/>
    <w:next w:val="1"/>
    <w:qFormat/>
    <w:uiPriority w:val="0"/>
    <w:pPr>
      <w:spacing w:line="460" w:lineRule="exact"/>
      <w:ind w:firstLine="200" w:firstLineChars="200"/>
    </w:pPr>
    <w:rPr>
      <w:rFonts w:eastAsia="柧挬"/>
      <w:snapToGrid w:val="0"/>
      <w:kern w:val="0"/>
      <w:szCs w:val="20"/>
    </w:rPr>
  </w:style>
  <w:style w:type="paragraph" w:customStyle="1" w:styleId="401">
    <w:name w:val="xl19"/>
    <w:basedOn w:val="1"/>
    <w:qFormat/>
    <w:uiPriority w:val="0"/>
    <w:pPr>
      <w:widowControl/>
      <w:spacing w:before="100" w:beforeAutospacing="1" w:after="100" w:afterAutospacing="1"/>
      <w:jc w:val="center"/>
    </w:pPr>
    <w:rPr>
      <w:rFonts w:hint="eastAsia" w:ascii="宋体" w:hAnsi="宋体"/>
      <w:kern w:val="0"/>
    </w:rPr>
  </w:style>
  <w:style w:type="paragraph" w:customStyle="1" w:styleId="402">
    <w:name w:val="xl54"/>
    <w:basedOn w:val="1"/>
    <w:qFormat/>
    <w:uiPriority w:val="0"/>
    <w:pPr>
      <w:widowControl/>
      <w:pBdr>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textAlignment w:val="center"/>
    </w:pPr>
    <w:rPr>
      <w:rFonts w:ascii="宋体" w:hAnsi="宋体"/>
      <w:kern w:val="0"/>
    </w:rPr>
  </w:style>
  <w:style w:type="paragraph" w:customStyle="1" w:styleId="403">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b/>
      <w:bCs/>
      <w:kern w:val="0"/>
      <w:sz w:val="20"/>
      <w:szCs w:val="20"/>
    </w:rPr>
  </w:style>
  <w:style w:type="paragraph" w:customStyle="1" w:styleId="404">
    <w:name w:val=" Char1"/>
    <w:basedOn w:val="1"/>
    <w:qFormat/>
    <w:uiPriority w:val="0"/>
    <w:pPr>
      <w:spacing w:line="460" w:lineRule="exact"/>
      <w:ind w:firstLine="723" w:firstLineChars="200"/>
    </w:pPr>
    <w:rPr>
      <w:szCs w:val="20"/>
    </w:rPr>
  </w:style>
  <w:style w:type="paragraph" w:customStyle="1" w:styleId="405">
    <w:name w:val="xl103"/>
    <w:basedOn w:val="1"/>
    <w:qFormat/>
    <w:uiPriority w:val="0"/>
    <w:pPr>
      <w:widowControl/>
      <w:pBdr>
        <w:left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sz w:val="20"/>
      <w:szCs w:val="20"/>
    </w:rPr>
  </w:style>
  <w:style w:type="paragraph" w:customStyle="1" w:styleId="406">
    <w:name w:val="xl97"/>
    <w:basedOn w:val="1"/>
    <w:qFormat/>
    <w:uiPriority w:val="0"/>
    <w:pPr>
      <w:widowControl/>
      <w:pBdr>
        <w:left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sz w:val="20"/>
      <w:szCs w:val="20"/>
    </w:rPr>
  </w:style>
  <w:style w:type="paragraph" w:customStyle="1" w:styleId="407">
    <w:name w:val="xl4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08">
    <w:name w:val="xj正文"/>
    <w:basedOn w:val="1"/>
    <w:qFormat/>
    <w:uiPriority w:val="0"/>
    <w:pPr>
      <w:spacing w:line="360" w:lineRule="auto"/>
      <w:ind w:firstLine="200" w:firstLineChars="200"/>
    </w:pPr>
    <w:rPr>
      <w:rFonts w:ascii="宋体" w:hAnsi="宋体"/>
      <w:spacing w:val="24"/>
      <w:w w:val="90"/>
      <w:kern w:val="0"/>
      <w:szCs w:val="20"/>
    </w:rPr>
  </w:style>
  <w:style w:type="paragraph" w:customStyle="1" w:styleId="409">
    <w:name w:val="样式 居中 首行缩进:  0.85 厘米"/>
    <w:basedOn w:val="1"/>
    <w:qFormat/>
    <w:uiPriority w:val="0"/>
    <w:pPr>
      <w:spacing w:line="360" w:lineRule="auto"/>
      <w:ind w:firstLine="723" w:firstLineChars="200"/>
      <w:jc w:val="center"/>
    </w:pPr>
    <w:rPr>
      <w:rFonts w:cs="宋体"/>
      <w:kern w:val="0"/>
      <w:szCs w:val="20"/>
    </w:rPr>
  </w:style>
  <w:style w:type="paragraph" w:customStyle="1" w:styleId="410">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left"/>
    </w:pPr>
    <w:rPr>
      <w:b/>
      <w:bCs/>
      <w:color w:val="FF0000"/>
      <w:kern w:val="0"/>
      <w:szCs w:val="21"/>
    </w:rPr>
  </w:style>
  <w:style w:type="paragraph" w:customStyle="1" w:styleId="411">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sz w:val="20"/>
      <w:szCs w:val="20"/>
    </w:rPr>
  </w:style>
  <w:style w:type="paragraph" w:customStyle="1" w:styleId="412">
    <w:name w:val="正文样式1"/>
    <w:basedOn w:val="1"/>
    <w:qFormat/>
    <w:uiPriority w:val="0"/>
    <w:pPr>
      <w:adjustRightInd w:val="0"/>
      <w:snapToGrid w:val="0"/>
      <w:spacing w:line="460" w:lineRule="exact"/>
      <w:ind w:firstLine="480" w:firstLineChars="200"/>
    </w:pPr>
    <w:rPr>
      <w:rFonts w:ascii="Calibri" w:hAnsi="Calibri"/>
      <w:color w:val="000000"/>
    </w:rPr>
  </w:style>
  <w:style w:type="paragraph" w:customStyle="1" w:styleId="413">
    <w:name w:val="样式 仿宋_GB2312 小四 首行缩进:  0.85 厘米 行距: 固定值 30 磅"/>
    <w:basedOn w:val="1"/>
    <w:qFormat/>
    <w:uiPriority w:val="0"/>
    <w:pPr>
      <w:spacing w:line="360" w:lineRule="auto"/>
      <w:ind w:firstLine="480" w:firstLineChars="200"/>
    </w:pPr>
    <w:rPr>
      <w:rFonts w:ascii="仿宋_GB2312" w:eastAsia="仿宋_GB2312" w:cs="宋体"/>
      <w:szCs w:val="20"/>
    </w:rPr>
  </w:style>
  <w:style w:type="paragraph" w:customStyle="1" w:styleId="414">
    <w:name w:val="xl93"/>
    <w:basedOn w:val="1"/>
    <w:qFormat/>
    <w:uiPriority w:val="0"/>
    <w:pPr>
      <w:widowControl/>
      <w:pBdr>
        <w:top w:val="single" w:color="auto" w:sz="4" w:space="0"/>
        <w:left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sz w:val="20"/>
      <w:szCs w:val="20"/>
    </w:rPr>
  </w:style>
  <w:style w:type="paragraph" w:customStyle="1" w:styleId="415">
    <w:name w:val="TABLE"/>
    <w:basedOn w:val="1"/>
    <w:qFormat/>
    <w:uiPriority w:val="0"/>
    <w:pPr>
      <w:adjustRightInd w:val="0"/>
      <w:spacing w:line="0" w:lineRule="atLeast"/>
      <w:ind w:firstLine="723" w:firstLineChars="200"/>
      <w:jc w:val="center"/>
      <w:textAlignment w:val="baseline"/>
    </w:pPr>
    <w:rPr>
      <w:rFonts w:ascii="Arial" w:hAnsi="Arial"/>
      <w:kern w:val="0"/>
      <w:szCs w:val="20"/>
    </w:rPr>
  </w:style>
  <w:style w:type="paragraph" w:customStyle="1" w:styleId="416">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textAlignment w:val="center"/>
    </w:pPr>
    <w:rPr>
      <w:rFonts w:ascii="宋体" w:hAnsi="宋体" w:cs="宋体"/>
      <w:kern w:val="0"/>
      <w:sz w:val="20"/>
      <w:szCs w:val="20"/>
    </w:rPr>
  </w:style>
  <w:style w:type="paragraph" w:customStyle="1" w:styleId="417">
    <w:name w:val="xl101"/>
    <w:basedOn w:val="1"/>
    <w:qFormat/>
    <w:uiPriority w:val="0"/>
    <w:pPr>
      <w:widowControl/>
      <w:pBdr>
        <w:top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sz w:val="20"/>
      <w:szCs w:val="20"/>
    </w:rPr>
  </w:style>
  <w:style w:type="paragraph" w:customStyle="1" w:styleId="418">
    <w:name w:val="xl112"/>
    <w:basedOn w:val="1"/>
    <w:qFormat/>
    <w:uiPriority w:val="0"/>
    <w:pPr>
      <w:widowControl/>
      <w:pBdr>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rPr>
  </w:style>
  <w:style w:type="paragraph" w:customStyle="1" w:styleId="419">
    <w:name w:val="插图"/>
    <w:basedOn w:val="71"/>
    <w:next w:val="1"/>
    <w:qFormat/>
    <w:uiPriority w:val="0"/>
    <w:pPr>
      <w:spacing w:before="312" w:beforeLines="100" w:after="156" w:afterLines="50" w:line="360" w:lineRule="auto"/>
      <w:ind w:leftChars="0" w:firstLine="0" w:firstLineChars="0"/>
      <w:jc w:val="center"/>
    </w:pPr>
    <w:rPr>
      <w:sz w:val="28"/>
      <w:szCs w:val="20"/>
    </w:rPr>
  </w:style>
  <w:style w:type="paragraph" w:customStyle="1" w:styleId="420">
    <w:name w:val="font5"/>
    <w:basedOn w:val="1"/>
    <w:qFormat/>
    <w:uiPriority w:val="0"/>
    <w:pPr>
      <w:widowControl/>
      <w:spacing w:before="100" w:beforeAutospacing="1" w:after="100" w:afterAutospacing="1"/>
      <w:jc w:val="left"/>
    </w:pPr>
    <w:rPr>
      <w:rFonts w:hint="eastAsia" w:ascii="宋体" w:hAnsi="宋体" w:cs="Arial Unicode MS"/>
      <w:kern w:val="0"/>
      <w:sz w:val="18"/>
      <w:szCs w:val="18"/>
    </w:rPr>
  </w:style>
  <w:style w:type="paragraph" w:customStyle="1" w:styleId="421">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b/>
      <w:bCs/>
      <w:kern w:val="0"/>
      <w:sz w:val="20"/>
      <w:szCs w:val="20"/>
    </w:rPr>
  </w:style>
  <w:style w:type="paragraph" w:customStyle="1" w:styleId="422">
    <w:name w:val="文本正文"/>
    <w:basedOn w:val="1"/>
    <w:qFormat/>
    <w:uiPriority w:val="0"/>
    <w:pPr>
      <w:adjustRightInd w:val="0"/>
      <w:snapToGrid w:val="0"/>
      <w:spacing w:line="440" w:lineRule="exact"/>
      <w:ind w:firstLine="200" w:firstLineChars="200"/>
      <w:jc w:val="left"/>
    </w:pPr>
    <w:rPr>
      <w:rFonts w:hAnsi="宋体"/>
    </w:rPr>
  </w:style>
  <w:style w:type="paragraph" w:customStyle="1" w:styleId="423">
    <w:name w:val=" Char Char1"/>
    <w:basedOn w:val="1"/>
    <w:semiHidden/>
    <w:qFormat/>
    <w:uiPriority w:val="0"/>
    <w:pPr>
      <w:adjustRightInd w:val="0"/>
      <w:snapToGrid w:val="0"/>
      <w:spacing w:before="182" w:beforeLines="50" w:after="182" w:afterLines="50" w:line="480" w:lineRule="exact"/>
      <w:ind w:firstLine="200" w:firstLineChars="200"/>
      <w:jc w:val="left"/>
    </w:pPr>
    <w:rPr>
      <w:rFonts w:ascii="Tahoma" w:hAnsi="Tahoma"/>
      <w:szCs w:val="20"/>
    </w:rPr>
  </w:style>
  <w:style w:type="paragraph" w:customStyle="1" w:styleId="424">
    <w:name w:val="xl1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szCs w:val="21"/>
    </w:rPr>
  </w:style>
  <w:style w:type="paragraph" w:customStyle="1" w:styleId="425">
    <w:name w:val="正文 + 小四"/>
    <w:basedOn w:val="1"/>
    <w:qFormat/>
    <w:uiPriority w:val="0"/>
    <w:pPr>
      <w:adjustRightInd w:val="0"/>
      <w:spacing w:line="360" w:lineRule="auto"/>
      <w:ind w:firstLine="480" w:firstLineChars="200"/>
    </w:pPr>
  </w:style>
  <w:style w:type="paragraph" w:customStyle="1" w:styleId="426">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sz w:val="20"/>
      <w:szCs w:val="20"/>
    </w:rPr>
  </w:style>
  <w:style w:type="paragraph" w:customStyle="1" w:styleId="427">
    <w:name w:val="报告标题2"/>
    <w:basedOn w:val="1"/>
    <w:next w:val="1"/>
    <w:qFormat/>
    <w:uiPriority w:val="0"/>
    <w:pPr>
      <w:tabs>
        <w:tab w:val="left" w:pos="1420"/>
      </w:tabs>
      <w:adjustRightInd w:val="0"/>
      <w:snapToGrid w:val="0"/>
      <w:spacing w:beforeLines="150" w:afterLines="150"/>
      <w:ind w:left="1420" w:hanging="795"/>
      <w:jc w:val="left"/>
      <w:outlineLvl w:val="1"/>
    </w:pPr>
    <w:rPr>
      <w:rFonts w:ascii="宋体"/>
      <w:b/>
      <w:kern w:val="0"/>
      <w:sz w:val="30"/>
      <w:szCs w:val="30"/>
    </w:rPr>
  </w:style>
  <w:style w:type="paragraph" w:customStyle="1" w:styleId="428">
    <w:name w:val="样式 目录 3 + 首行缩进:  2 字符15"/>
    <w:basedOn w:val="43"/>
    <w:qFormat/>
    <w:uiPriority w:val="0"/>
    <w:pPr>
      <w:tabs>
        <w:tab w:val="right" w:leader="dot" w:pos="8400"/>
      </w:tabs>
      <w:snapToGrid w:val="0"/>
      <w:spacing w:before="78" w:beforeLines="25" w:line="432" w:lineRule="auto"/>
      <w:ind w:left="0" w:right="102" w:firstLine="561"/>
    </w:pPr>
    <w:rPr>
      <w:rFonts w:ascii="宋体" w:hAnsi="宋体" w:eastAsia="宋体" w:cs="宋体"/>
      <w:iCs w:val="0"/>
      <w:snapToGrid w:val="0"/>
      <w:sz w:val="20"/>
      <w:szCs w:val="20"/>
    </w:rPr>
  </w:style>
  <w:style w:type="paragraph" w:customStyle="1" w:styleId="429">
    <w:name w:val="D"/>
    <w:basedOn w:val="1"/>
    <w:next w:val="1"/>
    <w:qFormat/>
    <w:uiPriority w:val="0"/>
    <w:pPr>
      <w:numPr>
        <w:ilvl w:val="3"/>
        <w:numId w:val="7"/>
      </w:numPr>
      <w:spacing w:line="460" w:lineRule="exact"/>
      <w:ind w:firstLineChars="200"/>
      <w:outlineLvl w:val="3"/>
    </w:pPr>
    <w:rPr>
      <w:rFonts w:ascii="Calibri" w:hAnsi="Calibri" w:eastAsia="微软雅黑"/>
      <w:b/>
      <w:color w:val="76923C"/>
      <w:szCs w:val="22"/>
    </w:rPr>
  </w:style>
  <w:style w:type="paragraph" w:customStyle="1" w:styleId="430">
    <w:name w:val="xl21"/>
    <w:basedOn w:val="1"/>
    <w:qFormat/>
    <w:uiPriority w:val="0"/>
    <w:pPr>
      <w:widowControl/>
      <w:spacing w:before="100" w:beforeAutospacing="1" w:after="100" w:afterAutospacing="1"/>
      <w:jc w:val="right"/>
    </w:pPr>
    <w:rPr>
      <w:rFonts w:hint="eastAsia" w:ascii="宋体" w:hAnsi="宋体"/>
      <w:kern w:val="0"/>
    </w:rPr>
  </w:style>
  <w:style w:type="paragraph" w:customStyle="1" w:styleId="431">
    <w:name w:val="xl23"/>
    <w:basedOn w:val="1"/>
    <w:qFormat/>
    <w:uiPriority w:val="0"/>
    <w:pPr>
      <w:widowControl/>
      <w:spacing w:before="100" w:beforeAutospacing="1" w:after="100" w:afterAutospacing="1"/>
      <w:jc w:val="left"/>
    </w:pPr>
    <w:rPr>
      <w:rFonts w:hint="eastAsia" w:ascii="宋体" w:hAnsi="宋体"/>
      <w:kern w:val="0"/>
    </w:rPr>
  </w:style>
  <w:style w:type="paragraph" w:customStyle="1" w:styleId="432">
    <w:name w:val="_Style 431"/>
    <w:unhideWhenUsed/>
    <w:qFormat/>
    <w:uiPriority w:val="99"/>
    <w:rPr>
      <w:rFonts w:ascii="Times New Roman" w:hAnsi="Times New Roman" w:eastAsia="宋体" w:cs="Times New Roman"/>
      <w:kern w:val="2"/>
      <w:sz w:val="24"/>
      <w:szCs w:val="24"/>
      <w:lang w:val="en-US" w:eastAsia="zh-CN" w:bidi="ar-SA"/>
    </w:rPr>
  </w:style>
  <w:style w:type="paragraph" w:customStyle="1" w:styleId="433">
    <w:name w:val="样式 标题 3 + 加粗"/>
    <w:basedOn w:val="6"/>
    <w:qFormat/>
    <w:uiPriority w:val="0"/>
    <w:pPr>
      <w:adjustRightInd w:val="0"/>
      <w:snapToGrid w:val="0"/>
      <w:spacing w:line="300" w:lineRule="auto"/>
      <w:ind w:left="0" w:firstLine="562" w:firstLineChars="200"/>
    </w:pPr>
    <w:rPr>
      <w:rFonts w:ascii="宋体" w:hAnsi="宋体" w:cs="宋体"/>
      <w:b w:val="0"/>
      <w:kern w:val="0"/>
      <w:sz w:val="24"/>
      <w:lang w:val="en-GB"/>
    </w:rPr>
  </w:style>
  <w:style w:type="paragraph" w:customStyle="1" w:styleId="434">
    <w:name w:val="正文小4号缩进"/>
    <w:basedOn w:val="1"/>
    <w:qFormat/>
    <w:uiPriority w:val="0"/>
    <w:pPr>
      <w:widowControl/>
      <w:adjustRightInd w:val="0"/>
      <w:snapToGrid w:val="0"/>
      <w:spacing w:line="360" w:lineRule="auto"/>
      <w:ind w:firstLine="298" w:firstLineChars="98"/>
    </w:pPr>
    <w:rPr>
      <w:rFonts w:ascii="宋体" w:hAnsi="宋体"/>
      <w:color w:val="FF0000"/>
      <w:kern w:val="0"/>
      <w:sz w:val="28"/>
      <w:szCs w:val="28"/>
    </w:rPr>
  </w:style>
  <w:style w:type="paragraph" w:customStyle="1" w:styleId="435">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b/>
      <w:bCs/>
      <w:kern w:val="0"/>
      <w:sz w:val="20"/>
      <w:szCs w:val="20"/>
    </w:rPr>
  </w:style>
  <w:style w:type="paragraph" w:customStyle="1" w:styleId="436">
    <w:name w:val="样式 正文文本缩进 + 宋体 四号 左侧:  0 厘米 首行缩进:  0.74 厘米 行距: 1.5 倍行距"/>
    <w:basedOn w:val="34"/>
    <w:qFormat/>
    <w:uiPriority w:val="0"/>
    <w:pPr>
      <w:spacing w:before="0" w:line="360" w:lineRule="auto"/>
      <w:ind w:firstLine="0" w:firstLineChars="0"/>
      <w:jc w:val="center"/>
    </w:pPr>
    <w:rPr>
      <w:rFonts w:hAnsi="Times New Roman" w:cs="宋体"/>
      <w:b/>
      <w:kern w:val="0"/>
      <w:sz w:val="24"/>
      <w:szCs w:val="20"/>
    </w:rPr>
  </w:style>
  <w:style w:type="paragraph" w:customStyle="1" w:styleId="437">
    <w:name w:val="样式 表格 + 五号"/>
    <w:basedOn w:val="188"/>
    <w:qFormat/>
    <w:uiPriority w:val="0"/>
    <w:pPr>
      <w:wordWrap w:val="0"/>
      <w:adjustRightInd w:val="0"/>
      <w:spacing w:line="288" w:lineRule="auto"/>
      <w:ind w:firstLine="34"/>
      <w:textAlignment w:val="baseline"/>
    </w:pPr>
    <w:rPr>
      <w:color w:val="000000"/>
      <w:kern w:val="18"/>
      <w:szCs w:val="21"/>
    </w:rPr>
  </w:style>
  <w:style w:type="paragraph" w:customStyle="1" w:styleId="438">
    <w:name w:val="样式 样式 标题 1 + 首行缩进:  2 字符 + 首行缩进:  2 字符"/>
    <w:basedOn w:val="1"/>
    <w:qFormat/>
    <w:uiPriority w:val="0"/>
    <w:pPr>
      <w:keepNext/>
      <w:keepLines/>
      <w:tabs>
        <w:tab w:val="left" w:pos="8460"/>
      </w:tabs>
      <w:snapToGrid w:val="0"/>
      <w:spacing w:before="300" w:after="300" w:line="480" w:lineRule="auto"/>
      <w:ind w:left="420" w:firstLine="723" w:firstLineChars="200"/>
      <w:jc w:val="center"/>
      <w:outlineLvl w:val="0"/>
    </w:pPr>
    <w:rPr>
      <w:rFonts w:eastAsia="黑体" w:cs="宋体"/>
      <w:b/>
      <w:bCs/>
      <w:kern w:val="44"/>
      <w:sz w:val="36"/>
      <w:szCs w:val="36"/>
    </w:rPr>
  </w:style>
  <w:style w:type="paragraph" w:customStyle="1" w:styleId="439">
    <w:name w:val="xl139"/>
    <w:basedOn w:val="1"/>
    <w:qFormat/>
    <w:uiPriority w:val="0"/>
    <w:pPr>
      <w:widowControl/>
      <w:pBdr>
        <w:top w:val="single" w:color="auto" w:sz="4" w:space="0"/>
        <w:bottom w:val="single" w:color="auto" w:sz="4" w:space="0"/>
        <w:right w:val="single" w:color="auto" w:sz="4" w:space="0"/>
      </w:pBdr>
      <w:spacing w:before="100" w:beforeAutospacing="1" w:after="100" w:afterAutospacing="1" w:line="460" w:lineRule="exact"/>
      <w:ind w:firstLine="723" w:firstLineChars="200"/>
      <w:jc w:val="center"/>
      <w:textAlignment w:val="top"/>
    </w:pPr>
    <w:rPr>
      <w:color w:val="000000"/>
      <w:kern w:val="0"/>
      <w:szCs w:val="21"/>
    </w:rPr>
  </w:style>
  <w:style w:type="paragraph" w:customStyle="1" w:styleId="440">
    <w:name w:val="C"/>
    <w:basedOn w:val="1"/>
    <w:next w:val="1"/>
    <w:qFormat/>
    <w:uiPriority w:val="0"/>
    <w:pPr>
      <w:numPr>
        <w:ilvl w:val="2"/>
        <w:numId w:val="7"/>
      </w:numPr>
      <w:spacing w:line="460" w:lineRule="exact"/>
      <w:ind w:firstLineChars="200"/>
      <w:jc w:val="left"/>
      <w:outlineLvl w:val="2"/>
    </w:pPr>
    <w:rPr>
      <w:rFonts w:ascii="Calibri" w:hAnsi="Calibri" w:eastAsia="黑体"/>
      <w:b/>
      <w:color w:val="5F497A"/>
      <w:sz w:val="30"/>
      <w:szCs w:val="22"/>
    </w:rPr>
  </w:style>
  <w:style w:type="paragraph" w:customStyle="1" w:styleId="441">
    <w:name w:val="font6"/>
    <w:basedOn w:val="1"/>
    <w:qFormat/>
    <w:uiPriority w:val="0"/>
    <w:pPr>
      <w:widowControl/>
      <w:spacing w:before="100" w:beforeAutospacing="1" w:after="100" w:afterAutospacing="1"/>
      <w:jc w:val="left"/>
    </w:pPr>
    <w:rPr>
      <w:rFonts w:hint="eastAsia" w:ascii="宋体" w:hAnsi="宋体" w:cs="Arial Unicode MS"/>
      <w:kern w:val="0"/>
    </w:rPr>
  </w:style>
  <w:style w:type="paragraph" w:customStyle="1" w:styleId="442">
    <w:name w:val="xl1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color w:val="993366"/>
      <w:kern w:val="0"/>
      <w:szCs w:val="21"/>
    </w:rPr>
  </w:style>
  <w:style w:type="paragraph" w:customStyle="1" w:styleId="443">
    <w:name w:val="List Paragraph1"/>
    <w:basedOn w:val="1"/>
    <w:qFormat/>
    <w:uiPriority w:val="0"/>
    <w:pPr>
      <w:widowControl/>
      <w:spacing w:before="120" w:after="240"/>
      <w:ind w:firstLine="420" w:firstLineChars="200"/>
    </w:pPr>
    <w:rPr>
      <w:rFonts w:ascii="Calibri" w:hAnsi="Calibri" w:eastAsia="等线"/>
      <w:kern w:val="0"/>
      <w:sz w:val="22"/>
      <w:szCs w:val="22"/>
      <w:lang w:val="ru-RU" w:eastAsia="en-US"/>
    </w:rPr>
  </w:style>
  <w:style w:type="paragraph" w:customStyle="1" w:styleId="444">
    <w:name w:val="xl1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right"/>
    </w:pPr>
    <w:rPr>
      <w:color w:val="993366"/>
      <w:kern w:val="0"/>
      <w:szCs w:val="21"/>
    </w:rPr>
  </w:style>
  <w:style w:type="paragraph" w:customStyle="1" w:styleId="445">
    <w:name w:val=" Char Char Char1 Char Char Char Char Char Char Char"/>
    <w:basedOn w:val="1"/>
    <w:qFormat/>
    <w:uiPriority w:val="0"/>
    <w:rPr>
      <w:sz w:val="21"/>
    </w:rPr>
  </w:style>
  <w:style w:type="paragraph" w:customStyle="1" w:styleId="446">
    <w:name w:val="表中齐小"/>
    <w:basedOn w:val="1"/>
    <w:qFormat/>
    <w:uiPriority w:val="0"/>
    <w:pPr>
      <w:shd w:val="clear" w:color="auto" w:fill="FFFFFF"/>
      <w:adjustRightInd w:val="0"/>
      <w:snapToGrid w:val="0"/>
      <w:spacing w:line="460" w:lineRule="exact"/>
      <w:ind w:firstLine="723" w:firstLineChars="200"/>
      <w:jc w:val="center"/>
    </w:pPr>
    <w:rPr>
      <w:rFonts w:ascii="仿宋_GB2312"/>
      <w:kern w:val="18"/>
      <w:szCs w:val="20"/>
      <w:shd w:val="clear" w:color="auto" w:fill="FFFFFF"/>
    </w:rPr>
  </w:style>
  <w:style w:type="paragraph" w:customStyle="1" w:styleId="447">
    <w:name w:val="标题  1"/>
    <w:basedOn w:val="448"/>
    <w:qFormat/>
    <w:uiPriority w:val="0"/>
    <w:pPr>
      <w:adjustRightInd w:val="0"/>
      <w:spacing w:before="300" w:after="300" w:line="360" w:lineRule="auto"/>
    </w:pPr>
    <w:rPr>
      <w:rFonts w:ascii="Times New Roman" w:hAnsi="Times New Roman" w:eastAsia="黑体"/>
      <w:bCs w:val="0"/>
      <w:color w:val="auto"/>
      <w:sz w:val="32"/>
    </w:rPr>
  </w:style>
  <w:style w:type="paragraph" w:customStyle="1" w:styleId="448">
    <w:name w:val="样式 标题 1 + 宋体 四号 黑色 居中"/>
    <w:basedOn w:val="4"/>
    <w:qFormat/>
    <w:uiPriority w:val="0"/>
    <w:pPr>
      <w:ind w:firstLine="723" w:firstLineChars="200"/>
      <w:jc w:val="center"/>
    </w:pPr>
    <w:rPr>
      <w:rFonts w:ascii="宋体" w:hAnsi="宋体" w:cs="宋体"/>
      <w:color w:val="000000"/>
      <w:sz w:val="30"/>
      <w:szCs w:val="20"/>
    </w:rPr>
  </w:style>
  <w:style w:type="paragraph" w:customStyle="1" w:styleId="449">
    <w:name w:val="xl96"/>
    <w:basedOn w:val="1"/>
    <w:qFormat/>
    <w:uiPriority w:val="0"/>
    <w:pPr>
      <w:widowControl/>
      <w:pBdr>
        <w:top w:val="single" w:color="auto" w:sz="4" w:space="0"/>
        <w:left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sz w:val="20"/>
      <w:szCs w:val="20"/>
    </w:rPr>
  </w:style>
  <w:style w:type="paragraph" w:customStyle="1" w:styleId="450">
    <w:name w:val="普通(Web)3"/>
    <w:basedOn w:val="1"/>
    <w:qFormat/>
    <w:uiPriority w:val="0"/>
    <w:pPr>
      <w:widowControl/>
      <w:spacing w:before="100" w:beforeAutospacing="1" w:after="100" w:afterAutospacing="1" w:line="460" w:lineRule="exact"/>
      <w:ind w:firstLine="723" w:firstLineChars="200"/>
      <w:jc w:val="left"/>
    </w:pPr>
    <w:rPr>
      <w:rFonts w:ascii="宋体" w:hAnsi="宋体" w:cs="宋体"/>
      <w:kern w:val="0"/>
      <w:szCs w:val="20"/>
    </w:rPr>
  </w:style>
  <w:style w:type="paragraph" w:customStyle="1" w:styleId="451">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b/>
      <w:bCs/>
      <w:kern w:val="0"/>
      <w:sz w:val="20"/>
      <w:szCs w:val="20"/>
    </w:rPr>
  </w:style>
  <w:style w:type="paragraph" w:customStyle="1" w:styleId="452">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szCs w:val="21"/>
    </w:rPr>
  </w:style>
  <w:style w:type="paragraph" w:customStyle="1" w:styleId="453">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pPr>
    <w:rPr>
      <w:kern w:val="0"/>
      <w:szCs w:val="21"/>
    </w:rPr>
  </w:style>
  <w:style w:type="paragraph" w:customStyle="1" w:styleId="454">
    <w:name w:val="font8"/>
    <w:basedOn w:val="1"/>
    <w:qFormat/>
    <w:uiPriority w:val="0"/>
    <w:pPr>
      <w:widowControl/>
      <w:spacing w:before="100" w:beforeAutospacing="1" w:after="100" w:afterAutospacing="1"/>
      <w:jc w:val="left"/>
    </w:pPr>
    <w:rPr>
      <w:color w:val="FF0000"/>
      <w:kern w:val="0"/>
      <w:sz w:val="21"/>
      <w:szCs w:val="21"/>
    </w:rPr>
  </w:style>
  <w:style w:type="paragraph" w:customStyle="1" w:styleId="455">
    <w:name w:val=" Char Char Char1"/>
    <w:basedOn w:val="1"/>
    <w:semiHidden/>
    <w:qFormat/>
    <w:uiPriority w:val="0"/>
    <w:rPr>
      <w:sz w:val="21"/>
    </w:rPr>
  </w:style>
  <w:style w:type="paragraph" w:customStyle="1" w:styleId="456">
    <w:name w:val="xl52"/>
    <w:basedOn w:val="1"/>
    <w:qFormat/>
    <w:uiPriority w:val="0"/>
    <w:pPr>
      <w:widowControl/>
      <w:pBdr>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textAlignment w:val="center"/>
    </w:pPr>
    <w:rPr>
      <w:rFonts w:ascii="宋体" w:hAnsi="宋体"/>
      <w:kern w:val="0"/>
    </w:rPr>
  </w:style>
  <w:style w:type="paragraph" w:customStyle="1" w:styleId="457">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rPr>
  </w:style>
  <w:style w:type="paragraph" w:customStyle="1" w:styleId="458">
    <w:name w:val="表头1 加粗 居中"/>
    <w:basedOn w:val="1"/>
    <w:qFormat/>
    <w:uiPriority w:val="0"/>
    <w:pPr>
      <w:widowControl/>
      <w:spacing w:line="360" w:lineRule="auto"/>
      <w:ind w:right="-108" w:firstLine="482" w:firstLineChars="200"/>
      <w:jc w:val="center"/>
    </w:pPr>
    <w:rPr>
      <w:rFonts w:cs="宋体"/>
      <w:color w:val="000000"/>
      <w:kern w:val="0"/>
      <w:szCs w:val="28"/>
    </w:rPr>
  </w:style>
  <w:style w:type="paragraph" w:customStyle="1" w:styleId="459">
    <w:name w:val="样式 左 首行缩进:  1.06 厘米"/>
    <w:basedOn w:val="1"/>
    <w:qFormat/>
    <w:uiPriority w:val="0"/>
    <w:pPr>
      <w:spacing w:line="360" w:lineRule="auto"/>
      <w:ind w:firstLine="601" w:firstLineChars="200"/>
      <w:jc w:val="left"/>
    </w:pPr>
    <w:rPr>
      <w:kern w:val="0"/>
      <w:szCs w:val="20"/>
    </w:rPr>
  </w:style>
  <w:style w:type="paragraph" w:customStyle="1" w:styleId="460">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left"/>
    </w:pPr>
    <w:rPr>
      <w:kern w:val="0"/>
      <w:szCs w:val="21"/>
    </w:rPr>
  </w:style>
  <w:style w:type="paragraph" w:customStyle="1" w:styleId="461">
    <w:name w:val="规范说明文本"/>
    <w:basedOn w:val="1"/>
    <w:qFormat/>
    <w:uiPriority w:val="0"/>
    <w:pPr>
      <w:adjustRightInd w:val="0"/>
      <w:snapToGrid w:val="0"/>
      <w:spacing w:line="300" w:lineRule="auto"/>
      <w:ind w:firstLine="360" w:firstLineChars="150"/>
    </w:pPr>
  </w:style>
  <w:style w:type="paragraph" w:customStyle="1" w:styleId="462">
    <w:name w:val="公式说明"/>
    <w:basedOn w:val="1"/>
    <w:next w:val="1"/>
    <w:qFormat/>
    <w:uiPriority w:val="0"/>
    <w:pPr>
      <w:widowControl/>
      <w:adjustRightInd w:val="0"/>
      <w:snapToGrid w:val="0"/>
      <w:spacing w:beforeLines="50" w:afterLines="50"/>
      <w:ind w:firstLine="2308"/>
    </w:pPr>
    <w:rPr>
      <w:rFonts w:ascii="宋体"/>
      <w:i/>
      <w:kern w:val="0"/>
      <w:sz w:val="21"/>
      <w:szCs w:val="20"/>
    </w:rPr>
  </w:style>
  <w:style w:type="paragraph" w:customStyle="1" w:styleId="463">
    <w:name w:val="表左齐小四"/>
    <w:basedOn w:val="301"/>
    <w:qFormat/>
    <w:uiPriority w:val="0"/>
    <w:pPr>
      <w:adjustRightInd w:val="0"/>
      <w:ind w:firstLine="47"/>
      <w:jc w:val="both"/>
    </w:pPr>
    <w:rPr>
      <w:kern w:val="18"/>
    </w:rPr>
  </w:style>
  <w:style w:type="paragraph" w:customStyle="1" w:styleId="464">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sz w:val="20"/>
      <w:szCs w:val="20"/>
    </w:rPr>
  </w:style>
  <w:style w:type="paragraph" w:customStyle="1" w:styleId="465">
    <w:name w:val="xl34"/>
    <w:basedOn w:val="1"/>
    <w:qFormat/>
    <w:uiPriority w:val="0"/>
    <w:pPr>
      <w:widowControl/>
      <w:pBdr>
        <w:top w:val="single" w:color="auto" w:sz="4" w:space="0"/>
      </w:pBdr>
      <w:spacing w:before="100" w:beforeAutospacing="1" w:after="100" w:afterAutospacing="1"/>
      <w:jc w:val="left"/>
      <w:textAlignment w:val="center"/>
    </w:pPr>
    <w:rPr>
      <w:rFonts w:ascii="宋体" w:hAnsi="宋体"/>
      <w:kern w:val="0"/>
    </w:rPr>
  </w:style>
  <w:style w:type="paragraph" w:customStyle="1" w:styleId="466">
    <w:name w:val="Char Char Char Char Char Char Char"/>
    <w:basedOn w:val="4"/>
    <w:qFormat/>
    <w:uiPriority w:val="0"/>
    <w:pPr>
      <w:spacing w:before="156" w:after="156" w:line="240" w:lineRule="auto"/>
      <w:ind w:firstLine="723" w:firstLineChars="200"/>
      <w:jc w:val="center"/>
    </w:pPr>
    <w:rPr>
      <w:rFonts w:ascii="黑体" w:eastAsia="黑体"/>
      <w:sz w:val="21"/>
      <w:szCs w:val="21"/>
    </w:rPr>
  </w:style>
  <w:style w:type="paragraph" w:customStyle="1" w:styleId="467">
    <w:name w:val="Body Text 2"/>
    <w:basedOn w:val="1"/>
    <w:qFormat/>
    <w:uiPriority w:val="0"/>
    <w:pPr>
      <w:adjustRightInd w:val="0"/>
      <w:snapToGrid w:val="0"/>
      <w:spacing w:line="300" w:lineRule="auto"/>
      <w:ind w:firstLine="600" w:firstLineChars="200"/>
      <w:textAlignment w:val="baseline"/>
    </w:pPr>
    <w:rPr>
      <w:rFonts w:ascii="宋体"/>
      <w:kern w:val="32"/>
      <w:sz w:val="28"/>
      <w:szCs w:val="20"/>
    </w:rPr>
  </w:style>
  <w:style w:type="paragraph" w:customStyle="1" w:styleId="468">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1"/>
      <w:szCs w:val="21"/>
    </w:rPr>
  </w:style>
  <w:style w:type="paragraph" w:customStyle="1" w:styleId="469">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b/>
      <w:bCs/>
      <w:kern w:val="0"/>
      <w:sz w:val="20"/>
      <w:szCs w:val="20"/>
    </w:rPr>
  </w:style>
  <w:style w:type="paragraph" w:customStyle="1" w:styleId="470">
    <w:name w:val="目录4"/>
    <w:basedOn w:val="1"/>
    <w:qFormat/>
    <w:uiPriority w:val="0"/>
    <w:pPr>
      <w:widowControl/>
      <w:tabs>
        <w:tab w:val="left" w:leader="dot" w:pos="7370"/>
      </w:tabs>
      <w:spacing w:line="317" w:lineRule="atLeast"/>
      <w:ind w:firstLine="629" w:firstLineChars="200"/>
      <w:textAlignment w:val="baseline"/>
    </w:pPr>
    <w:rPr>
      <w:color w:val="000000"/>
      <w:kern w:val="0"/>
      <w:szCs w:val="20"/>
      <w:u w:val="none" w:color="000000"/>
    </w:rPr>
  </w:style>
  <w:style w:type="paragraph" w:customStyle="1" w:styleId="471">
    <w:name w:val="样式 纯文本 + 段前: 6 磅 段后: 6 磅"/>
    <w:basedOn w:val="1"/>
    <w:next w:val="74"/>
    <w:qFormat/>
    <w:uiPriority w:val="0"/>
    <w:pPr>
      <w:spacing w:before="120" w:after="120" w:line="360" w:lineRule="auto"/>
      <w:ind w:firstLine="480" w:firstLineChars="200"/>
    </w:pPr>
    <w:rPr>
      <w:rFonts w:ascii="宋体" w:hAnsi="宋体" w:cs="宋体"/>
      <w:kern w:val="0"/>
      <w:szCs w:val="20"/>
    </w:rPr>
  </w:style>
  <w:style w:type="paragraph" w:customStyle="1" w:styleId="472">
    <w:name w:val="样式 样式 两端对齐 首行缩进:  2 字符 + 首行缩进:  2 字符 段前: 0.5 行 段后: 0.5 行"/>
    <w:basedOn w:val="1"/>
    <w:qFormat/>
    <w:uiPriority w:val="0"/>
    <w:pPr>
      <w:spacing w:line="360" w:lineRule="auto"/>
      <w:ind w:firstLine="723" w:firstLineChars="200"/>
      <w:jc w:val="center"/>
    </w:pPr>
    <w:rPr>
      <w:rFonts w:eastAsia="黑体"/>
      <w:kern w:val="0"/>
      <w:szCs w:val="28"/>
    </w:rPr>
  </w:style>
  <w:style w:type="paragraph" w:customStyle="1" w:styleId="473">
    <w:name w:val="xl40"/>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rPr>
  </w:style>
  <w:style w:type="paragraph" w:customStyle="1" w:styleId="474">
    <w:name w:val="xl66"/>
    <w:basedOn w:val="1"/>
    <w:qFormat/>
    <w:uiPriority w:val="0"/>
    <w:pPr>
      <w:widowControl/>
      <w:pBdr>
        <w:bottom w:val="single" w:color="auto" w:sz="8" w:space="0"/>
      </w:pBdr>
      <w:spacing w:before="100" w:beforeAutospacing="1" w:after="100" w:afterAutospacing="1"/>
      <w:jc w:val="center"/>
    </w:pPr>
    <w:rPr>
      <w:rFonts w:ascii="Arial Unicode MS" w:hAnsi="Arial Unicode MS" w:eastAsia="Arial Unicode MS" w:cs="Arial Unicode MS"/>
      <w:kern w:val="0"/>
    </w:rPr>
  </w:style>
  <w:style w:type="paragraph" w:customStyle="1" w:styleId="475">
    <w:name w:val="样式 表格 + 红色"/>
    <w:basedOn w:val="188"/>
    <w:qFormat/>
    <w:uiPriority w:val="0"/>
    <w:pPr>
      <w:wordWrap w:val="0"/>
      <w:adjustRightInd w:val="0"/>
      <w:spacing w:line="288" w:lineRule="auto"/>
      <w:ind w:right="370" w:rightChars="132" w:firstLine="34"/>
      <w:textAlignment w:val="baseline"/>
    </w:pPr>
    <w:rPr>
      <w:rFonts w:cs="宋体"/>
      <w:color w:val="000000"/>
      <w:kern w:val="16"/>
      <w:sz w:val="21"/>
      <w:szCs w:val="21"/>
    </w:rPr>
  </w:style>
  <w:style w:type="paragraph" w:customStyle="1" w:styleId="476">
    <w:name w:val="xl49"/>
    <w:basedOn w:val="1"/>
    <w:qFormat/>
    <w:uiPriority w:val="0"/>
    <w:pPr>
      <w:widowControl/>
      <w:spacing w:before="100" w:beforeAutospacing="1" w:after="100" w:afterAutospacing="1"/>
      <w:jc w:val="left"/>
      <w:textAlignment w:val="center"/>
    </w:pPr>
    <w:rPr>
      <w:rFonts w:ascii="宋体" w:hAnsi="宋体"/>
      <w:kern w:val="0"/>
      <w:sz w:val="20"/>
      <w:szCs w:val="20"/>
    </w:rPr>
  </w:style>
  <w:style w:type="paragraph" w:customStyle="1" w:styleId="477">
    <w:name w:val="xl32"/>
    <w:basedOn w:val="1"/>
    <w:qFormat/>
    <w:uiPriority w:val="0"/>
    <w:pPr>
      <w:widowControl/>
      <w:pBdr>
        <w:bottom w:val="single" w:color="auto" w:sz="4" w:space="0"/>
      </w:pBdr>
      <w:spacing w:before="100" w:beforeAutospacing="1" w:after="100" w:afterAutospacing="1"/>
      <w:jc w:val="left"/>
      <w:textAlignment w:val="center"/>
    </w:pPr>
    <w:rPr>
      <w:rFonts w:ascii="宋体" w:hAnsi="宋体"/>
      <w:kern w:val="0"/>
    </w:rPr>
  </w:style>
  <w:style w:type="paragraph" w:customStyle="1" w:styleId="478">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b/>
      <w:bCs/>
      <w:kern w:val="0"/>
      <w:sz w:val="20"/>
      <w:szCs w:val="20"/>
    </w:rPr>
  </w:style>
  <w:style w:type="paragraph" w:customStyle="1" w:styleId="479">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paragraph" w:customStyle="1" w:styleId="480">
    <w:name w:val="xl138"/>
    <w:basedOn w:val="1"/>
    <w:qFormat/>
    <w:uiPriority w:val="0"/>
    <w:pPr>
      <w:widowControl/>
      <w:pBdr>
        <w:top w:val="single" w:color="auto" w:sz="4" w:space="0"/>
        <w:bottom w:val="single" w:color="auto" w:sz="4" w:space="0"/>
        <w:right w:val="single" w:color="auto" w:sz="4" w:space="0"/>
      </w:pBdr>
      <w:spacing w:before="100" w:beforeAutospacing="1" w:after="100" w:afterAutospacing="1" w:line="460" w:lineRule="exact"/>
      <w:ind w:firstLine="723" w:firstLineChars="200"/>
      <w:jc w:val="center"/>
      <w:textAlignment w:val="bottom"/>
    </w:pPr>
    <w:rPr>
      <w:color w:val="000000"/>
      <w:kern w:val="0"/>
      <w:szCs w:val="21"/>
    </w:rPr>
  </w:style>
  <w:style w:type="paragraph" w:customStyle="1" w:styleId="481">
    <w:name w:val="样式7"/>
    <w:basedOn w:val="1"/>
    <w:qFormat/>
    <w:uiPriority w:val="0"/>
    <w:pPr>
      <w:spacing w:line="300" w:lineRule="exact"/>
      <w:ind w:left="-120" w:leftChars="-50" w:right="-120" w:rightChars="-50" w:firstLine="723" w:firstLineChars="200"/>
      <w:jc w:val="center"/>
    </w:pPr>
    <w:rPr>
      <w:rFonts w:eastAsia="华文中宋"/>
    </w:rPr>
  </w:style>
  <w:style w:type="paragraph" w:customStyle="1" w:styleId="482">
    <w:name w:val="表题"/>
    <w:basedOn w:val="1"/>
    <w:qFormat/>
    <w:uiPriority w:val="0"/>
    <w:pPr>
      <w:adjustRightInd w:val="0"/>
      <w:snapToGrid w:val="0"/>
      <w:spacing w:line="460" w:lineRule="exact"/>
      <w:ind w:firstLine="723" w:firstLineChars="200"/>
      <w:jc w:val="center"/>
    </w:pPr>
    <w:rPr>
      <w:b/>
      <w:bCs/>
      <w:sz w:val="28"/>
      <w:szCs w:val="20"/>
    </w:rPr>
  </w:style>
  <w:style w:type="paragraph" w:customStyle="1" w:styleId="483">
    <w:name w:val="目录"/>
    <w:basedOn w:val="1"/>
    <w:qFormat/>
    <w:uiPriority w:val="0"/>
    <w:pPr>
      <w:spacing w:line="360" w:lineRule="auto"/>
      <w:ind w:firstLine="640" w:firstLineChars="200"/>
      <w:jc w:val="center"/>
    </w:pPr>
    <w:rPr>
      <w:rFonts w:eastAsia="黑体"/>
      <w:kern w:val="0"/>
      <w:sz w:val="32"/>
      <w:szCs w:val="20"/>
      <w:shd w:val="clear" w:color="auto" w:fill="FFFFFF"/>
    </w:rPr>
  </w:style>
  <w:style w:type="paragraph" w:customStyle="1" w:styleId="484">
    <w:name w:val="正文+"/>
    <w:basedOn w:val="1"/>
    <w:qFormat/>
    <w:uiPriority w:val="0"/>
    <w:pPr>
      <w:tabs>
        <w:tab w:val="left" w:pos="425"/>
      </w:tabs>
      <w:ind w:left="425" w:hanging="425"/>
    </w:pPr>
  </w:style>
  <w:style w:type="paragraph" w:customStyle="1" w:styleId="485">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textAlignment w:val="center"/>
    </w:pPr>
    <w:rPr>
      <w:kern w:val="0"/>
      <w:sz w:val="20"/>
      <w:szCs w:val="20"/>
    </w:rPr>
  </w:style>
  <w:style w:type="paragraph" w:customStyle="1" w:styleId="486">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sz w:val="20"/>
      <w:szCs w:val="20"/>
    </w:rPr>
  </w:style>
  <w:style w:type="paragraph" w:customStyle="1" w:styleId="487">
    <w:name w:val="样式 表中齐小四 + 宋体"/>
    <w:basedOn w:val="488"/>
    <w:qFormat/>
    <w:uiPriority w:val="0"/>
    <w:rPr>
      <w:rFonts w:ascii="宋体" w:hAnsi="宋体"/>
      <w:sz w:val="28"/>
    </w:rPr>
  </w:style>
  <w:style w:type="paragraph" w:customStyle="1" w:styleId="488">
    <w:name w:val="表中齐小四"/>
    <w:basedOn w:val="156"/>
    <w:qFormat/>
    <w:uiPriority w:val="0"/>
    <w:pPr>
      <w:adjustRightInd/>
      <w:ind w:left="0" w:leftChars="0" w:right="0" w:rightChars="0" w:firstLine="0"/>
    </w:pPr>
    <w:rPr>
      <w:rFonts w:ascii="Times New Roman"/>
      <w:kern w:val="2"/>
      <w:szCs w:val="21"/>
      <w:shd w:val="clear" w:color="auto" w:fill="auto"/>
    </w:rPr>
  </w:style>
  <w:style w:type="paragraph" w:customStyle="1" w:styleId="489">
    <w:name w:val="xl114"/>
    <w:basedOn w:val="1"/>
    <w:qFormat/>
    <w:uiPriority w:val="0"/>
    <w:pPr>
      <w:widowControl/>
      <w:pBdr>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sz w:val="20"/>
      <w:szCs w:val="20"/>
    </w:rPr>
  </w:style>
  <w:style w:type="paragraph" w:customStyle="1" w:styleId="490">
    <w:name w:val="报告标题1"/>
    <w:basedOn w:val="1"/>
    <w:next w:val="1"/>
    <w:qFormat/>
    <w:uiPriority w:val="0"/>
    <w:pPr>
      <w:keepNext/>
      <w:widowControl/>
      <w:tabs>
        <w:tab w:val="left" w:pos="-2526"/>
      </w:tabs>
      <w:adjustRightInd w:val="0"/>
      <w:snapToGrid w:val="0"/>
      <w:spacing w:before="240" w:after="240"/>
      <w:jc w:val="center"/>
      <w:outlineLvl w:val="0"/>
    </w:pPr>
    <w:rPr>
      <w:rFonts w:ascii="黑体" w:eastAsia="黑体"/>
      <w:b/>
      <w:spacing w:val="40"/>
      <w:kern w:val="0"/>
      <w:sz w:val="32"/>
      <w:szCs w:val="32"/>
    </w:rPr>
  </w:style>
  <w:style w:type="paragraph" w:customStyle="1" w:styleId="491">
    <w:name w:val="报告标题4 + 段前: 1.5 行"/>
    <w:basedOn w:val="6"/>
    <w:qFormat/>
    <w:uiPriority w:val="0"/>
    <w:pPr>
      <w:spacing w:before="240" w:after="0" w:line="360" w:lineRule="auto"/>
      <w:ind w:left="0" w:firstLine="530" w:firstLineChars="200"/>
      <w:jc w:val="left"/>
    </w:pPr>
    <w:rPr>
      <w:rFonts w:ascii="黑体" w:eastAsia="黑体"/>
      <w:bCs w:val="0"/>
      <w:color w:val="000000"/>
      <w:sz w:val="24"/>
      <w:szCs w:val="24"/>
    </w:rPr>
  </w:style>
  <w:style w:type="paragraph" w:customStyle="1" w:styleId="492">
    <w:name w:val="三级目录"/>
    <w:basedOn w:val="1"/>
    <w:qFormat/>
    <w:uiPriority w:val="0"/>
    <w:pPr>
      <w:spacing w:line="360" w:lineRule="auto"/>
      <w:ind w:firstLine="492" w:firstLineChars="175"/>
      <w:outlineLvl w:val="0"/>
    </w:pPr>
    <w:rPr>
      <w:rFonts w:ascii="黑体" w:hAnsi="宋体" w:eastAsia="黑体"/>
      <w:b/>
      <w:bCs/>
      <w:color w:val="000000"/>
      <w:sz w:val="28"/>
      <w:szCs w:val="28"/>
    </w:rPr>
  </w:style>
  <w:style w:type="paragraph" w:customStyle="1" w:styleId="493">
    <w:name w:val="样式 样式 正文2 表内文字 + 字距调整8 磅 + 左侧:  0 厘米 悬挂缩进: 2 字符"/>
    <w:basedOn w:val="376"/>
    <w:qFormat/>
    <w:uiPriority w:val="0"/>
    <w:pPr>
      <w:tabs>
        <w:tab w:val="left" w:pos="-3914"/>
      </w:tabs>
      <w:spacing w:line="280" w:lineRule="exact"/>
      <w:ind w:left="560" w:hanging="560"/>
      <w:jc w:val="center"/>
    </w:pPr>
    <w:rPr>
      <w:kern w:val="0"/>
      <w:sz w:val="28"/>
      <w:szCs w:val="28"/>
    </w:rPr>
  </w:style>
  <w:style w:type="paragraph" w:customStyle="1" w:styleId="494">
    <w:name w:val="正文右齐"/>
    <w:basedOn w:val="1"/>
    <w:next w:val="1"/>
    <w:qFormat/>
    <w:uiPriority w:val="0"/>
    <w:pPr>
      <w:spacing w:line="360" w:lineRule="auto"/>
      <w:ind w:firstLine="600" w:firstLineChars="200"/>
      <w:jc w:val="right"/>
    </w:pPr>
    <w:rPr>
      <w:color w:val="000000"/>
      <w:kern w:val="0"/>
      <w:szCs w:val="30"/>
      <w:shd w:val="clear" w:color="auto" w:fill="FFFFFF"/>
    </w:rPr>
  </w:style>
  <w:style w:type="paragraph" w:customStyle="1" w:styleId="495">
    <w:name w:val="xl50"/>
    <w:basedOn w:val="1"/>
    <w:qFormat/>
    <w:uiPriority w:val="0"/>
    <w:pPr>
      <w:widowControl/>
      <w:pBdr>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textAlignment w:val="center"/>
    </w:pPr>
    <w:rPr>
      <w:rFonts w:ascii="宋体" w:hAnsi="宋体"/>
      <w:kern w:val="0"/>
    </w:rPr>
  </w:style>
  <w:style w:type="paragraph" w:customStyle="1" w:styleId="496">
    <w:name w:val="样式 表格 + 五号2"/>
    <w:basedOn w:val="188"/>
    <w:qFormat/>
    <w:uiPriority w:val="0"/>
    <w:pPr>
      <w:wordWrap w:val="0"/>
      <w:adjustRightInd w:val="0"/>
      <w:spacing w:line="240" w:lineRule="auto"/>
      <w:ind w:firstLine="34"/>
      <w:textAlignment w:val="baseline"/>
    </w:pPr>
    <w:rPr>
      <w:color w:val="000000"/>
      <w:kern w:val="16"/>
      <w:sz w:val="21"/>
      <w:szCs w:val="21"/>
    </w:rPr>
  </w:style>
  <w:style w:type="paragraph" w:customStyle="1" w:styleId="497">
    <w:name w:val="样式 首行缩进:  1.11 厘米"/>
    <w:basedOn w:val="1"/>
    <w:qFormat/>
    <w:uiPriority w:val="0"/>
    <w:pPr>
      <w:spacing w:line="360" w:lineRule="auto"/>
      <w:ind w:firstLine="629" w:firstLineChars="200"/>
    </w:pPr>
    <w:rPr>
      <w:kern w:val="0"/>
      <w:szCs w:val="20"/>
    </w:rPr>
  </w:style>
  <w:style w:type="paragraph" w:customStyle="1" w:styleId="498">
    <w:name w:val=" Char Char Char Char Char Char"/>
    <w:basedOn w:val="1"/>
    <w:next w:val="3"/>
    <w:qFormat/>
    <w:uiPriority w:val="0"/>
    <w:pPr>
      <w:spacing w:line="460" w:lineRule="exact"/>
      <w:ind w:firstLine="723" w:firstLineChars="200"/>
    </w:pPr>
    <w:rPr>
      <w:kern w:val="0"/>
      <w:szCs w:val="20"/>
    </w:rPr>
  </w:style>
  <w:style w:type="paragraph" w:customStyle="1" w:styleId="499">
    <w:name w:val="xl47"/>
    <w:basedOn w:val="1"/>
    <w:qFormat/>
    <w:uiPriority w:val="0"/>
    <w:pPr>
      <w:widowControl/>
      <w:pBdr>
        <w:top w:val="single" w:color="auto" w:sz="4" w:space="0"/>
      </w:pBdr>
      <w:spacing w:before="100" w:beforeAutospacing="1" w:after="100" w:afterAutospacing="1"/>
      <w:jc w:val="left"/>
      <w:textAlignment w:val="center"/>
    </w:pPr>
    <w:rPr>
      <w:rFonts w:ascii="宋体" w:hAnsi="宋体"/>
      <w:kern w:val="0"/>
      <w:sz w:val="20"/>
      <w:szCs w:val="20"/>
    </w:rPr>
  </w:style>
  <w:style w:type="paragraph" w:customStyle="1" w:styleId="500">
    <w:name w:val="节标题"/>
    <w:basedOn w:val="1"/>
    <w:next w:val="501"/>
    <w:qFormat/>
    <w:uiPriority w:val="0"/>
    <w:pPr>
      <w:widowControl/>
      <w:spacing w:line="289" w:lineRule="atLeast"/>
      <w:jc w:val="center"/>
    </w:pPr>
    <w:rPr>
      <w:color w:val="000000"/>
      <w:kern w:val="0"/>
      <w:sz w:val="28"/>
      <w:szCs w:val="20"/>
      <w:u w:val="none" w:color="000000"/>
    </w:rPr>
  </w:style>
  <w:style w:type="paragraph" w:customStyle="1" w:styleId="501">
    <w:name w:val="小节标题"/>
    <w:basedOn w:val="1"/>
    <w:next w:val="1"/>
    <w:qFormat/>
    <w:uiPriority w:val="0"/>
    <w:pPr>
      <w:widowControl/>
      <w:spacing w:before="175" w:after="102" w:line="351" w:lineRule="atLeast"/>
    </w:pPr>
    <w:rPr>
      <w:rFonts w:eastAsia="黑体"/>
      <w:color w:val="000000"/>
      <w:kern w:val="0"/>
      <w:sz w:val="21"/>
      <w:szCs w:val="20"/>
      <w:u w:val="none" w:color="000000"/>
    </w:rPr>
  </w:style>
  <w:style w:type="paragraph" w:customStyle="1" w:styleId="502">
    <w:name w:val="zhp"/>
    <w:basedOn w:val="62"/>
    <w:qFormat/>
    <w:uiPriority w:val="0"/>
    <w:pPr>
      <w:spacing w:line="360" w:lineRule="auto"/>
      <w:ind w:firstLine="560"/>
      <w:jc w:val="left"/>
    </w:pPr>
    <w:rPr>
      <w:rFonts w:ascii="宋体" w:hAnsi="宋体"/>
      <w:kern w:val="0"/>
      <w:lang w:val="en-GB"/>
    </w:rPr>
  </w:style>
  <w:style w:type="paragraph" w:customStyle="1" w:styleId="503">
    <w:name w:val="普通(Web)"/>
    <w:basedOn w:val="1"/>
    <w:qFormat/>
    <w:uiPriority w:val="0"/>
    <w:pPr>
      <w:spacing w:line="460" w:lineRule="exact"/>
      <w:ind w:firstLine="723" w:firstLineChars="200"/>
    </w:pPr>
    <w:rPr>
      <w:kern w:val="0"/>
      <w:szCs w:val="20"/>
    </w:rPr>
  </w:style>
  <w:style w:type="paragraph" w:customStyle="1" w:styleId="504">
    <w:name w:val="xl22"/>
    <w:basedOn w:val="1"/>
    <w:qFormat/>
    <w:uiPriority w:val="0"/>
    <w:pPr>
      <w:widowControl/>
      <w:spacing w:before="100" w:beforeAutospacing="1" w:after="100" w:afterAutospacing="1"/>
      <w:jc w:val="left"/>
    </w:pPr>
    <w:rPr>
      <w:rFonts w:hint="eastAsia" w:ascii="宋体" w:hAnsi="宋体"/>
      <w:kern w:val="0"/>
    </w:rPr>
  </w:style>
  <w:style w:type="paragraph" w:customStyle="1" w:styleId="505">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sz w:val="20"/>
      <w:szCs w:val="20"/>
    </w:rPr>
  </w:style>
  <w:style w:type="paragraph" w:customStyle="1" w:styleId="506">
    <w:name w:val="font10"/>
    <w:basedOn w:val="1"/>
    <w:qFormat/>
    <w:uiPriority w:val="0"/>
    <w:pPr>
      <w:widowControl/>
      <w:spacing w:before="100" w:beforeAutospacing="1" w:after="100" w:afterAutospacing="1"/>
      <w:jc w:val="left"/>
    </w:pPr>
    <w:rPr>
      <w:color w:val="000000"/>
      <w:kern w:val="0"/>
      <w:sz w:val="21"/>
      <w:szCs w:val="21"/>
    </w:rPr>
  </w:style>
  <w:style w:type="paragraph" w:customStyle="1" w:styleId="507">
    <w:name w:val="xl1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kern w:val="0"/>
      <w:szCs w:val="21"/>
    </w:rPr>
  </w:style>
  <w:style w:type="paragraph" w:customStyle="1" w:styleId="508">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b/>
      <w:bCs/>
      <w:kern w:val="0"/>
      <w:sz w:val="20"/>
      <w:szCs w:val="20"/>
    </w:rPr>
  </w:style>
  <w:style w:type="paragraph" w:customStyle="1" w:styleId="509">
    <w:name w:val="正文内容"/>
    <w:basedOn w:val="203"/>
    <w:qFormat/>
    <w:uiPriority w:val="0"/>
    <w:pPr>
      <w:tabs>
        <w:tab w:val="left" w:pos="6450"/>
      </w:tabs>
      <w:spacing w:line="440" w:lineRule="exact"/>
      <w:ind w:firstLine="480"/>
    </w:pPr>
    <w:rPr>
      <w:rFonts w:cs="宋体"/>
      <w:color w:val="000000"/>
    </w:rPr>
  </w:style>
  <w:style w:type="paragraph" w:customStyle="1" w:styleId="510">
    <w:name w:val="样式 样式 正文文本 + 宋体 四号 + 首行缩进:  2 字符"/>
    <w:basedOn w:val="1"/>
    <w:qFormat/>
    <w:uiPriority w:val="0"/>
    <w:pPr>
      <w:spacing w:line="360" w:lineRule="auto"/>
      <w:ind w:firstLine="560" w:firstLineChars="200"/>
    </w:pPr>
    <w:rPr>
      <w:rFonts w:ascii="宋体" w:hAnsi="宋体" w:cs="宋体"/>
      <w:szCs w:val="20"/>
    </w:rPr>
  </w:style>
  <w:style w:type="paragraph" w:customStyle="1" w:styleId="511">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right"/>
    </w:pPr>
    <w:rPr>
      <w:kern w:val="0"/>
      <w:szCs w:val="21"/>
    </w:rPr>
  </w:style>
  <w:style w:type="paragraph" w:customStyle="1" w:styleId="512">
    <w:name w:val="xl121"/>
    <w:basedOn w:val="1"/>
    <w:qFormat/>
    <w:uiPriority w:val="0"/>
    <w:pPr>
      <w:widowControl/>
      <w:pBdr>
        <w:top w:val="single" w:color="auto" w:sz="4" w:space="0"/>
        <w:left w:val="single" w:color="auto" w:sz="4" w:space="0"/>
        <w:bottom w:val="single" w:color="auto" w:sz="4" w:space="0"/>
      </w:pBdr>
      <w:spacing w:before="100" w:beforeAutospacing="1" w:after="100" w:afterAutospacing="1" w:line="460" w:lineRule="exact"/>
      <w:ind w:firstLine="723" w:firstLineChars="200"/>
      <w:jc w:val="left"/>
    </w:pPr>
    <w:rPr>
      <w:b/>
      <w:bCs/>
      <w:color w:val="FF00FF"/>
      <w:kern w:val="0"/>
      <w:szCs w:val="21"/>
    </w:rPr>
  </w:style>
  <w:style w:type="paragraph" w:customStyle="1" w:styleId="513">
    <w:name w:val="样式 正文1 表内文字 + 字距调整8 磅"/>
    <w:basedOn w:val="514"/>
    <w:qFormat/>
    <w:uiPriority w:val="0"/>
    <w:pPr>
      <w:ind w:left="-105" w:right="-21"/>
      <w:jc w:val="both"/>
    </w:pPr>
    <w:rPr>
      <w:spacing w:val="0"/>
      <w:kern w:val="16"/>
    </w:rPr>
  </w:style>
  <w:style w:type="paragraph" w:customStyle="1" w:styleId="514">
    <w:name w:val="正文1 表内数字"/>
    <w:basedOn w:val="1"/>
    <w:qFormat/>
    <w:uiPriority w:val="0"/>
    <w:pPr>
      <w:widowControl/>
      <w:spacing w:line="300" w:lineRule="exact"/>
      <w:ind w:firstLine="723" w:firstLineChars="200"/>
      <w:jc w:val="center"/>
    </w:pPr>
    <w:rPr>
      <w:color w:val="000000"/>
      <w:spacing w:val="-20"/>
      <w:kern w:val="0"/>
      <w:szCs w:val="20"/>
    </w:rPr>
  </w:style>
  <w:style w:type="paragraph" w:customStyle="1" w:styleId="51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516">
    <w:name w:val="xl2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color w:val="000000"/>
      <w:kern w:val="0"/>
      <w:sz w:val="20"/>
      <w:szCs w:val="20"/>
    </w:rPr>
  </w:style>
  <w:style w:type="paragraph" w:customStyle="1" w:styleId="517">
    <w:name w:val="Char Char1"/>
    <w:basedOn w:val="1"/>
    <w:semiHidden/>
    <w:qFormat/>
    <w:uiPriority w:val="0"/>
    <w:pPr>
      <w:adjustRightInd w:val="0"/>
      <w:snapToGrid w:val="0"/>
      <w:spacing w:beforeLines="50" w:afterLines="50" w:line="480" w:lineRule="exact"/>
      <w:ind w:firstLine="200" w:firstLineChars="200"/>
    </w:pPr>
    <w:rPr>
      <w:rFonts w:ascii="Tahoma" w:hAnsi="Tahoma"/>
      <w:szCs w:val="20"/>
    </w:rPr>
  </w:style>
  <w:style w:type="paragraph" w:customStyle="1" w:styleId="518">
    <w:name w:val="xl1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b/>
      <w:bCs/>
      <w:color w:val="FF0000"/>
      <w:kern w:val="0"/>
      <w:szCs w:val="21"/>
    </w:rPr>
  </w:style>
  <w:style w:type="paragraph" w:customStyle="1" w:styleId="519">
    <w:name w:val="样式 标题 2 + 首行缩进:  2 字符"/>
    <w:basedOn w:val="5"/>
    <w:qFormat/>
    <w:uiPriority w:val="0"/>
    <w:pPr>
      <w:spacing w:before="240" w:after="240" w:line="240" w:lineRule="auto"/>
      <w:ind w:firstLine="562" w:firstLineChars="200"/>
    </w:pPr>
    <w:rPr>
      <w:rFonts w:ascii="Times New Roman" w:hAnsi="Times New Roman" w:eastAsia="宋体"/>
      <w:b w:val="0"/>
      <w:bCs w:val="0"/>
      <w:sz w:val="30"/>
      <w:szCs w:val="28"/>
    </w:rPr>
  </w:style>
  <w:style w:type="paragraph" w:customStyle="1" w:styleId="520">
    <w:name w:val="Body text|1"/>
    <w:basedOn w:val="1"/>
    <w:qFormat/>
    <w:uiPriority w:val="0"/>
    <w:pPr>
      <w:widowControl w:val="0"/>
      <w:shd w:val="clear" w:color="auto" w:fill="auto"/>
      <w:spacing w:line="410" w:lineRule="auto"/>
      <w:ind w:firstLine="400"/>
    </w:pPr>
    <w:rPr>
      <w:rFonts w:ascii="宋体" w:hAnsi="宋体" w:eastAsia="宋体" w:cs="宋体"/>
      <w:sz w:val="30"/>
      <w:szCs w:val="30"/>
      <w:u w:val="none"/>
      <w:shd w:val="clear" w:color="auto" w:fill="auto"/>
      <w:lang w:val="zh-TW" w:eastAsia="zh-TW" w:bidi="zh-TW"/>
    </w:rPr>
  </w:style>
  <w:style w:type="paragraph" w:customStyle="1" w:styleId="521">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sz w:val="20"/>
      <w:szCs w:val="20"/>
    </w:rPr>
  </w:style>
  <w:style w:type="paragraph" w:customStyle="1" w:styleId="522">
    <w:name w:val="xl113"/>
    <w:basedOn w:val="1"/>
    <w:qFormat/>
    <w:uiPriority w:val="0"/>
    <w:pPr>
      <w:widowControl/>
      <w:pBdr>
        <w:left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sz w:val="20"/>
      <w:szCs w:val="20"/>
    </w:rPr>
  </w:style>
  <w:style w:type="paragraph" w:customStyle="1" w:styleId="523">
    <w:name w:val="xl94"/>
    <w:basedOn w:val="1"/>
    <w:qFormat/>
    <w:uiPriority w:val="0"/>
    <w:pPr>
      <w:widowControl/>
      <w:pBdr>
        <w:left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sz w:val="20"/>
      <w:szCs w:val="20"/>
    </w:rPr>
  </w:style>
  <w:style w:type="paragraph" w:customStyle="1" w:styleId="524">
    <w:name w:val=" Char4"/>
    <w:basedOn w:val="1"/>
    <w:qFormat/>
    <w:uiPriority w:val="0"/>
    <w:pPr>
      <w:spacing w:line="460" w:lineRule="exact"/>
      <w:ind w:firstLine="723" w:firstLineChars="200"/>
    </w:pPr>
    <w:rPr>
      <w:kern w:val="0"/>
      <w:szCs w:val="20"/>
    </w:rPr>
  </w:style>
  <w:style w:type="paragraph" w:customStyle="1" w:styleId="525">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b/>
      <w:bCs/>
      <w:kern w:val="0"/>
      <w:sz w:val="20"/>
      <w:szCs w:val="20"/>
    </w:rPr>
  </w:style>
  <w:style w:type="paragraph" w:customStyle="1" w:styleId="526">
    <w:name w:val="样式 样式 样式 正文文本 + 宋体 四号 + 小四 黑色 首行缩进:  2 字符 + 首行缩进:  2 字符"/>
    <w:basedOn w:val="1"/>
    <w:qFormat/>
    <w:uiPriority w:val="0"/>
    <w:pPr>
      <w:adjustRightInd w:val="0"/>
      <w:spacing w:line="360" w:lineRule="auto"/>
      <w:ind w:firstLine="200" w:firstLineChars="200"/>
    </w:pPr>
    <w:rPr>
      <w:rFonts w:ascii="宋体" w:hAnsi="宋体" w:cs="宋体"/>
      <w:snapToGrid w:val="0"/>
      <w:color w:val="000000"/>
      <w:kern w:val="0"/>
      <w:szCs w:val="20"/>
    </w:rPr>
  </w:style>
  <w:style w:type="paragraph" w:customStyle="1" w:styleId="527">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1"/>
      <w:szCs w:val="21"/>
    </w:rPr>
  </w:style>
  <w:style w:type="paragraph" w:customStyle="1" w:styleId="528">
    <w:name w:val="font13"/>
    <w:basedOn w:val="1"/>
    <w:qFormat/>
    <w:uiPriority w:val="0"/>
    <w:pPr>
      <w:widowControl/>
      <w:spacing w:before="100" w:beforeAutospacing="1" w:after="100" w:afterAutospacing="1"/>
      <w:jc w:val="left"/>
    </w:pPr>
    <w:rPr>
      <w:rFonts w:hint="eastAsia" w:ascii="宋体" w:hAnsi="宋体"/>
      <w:color w:val="339966"/>
      <w:kern w:val="0"/>
      <w:sz w:val="21"/>
      <w:szCs w:val="21"/>
    </w:rPr>
  </w:style>
  <w:style w:type="paragraph" w:customStyle="1" w:styleId="529">
    <w:name w:val="列表项目编号"/>
    <w:basedOn w:val="214"/>
    <w:qFormat/>
    <w:uiPriority w:val="0"/>
    <w:pPr>
      <w:keepNext w:val="0"/>
      <w:keepLines w:val="0"/>
      <w:adjustRightInd w:val="0"/>
      <w:spacing w:after="0" w:line="360" w:lineRule="auto"/>
      <w:ind w:firstLine="723"/>
      <w:jc w:val="both"/>
      <w:outlineLvl w:val="9"/>
    </w:pPr>
    <w:rPr>
      <w:rFonts w:ascii="Times New Roman" w:hAnsi="Times New Roman" w:eastAsia="宋体"/>
      <w:spacing w:val="0"/>
      <w:kern w:val="0"/>
      <w:sz w:val="24"/>
      <w:szCs w:val="20"/>
    </w:rPr>
  </w:style>
  <w:style w:type="paragraph" w:customStyle="1" w:styleId="530">
    <w:name w:val="bhq表格"/>
    <w:basedOn w:val="1"/>
    <w:qFormat/>
    <w:uiPriority w:val="0"/>
    <w:pPr>
      <w:adjustRightInd w:val="0"/>
      <w:snapToGrid w:val="0"/>
      <w:spacing w:line="300" w:lineRule="auto"/>
      <w:ind w:firstLine="723" w:firstLineChars="200"/>
    </w:pPr>
    <w:rPr>
      <w:rFonts w:ascii="宋体" w:hAnsi="宋体"/>
      <w:kern w:val="0"/>
      <w:szCs w:val="20"/>
    </w:rPr>
  </w:style>
  <w:style w:type="paragraph" w:customStyle="1" w:styleId="531">
    <w:name w:val="样式 标题 3 + 首行缩进:  0.85 厘米"/>
    <w:basedOn w:val="6"/>
    <w:qFormat/>
    <w:uiPriority w:val="0"/>
    <w:pPr>
      <w:widowControl/>
      <w:adjustRightInd w:val="0"/>
      <w:spacing w:before="50" w:after="200" w:line="200" w:lineRule="atLeast"/>
      <w:ind w:left="0" w:firstLine="241" w:firstLineChars="200"/>
      <w:jc w:val="left"/>
    </w:pPr>
    <w:rPr>
      <w:rFonts w:ascii="宋体" w:hAnsi="宋体" w:cs="宋体"/>
      <w:color w:val="FF0000"/>
      <w:kern w:val="44"/>
      <w:sz w:val="24"/>
      <w:szCs w:val="20"/>
    </w:rPr>
  </w:style>
  <w:style w:type="paragraph" w:customStyle="1" w:styleId="532">
    <w:name w:val="1"/>
    <w:basedOn w:val="1"/>
    <w:next w:val="68"/>
    <w:qFormat/>
    <w:uiPriority w:val="0"/>
    <w:pPr>
      <w:spacing w:line="540" w:lineRule="exact"/>
      <w:ind w:firstLine="600" w:firstLineChars="200"/>
    </w:pPr>
    <w:rPr>
      <w:rFonts w:ascii="仿宋_GB2312" w:eastAsia="仿宋_GB2312"/>
      <w:sz w:val="28"/>
      <w:szCs w:val="20"/>
    </w:rPr>
  </w:style>
  <w:style w:type="paragraph" w:customStyle="1" w:styleId="533">
    <w:name w:val="xl59"/>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line="460" w:lineRule="exact"/>
      <w:ind w:firstLine="723" w:firstLineChars="200"/>
      <w:jc w:val="center"/>
      <w:textAlignment w:val="center"/>
    </w:pPr>
    <w:rPr>
      <w:rFonts w:ascii="宋体" w:hAnsi="宋体"/>
      <w:kern w:val="0"/>
    </w:rPr>
  </w:style>
  <w:style w:type="paragraph" w:customStyle="1" w:styleId="534">
    <w:name w:val="xl2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kern w:val="0"/>
      <w:sz w:val="20"/>
      <w:szCs w:val="20"/>
    </w:rPr>
  </w:style>
  <w:style w:type="paragraph" w:customStyle="1" w:styleId="535">
    <w:name w:val="报告标题3"/>
    <w:basedOn w:val="1"/>
    <w:next w:val="1"/>
    <w:qFormat/>
    <w:uiPriority w:val="0"/>
    <w:pPr>
      <w:tabs>
        <w:tab w:val="left" w:pos="-1959"/>
      </w:tabs>
      <w:adjustRightInd w:val="0"/>
      <w:snapToGrid w:val="0"/>
      <w:spacing w:beforeLines="150" w:afterLines="150"/>
      <w:outlineLvl w:val="2"/>
    </w:pPr>
    <w:rPr>
      <w:rFonts w:ascii="宋体" w:hAnsi="宋体" w:cs="宋体"/>
      <w:b/>
      <w:kern w:val="0"/>
      <w:sz w:val="28"/>
      <w:szCs w:val="28"/>
    </w:rPr>
  </w:style>
  <w:style w:type="paragraph" w:customStyle="1" w:styleId="536">
    <w:name w:val="样式 四号 首行缩进:  1.01 厘米 段前: 7.8 磅 行距: 固定值 26 磅"/>
    <w:basedOn w:val="1"/>
    <w:qFormat/>
    <w:uiPriority w:val="0"/>
    <w:pPr>
      <w:spacing w:before="156" w:line="360" w:lineRule="auto"/>
      <w:ind w:firstLine="573" w:firstLineChars="200"/>
    </w:pPr>
    <w:rPr>
      <w:rFonts w:cs="宋体"/>
      <w:kern w:val="0"/>
      <w:szCs w:val="20"/>
    </w:rPr>
  </w:style>
  <w:style w:type="paragraph" w:customStyle="1" w:styleId="537">
    <w:name w:val="样式 表格 + 五号3"/>
    <w:basedOn w:val="188"/>
    <w:qFormat/>
    <w:uiPriority w:val="0"/>
    <w:pPr>
      <w:wordWrap w:val="0"/>
      <w:adjustRightInd w:val="0"/>
      <w:spacing w:line="240" w:lineRule="auto"/>
      <w:ind w:firstLine="34"/>
      <w:textAlignment w:val="baseline"/>
    </w:pPr>
    <w:rPr>
      <w:color w:val="000000"/>
      <w:spacing w:val="26"/>
      <w:kern w:val="16"/>
      <w:sz w:val="21"/>
      <w:szCs w:val="21"/>
    </w:rPr>
  </w:style>
  <w:style w:type="paragraph" w:customStyle="1" w:styleId="538">
    <w:name w:val="样式 标题 3 + 字距调整11 磅1"/>
    <w:basedOn w:val="6"/>
    <w:qFormat/>
    <w:uiPriority w:val="0"/>
    <w:pPr>
      <w:adjustRightInd w:val="0"/>
      <w:spacing w:before="60" w:after="60" w:line="360" w:lineRule="auto"/>
      <w:ind w:left="0" w:right="210" w:firstLine="723" w:firstLineChars="200"/>
      <w:jc w:val="left"/>
    </w:pPr>
    <w:rPr>
      <w:b w:val="0"/>
      <w:bCs w:val="0"/>
      <w:kern w:val="22"/>
    </w:rPr>
  </w:style>
  <w:style w:type="paragraph" w:customStyle="1" w:styleId="539">
    <w:name w:val="xl24"/>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b/>
      <w:bCs/>
      <w:kern w:val="0"/>
    </w:rPr>
  </w:style>
  <w:style w:type="paragraph" w:customStyle="1" w:styleId="540">
    <w:name w:val="Header Base"/>
    <w:basedOn w:val="33"/>
    <w:qFormat/>
    <w:uiPriority w:val="0"/>
    <w:pPr>
      <w:keepLines/>
      <w:widowControl/>
      <w:tabs>
        <w:tab w:val="center" w:pos="4320"/>
        <w:tab w:val="right" w:pos="8640"/>
      </w:tabs>
      <w:adjustRightInd/>
      <w:snapToGrid/>
      <w:spacing w:line="240" w:lineRule="atLeast"/>
      <w:ind w:firstLine="360" w:firstLineChars="200"/>
    </w:pPr>
    <w:rPr>
      <w:rFonts w:ascii="Garamond" w:hAnsi="Garamond"/>
      <w:snapToGrid/>
      <w:sz w:val="22"/>
      <w:szCs w:val="20"/>
      <w:shd w:val="clear" w:color="auto" w:fill="FFFFFF"/>
    </w:rPr>
  </w:style>
  <w:style w:type="paragraph" w:customStyle="1" w:styleId="541">
    <w:name w:val=" Char Char Char Char Char Char Char Char Char Char Char Char Char Char Char1 Char Char Char Char Char Char Char Char Char Char Char Char Char"/>
    <w:basedOn w:val="1"/>
    <w:qFormat/>
    <w:uiPriority w:val="0"/>
    <w:pPr>
      <w:autoSpaceDE w:val="0"/>
      <w:autoSpaceDN w:val="0"/>
      <w:adjustRightInd w:val="0"/>
      <w:snapToGrid w:val="0"/>
      <w:spacing w:before="50" w:after="50" w:line="360" w:lineRule="auto"/>
      <w:ind w:firstLine="560" w:firstLineChars="200"/>
    </w:pPr>
    <w:rPr>
      <w:color w:val="000000"/>
    </w:rPr>
  </w:style>
  <w:style w:type="paragraph" w:customStyle="1" w:styleId="542">
    <w:name w:val="xl87"/>
    <w:basedOn w:val="1"/>
    <w:qFormat/>
    <w:uiPriority w:val="0"/>
    <w:pPr>
      <w:widowControl/>
      <w:pBdr>
        <w:left w:val="single" w:color="auto" w:sz="4" w:space="0"/>
        <w:bottom w:val="single" w:color="auto" w:sz="4" w:space="0"/>
        <w:right w:val="single" w:color="auto" w:sz="4" w:space="0"/>
      </w:pBdr>
      <w:spacing w:before="100" w:beforeAutospacing="1" w:after="100" w:afterAutospacing="1" w:line="460" w:lineRule="exact"/>
      <w:ind w:firstLine="723" w:firstLineChars="200"/>
      <w:jc w:val="left"/>
    </w:pPr>
    <w:rPr>
      <w:rFonts w:ascii="宋体" w:hAnsi="宋体" w:cs="宋体"/>
      <w:kern w:val="0"/>
      <w:sz w:val="20"/>
      <w:szCs w:val="20"/>
    </w:rPr>
  </w:style>
  <w:style w:type="paragraph" w:customStyle="1" w:styleId="543">
    <w:name w:val="xl43"/>
    <w:basedOn w:val="1"/>
    <w:qFormat/>
    <w:uiPriority w:val="0"/>
    <w:pPr>
      <w:widowControl/>
      <w:spacing w:before="100" w:beforeAutospacing="1" w:after="100" w:afterAutospacing="1"/>
      <w:jc w:val="center"/>
    </w:pPr>
    <w:rPr>
      <w:rFonts w:hint="eastAsia" w:ascii="黑体" w:hAnsi="宋体" w:eastAsia="黑体"/>
      <w:kern w:val="0"/>
    </w:rPr>
  </w:style>
  <w:style w:type="paragraph" w:customStyle="1" w:styleId="544">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olor w:val="0000FF"/>
      <w:kern w:val="0"/>
    </w:rPr>
  </w:style>
  <w:style w:type="paragraph" w:customStyle="1" w:styleId="545">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sz w:val="20"/>
      <w:szCs w:val="20"/>
    </w:rPr>
  </w:style>
  <w:style w:type="paragraph" w:customStyle="1" w:styleId="546">
    <w:name w:val="封面3"/>
    <w:basedOn w:val="1"/>
    <w:qFormat/>
    <w:uiPriority w:val="0"/>
    <w:pPr>
      <w:spacing w:line="360" w:lineRule="auto"/>
      <w:ind w:firstLine="723" w:firstLineChars="200"/>
      <w:jc w:val="center"/>
    </w:pPr>
    <w:rPr>
      <w:rFonts w:eastAsia="黑体"/>
      <w:spacing w:val="20"/>
      <w:kern w:val="0"/>
      <w:sz w:val="44"/>
      <w:szCs w:val="36"/>
      <w:shd w:val="clear" w:color="auto" w:fill="FFFFFF"/>
    </w:rPr>
  </w:style>
  <w:style w:type="paragraph" w:customStyle="1" w:styleId="547">
    <w:name w:val="样式 正文（首行缩进两字） + 四号 首行缩进:  2 字符"/>
    <w:basedOn w:val="9"/>
    <w:qFormat/>
    <w:uiPriority w:val="0"/>
    <w:pPr>
      <w:spacing w:line="360" w:lineRule="auto"/>
      <w:ind w:firstLine="200"/>
    </w:pPr>
    <w:rPr>
      <w:rFonts w:cs="宋体"/>
      <w:kern w:val="0"/>
      <w:sz w:val="28"/>
    </w:rPr>
  </w:style>
  <w:style w:type="paragraph" w:customStyle="1" w:styleId="548">
    <w:name w:val="xl1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left"/>
    </w:pPr>
    <w:rPr>
      <w:color w:val="993366"/>
      <w:kern w:val="0"/>
      <w:szCs w:val="21"/>
    </w:rPr>
  </w:style>
  <w:style w:type="paragraph" w:customStyle="1" w:styleId="549">
    <w:name w:val="xl2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b/>
      <w:bCs/>
      <w:kern w:val="0"/>
      <w:sz w:val="20"/>
      <w:szCs w:val="20"/>
    </w:rPr>
  </w:style>
  <w:style w:type="paragraph" w:customStyle="1" w:styleId="550">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仿宋_GB2312" w:hAnsi="宋体" w:eastAsia="仿宋_GB2312" w:cs="宋体"/>
      <w:kern w:val="0"/>
      <w:sz w:val="20"/>
      <w:szCs w:val="20"/>
    </w:rPr>
  </w:style>
  <w:style w:type="paragraph" w:customStyle="1" w:styleId="551">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szCs w:val="21"/>
    </w:rPr>
  </w:style>
  <w:style w:type="paragraph" w:customStyle="1" w:styleId="552">
    <w:name w:val="xl55"/>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line="460" w:lineRule="exact"/>
      <w:ind w:firstLine="723" w:firstLineChars="200"/>
      <w:jc w:val="center"/>
      <w:textAlignment w:val="center"/>
    </w:pPr>
    <w:rPr>
      <w:rFonts w:ascii="宋体" w:hAnsi="宋体"/>
      <w:kern w:val="0"/>
    </w:rPr>
  </w:style>
  <w:style w:type="paragraph" w:customStyle="1" w:styleId="553">
    <w:name w:val=" Char Char Char1 Char Char Char Char Char Char Char Char"/>
    <w:basedOn w:val="1"/>
    <w:qFormat/>
    <w:uiPriority w:val="0"/>
    <w:pPr>
      <w:spacing w:line="460" w:lineRule="exact"/>
      <w:ind w:firstLine="723" w:firstLineChars="200"/>
    </w:pPr>
    <w:rPr>
      <w:kern w:val="0"/>
      <w:szCs w:val="20"/>
    </w:rPr>
  </w:style>
  <w:style w:type="paragraph" w:styleId="554">
    <w:name w:val="List Paragraph"/>
    <w:basedOn w:val="1"/>
    <w:qFormat/>
    <w:uiPriority w:val="0"/>
    <w:pPr>
      <w:widowControl/>
      <w:spacing w:line="460" w:lineRule="exact"/>
      <w:ind w:left="720" w:firstLine="723" w:firstLineChars="200"/>
      <w:contextualSpacing/>
      <w:jc w:val="left"/>
    </w:pPr>
    <w:rPr>
      <w:rFonts w:ascii="Calibri" w:hAnsi="Calibri"/>
      <w:kern w:val="0"/>
      <w:szCs w:val="20"/>
      <w:lang w:eastAsia="en-US" w:bidi="en-US"/>
    </w:rPr>
  </w:style>
  <w:style w:type="paragraph" w:customStyle="1" w:styleId="55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1"/>
      <w:szCs w:val="21"/>
    </w:rPr>
  </w:style>
  <w:style w:type="paragraph" w:customStyle="1" w:styleId="556">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sz w:val="20"/>
      <w:szCs w:val="20"/>
    </w:rPr>
  </w:style>
  <w:style w:type="paragraph" w:customStyle="1" w:styleId="557">
    <w:name w:val="xl1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left"/>
    </w:pPr>
    <w:rPr>
      <w:rFonts w:ascii="宋体" w:hAnsi="宋体" w:cs="宋体"/>
      <w:kern w:val="0"/>
      <w:szCs w:val="21"/>
    </w:rPr>
  </w:style>
  <w:style w:type="paragraph" w:customStyle="1" w:styleId="558">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sz w:val="20"/>
      <w:szCs w:val="20"/>
    </w:rPr>
  </w:style>
  <w:style w:type="paragraph" w:customStyle="1" w:styleId="559">
    <w:name w:val="cccc"/>
    <w:basedOn w:val="1"/>
    <w:qFormat/>
    <w:uiPriority w:val="0"/>
    <w:pPr>
      <w:spacing w:line="360" w:lineRule="auto"/>
      <w:ind w:firstLine="560" w:firstLineChars="200"/>
    </w:pPr>
    <w:rPr>
      <w:rFonts w:ascii="仿宋" w:hAnsi="仿宋" w:eastAsia="仿宋"/>
      <w:sz w:val="28"/>
    </w:rPr>
  </w:style>
  <w:style w:type="paragraph" w:customStyle="1" w:styleId="560">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textAlignment w:val="center"/>
    </w:pPr>
    <w:rPr>
      <w:rFonts w:ascii="宋体" w:hAnsi="宋体" w:cs="宋体"/>
      <w:kern w:val="0"/>
      <w:sz w:val="20"/>
      <w:szCs w:val="20"/>
    </w:rPr>
  </w:style>
  <w:style w:type="paragraph" w:customStyle="1" w:styleId="561">
    <w:name w:val="font12"/>
    <w:basedOn w:val="1"/>
    <w:qFormat/>
    <w:uiPriority w:val="0"/>
    <w:pPr>
      <w:widowControl/>
      <w:spacing w:before="100" w:beforeAutospacing="1" w:after="100" w:afterAutospacing="1"/>
      <w:jc w:val="left"/>
    </w:pPr>
    <w:rPr>
      <w:color w:val="339966"/>
      <w:kern w:val="0"/>
      <w:sz w:val="21"/>
      <w:szCs w:val="21"/>
    </w:rPr>
  </w:style>
  <w:style w:type="paragraph" w:customStyle="1" w:styleId="562">
    <w:name w:val="Plain Text"/>
    <w:basedOn w:val="1"/>
    <w:qFormat/>
    <w:uiPriority w:val="0"/>
    <w:pPr>
      <w:adjustRightInd w:val="0"/>
      <w:spacing w:line="460" w:lineRule="exact"/>
      <w:ind w:firstLine="723" w:firstLineChars="200"/>
      <w:jc w:val="left"/>
      <w:textAlignment w:val="baseline"/>
    </w:pPr>
    <w:rPr>
      <w:rFonts w:ascii="宋体" w:hAnsi="Courier New"/>
      <w:kern w:val="0"/>
      <w:szCs w:val="20"/>
    </w:rPr>
  </w:style>
  <w:style w:type="paragraph" w:customStyle="1" w:styleId="563">
    <w:name w:val=" Char Char Char Char Char Char Char Char Char Char"/>
    <w:basedOn w:val="1"/>
    <w:semiHidden/>
    <w:qFormat/>
    <w:uiPriority w:val="0"/>
    <w:rPr>
      <w:sz w:val="21"/>
    </w:rPr>
  </w:style>
  <w:style w:type="paragraph" w:customStyle="1" w:styleId="564">
    <w:name w:val="xl37"/>
    <w:basedOn w:val="1"/>
    <w:qFormat/>
    <w:uiPriority w:val="0"/>
    <w:pPr>
      <w:widowControl/>
      <w:spacing w:before="100" w:beforeAutospacing="1" w:after="100" w:afterAutospacing="1"/>
      <w:jc w:val="center"/>
    </w:pPr>
    <w:rPr>
      <w:rFonts w:hint="eastAsia" w:ascii="黑体" w:hAnsi="宋体" w:eastAsia="黑体"/>
      <w:kern w:val="0"/>
      <w:sz w:val="32"/>
      <w:szCs w:val="32"/>
    </w:rPr>
  </w:style>
  <w:style w:type="paragraph" w:customStyle="1" w:styleId="565">
    <w:name w:val="xl116"/>
    <w:basedOn w:val="1"/>
    <w:qFormat/>
    <w:uiPriority w:val="0"/>
    <w:pPr>
      <w:widowControl/>
      <w:pBdr>
        <w:top w:val="single" w:color="auto" w:sz="4" w:space="0"/>
        <w:left w:val="single" w:color="auto" w:sz="4" w:space="0"/>
        <w:bottom w:val="single" w:color="auto" w:sz="4" w:space="0"/>
      </w:pBdr>
      <w:spacing w:before="100" w:beforeAutospacing="1" w:after="100" w:afterAutospacing="1" w:line="460" w:lineRule="exact"/>
      <w:ind w:firstLine="723" w:firstLineChars="200"/>
      <w:jc w:val="right"/>
    </w:pPr>
    <w:rPr>
      <w:b/>
      <w:bCs/>
      <w:color w:val="FF00FF"/>
      <w:kern w:val="0"/>
      <w:szCs w:val="21"/>
    </w:rPr>
  </w:style>
  <w:style w:type="paragraph" w:customStyle="1" w:styleId="566">
    <w:name w:val="样式 加粗 居中1"/>
    <w:basedOn w:val="1"/>
    <w:qFormat/>
    <w:uiPriority w:val="0"/>
    <w:pPr>
      <w:widowControl/>
      <w:spacing w:line="300" w:lineRule="exact"/>
      <w:ind w:firstLine="723" w:firstLineChars="200"/>
      <w:jc w:val="center"/>
    </w:pPr>
    <w:rPr>
      <w:rFonts w:ascii="宋体" w:hAnsi="宋体" w:eastAsia="黑体" w:cs="宋体"/>
      <w:b/>
      <w:bCs/>
      <w:color w:val="000000"/>
      <w:kern w:val="0"/>
      <w:sz w:val="32"/>
      <w:szCs w:val="20"/>
    </w:rPr>
  </w:style>
  <w:style w:type="paragraph" w:customStyle="1" w:styleId="567">
    <w:name w:val=" Char Char Char Char"/>
    <w:basedOn w:val="1"/>
    <w:qFormat/>
    <w:uiPriority w:val="0"/>
    <w:pPr>
      <w:spacing w:line="540" w:lineRule="exact"/>
      <w:ind w:firstLine="723" w:firstLineChars="200"/>
    </w:pPr>
    <w:rPr>
      <w:rFonts w:ascii="楷体_GB2312" w:eastAsia="楷体_GB2312"/>
      <w:kern w:val="0"/>
      <w:sz w:val="28"/>
    </w:rPr>
  </w:style>
  <w:style w:type="paragraph" w:customStyle="1" w:styleId="568">
    <w:name w:val="样式 (中文) 黑体 二号 居中 加宽量  2 磅"/>
    <w:basedOn w:val="1"/>
    <w:qFormat/>
    <w:uiPriority w:val="0"/>
    <w:pPr>
      <w:adjustRightInd w:val="0"/>
      <w:snapToGrid w:val="0"/>
      <w:spacing w:line="360" w:lineRule="auto"/>
      <w:ind w:firstLine="560" w:firstLineChars="200"/>
      <w:jc w:val="center"/>
    </w:pPr>
    <w:rPr>
      <w:rFonts w:ascii="宋体" w:eastAsia="黑体" w:cs="宋体"/>
      <w:snapToGrid w:val="0"/>
      <w:spacing w:val="40"/>
      <w:kern w:val="0"/>
      <w:sz w:val="44"/>
      <w:szCs w:val="44"/>
      <w:shd w:val="clear" w:color="auto" w:fill="FFFFFF"/>
    </w:rPr>
  </w:style>
  <w:style w:type="paragraph" w:customStyle="1" w:styleId="569">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570">
    <w:name w:val=" Char Char Char1 Char Char Char Char"/>
    <w:basedOn w:val="1"/>
    <w:qFormat/>
    <w:uiPriority w:val="0"/>
    <w:pPr>
      <w:spacing w:line="460" w:lineRule="exact"/>
      <w:ind w:firstLine="723" w:firstLineChars="200"/>
    </w:pPr>
    <w:rPr>
      <w:rFonts w:ascii="Tahoma" w:hAnsi="Tahoma"/>
      <w:szCs w:val="20"/>
    </w:rPr>
  </w:style>
  <w:style w:type="paragraph" w:customStyle="1" w:styleId="571">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left"/>
    </w:pPr>
    <w:rPr>
      <w:rFonts w:ascii="宋体" w:hAnsi="宋体" w:cs="宋体"/>
      <w:kern w:val="0"/>
      <w:szCs w:val="21"/>
    </w:rPr>
  </w:style>
  <w:style w:type="paragraph" w:customStyle="1" w:styleId="572">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kern w:val="0"/>
      <w:szCs w:val="21"/>
    </w:rPr>
  </w:style>
  <w:style w:type="paragraph" w:customStyle="1" w:styleId="573">
    <w:name w:val="样式8"/>
    <w:basedOn w:val="44"/>
    <w:next w:val="9"/>
    <w:qFormat/>
    <w:uiPriority w:val="0"/>
    <w:pPr>
      <w:snapToGrid/>
      <w:spacing w:before="156" w:beforeLines="50" w:line="480" w:lineRule="exact"/>
      <w:ind w:left="-2" w:leftChars="-1" w:firstLine="567"/>
      <w:jc w:val="left"/>
    </w:pPr>
    <w:rPr>
      <w:rFonts w:ascii="宋体" w:hAnsi="宋体" w:eastAsia="宋体"/>
      <w:sz w:val="28"/>
      <w:szCs w:val="28"/>
    </w:rPr>
  </w:style>
  <w:style w:type="paragraph" w:customStyle="1" w:styleId="574">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color w:val="FF0000"/>
      <w:kern w:val="0"/>
      <w:sz w:val="21"/>
      <w:szCs w:val="21"/>
    </w:rPr>
  </w:style>
  <w:style w:type="paragraph" w:customStyle="1" w:styleId="575">
    <w:name w:val="表格文字"/>
    <w:basedOn w:val="34"/>
    <w:qFormat/>
    <w:uiPriority w:val="0"/>
    <w:pPr>
      <w:pBdr>
        <w:top w:val="none" w:color="auto" w:sz="0" w:space="1"/>
        <w:left w:val="none" w:color="auto" w:sz="0" w:space="4"/>
        <w:bottom w:val="none" w:color="auto" w:sz="0" w:space="1"/>
        <w:right w:val="none" w:color="auto" w:sz="0" w:space="4"/>
      </w:pBdr>
      <w:spacing w:before="0"/>
      <w:ind w:firstLine="0" w:firstLineChars="0"/>
      <w:jc w:val="center"/>
    </w:pPr>
    <w:rPr>
      <w:rFonts w:ascii="Times New Roman" w:hAnsi="Times New Roman"/>
      <w:kern w:val="0"/>
      <w:sz w:val="18"/>
    </w:rPr>
  </w:style>
  <w:style w:type="paragraph" w:customStyle="1" w:styleId="576">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pPr>
    <w:rPr>
      <w:rFonts w:ascii="宋体" w:hAnsi="宋体" w:cs="宋体"/>
      <w:kern w:val="0"/>
      <w:szCs w:val="21"/>
    </w:rPr>
  </w:style>
  <w:style w:type="paragraph" w:customStyle="1" w:styleId="577">
    <w:name w:val="样式 纯文本普通文字 + 仿宋_GB2312 四号"/>
    <w:basedOn w:val="44"/>
    <w:qFormat/>
    <w:uiPriority w:val="0"/>
    <w:pPr>
      <w:spacing w:line="360" w:lineRule="auto"/>
      <w:ind w:firstLine="560"/>
      <w:jc w:val="both"/>
    </w:pPr>
    <w:rPr>
      <w:rFonts w:cs="宋体"/>
      <w:color w:val="auto"/>
      <w:sz w:val="28"/>
      <w:szCs w:val="24"/>
    </w:rPr>
  </w:style>
  <w:style w:type="paragraph" w:customStyle="1" w:styleId="578">
    <w:name w:val="xl115"/>
    <w:basedOn w:val="1"/>
    <w:qFormat/>
    <w:uiPriority w:val="0"/>
    <w:pPr>
      <w:widowControl/>
      <w:pBdr>
        <w:top w:val="single" w:color="auto" w:sz="4" w:space="0"/>
        <w:left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rPr>
  </w:style>
  <w:style w:type="paragraph" w:customStyle="1" w:styleId="579">
    <w:name w:val="Char Char Char Char Char"/>
    <w:basedOn w:val="1"/>
    <w:qFormat/>
    <w:uiPriority w:val="0"/>
    <w:pPr>
      <w:tabs>
        <w:tab w:val="left" w:pos="420"/>
      </w:tabs>
      <w:spacing w:before="156" w:beforeLines="50" w:after="156" w:afterLines="50" w:line="312" w:lineRule="auto"/>
      <w:ind w:left="420" w:hanging="420" w:firstLineChars="200"/>
    </w:pPr>
    <w:rPr>
      <w:kern w:val="0"/>
      <w:szCs w:val="20"/>
    </w:rPr>
  </w:style>
  <w:style w:type="paragraph" w:customStyle="1" w:styleId="580">
    <w:name w:val=" Char Char Char Char Char Char Char"/>
    <w:basedOn w:val="1"/>
    <w:qFormat/>
    <w:uiPriority w:val="0"/>
    <w:pPr>
      <w:spacing w:line="460" w:lineRule="exact"/>
      <w:ind w:firstLine="723" w:firstLineChars="200"/>
    </w:pPr>
    <w:rPr>
      <w:kern w:val="0"/>
      <w:szCs w:val="20"/>
    </w:rPr>
  </w:style>
  <w:style w:type="paragraph" w:customStyle="1" w:styleId="581">
    <w:name w:val="xl117"/>
    <w:basedOn w:val="1"/>
    <w:qFormat/>
    <w:uiPriority w:val="0"/>
    <w:pPr>
      <w:widowControl/>
      <w:pBdr>
        <w:top w:val="single" w:color="auto" w:sz="4" w:space="0"/>
        <w:left w:val="single" w:color="auto" w:sz="4" w:space="0"/>
        <w:bottom w:val="single" w:color="auto" w:sz="4" w:space="0"/>
      </w:pBdr>
      <w:spacing w:before="100" w:beforeAutospacing="1" w:after="100" w:afterAutospacing="1" w:line="460" w:lineRule="exact"/>
      <w:ind w:firstLine="723" w:firstLineChars="200"/>
      <w:jc w:val="right"/>
    </w:pPr>
    <w:rPr>
      <w:b/>
      <w:bCs/>
      <w:kern w:val="0"/>
      <w:szCs w:val="21"/>
    </w:rPr>
  </w:style>
  <w:style w:type="paragraph" w:customStyle="1" w:styleId="582">
    <w:name w:val="样式 标题 2 + Times New Roman 左侧:  0 厘米"/>
    <w:basedOn w:val="5"/>
    <w:qFormat/>
    <w:uiPriority w:val="0"/>
    <w:pPr>
      <w:adjustRightInd w:val="0"/>
      <w:snapToGrid w:val="0"/>
      <w:spacing w:line="240" w:lineRule="auto"/>
      <w:ind w:firstLine="562" w:firstLineChars="200"/>
    </w:pPr>
    <w:rPr>
      <w:rFonts w:ascii="Times New Roman" w:hAnsi="Times New Roman" w:cs="宋体"/>
      <w:szCs w:val="28"/>
    </w:rPr>
  </w:style>
  <w:style w:type="paragraph" w:customStyle="1" w:styleId="583">
    <w:name w:val="xl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textAlignment w:val="center"/>
    </w:pPr>
    <w:rPr>
      <w:kern w:val="0"/>
      <w:sz w:val="20"/>
      <w:szCs w:val="20"/>
    </w:rPr>
  </w:style>
  <w:style w:type="paragraph" w:customStyle="1" w:styleId="584">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kern w:val="0"/>
      <w:szCs w:val="21"/>
    </w:rPr>
  </w:style>
  <w:style w:type="paragraph" w:customStyle="1" w:styleId="585">
    <w:name w:val=" Char"/>
    <w:basedOn w:val="1"/>
    <w:uiPriority w:val="0"/>
    <w:rPr>
      <w:sz w:val="21"/>
    </w:rPr>
  </w:style>
  <w:style w:type="paragraph" w:customStyle="1" w:styleId="586">
    <w:name w:val="样式 样式 宋体 四号 + 首行缩进:  2 字符"/>
    <w:basedOn w:val="1"/>
    <w:uiPriority w:val="0"/>
    <w:pPr>
      <w:spacing w:line="360" w:lineRule="auto"/>
      <w:ind w:firstLine="480" w:firstLineChars="200"/>
    </w:pPr>
    <w:rPr>
      <w:rFonts w:ascii="宋体" w:hAnsi="宋体" w:cs="宋体"/>
      <w:szCs w:val="20"/>
    </w:rPr>
  </w:style>
  <w:style w:type="paragraph" w:customStyle="1" w:styleId="587">
    <w:name w:val="xl26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color w:val="000000"/>
      <w:kern w:val="0"/>
      <w:sz w:val="20"/>
      <w:szCs w:val="20"/>
    </w:rPr>
  </w:style>
  <w:style w:type="paragraph" w:customStyle="1" w:styleId="588">
    <w:name w:val="样式 标题 2节 + 首行缩进:  0.85 厘米"/>
    <w:basedOn w:val="5"/>
    <w:qFormat/>
    <w:uiPriority w:val="0"/>
    <w:pPr>
      <w:keepNext w:val="0"/>
      <w:keepLines w:val="0"/>
      <w:adjustRightInd w:val="0"/>
      <w:snapToGrid w:val="0"/>
      <w:spacing w:after="120" w:line="415" w:lineRule="auto"/>
      <w:ind w:firstLine="562" w:firstLineChars="200"/>
    </w:pPr>
    <w:rPr>
      <w:rFonts w:ascii="Times New Roman" w:hAnsi="Times New Roman" w:eastAsia="宋体" w:cs="宋体"/>
      <w:szCs w:val="28"/>
    </w:rPr>
  </w:style>
  <w:style w:type="paragraph" w:customStyle="1" w:styleId="589">
    <w:name w:val="Char Char Char Char Char Char Char Char Char Char Char Char Char Char Char Char Char Char Char"/>
    <w:basedOn w:val="1"/>
    <w:qFormat/>
    <w:uiPriority w:val="0"/>
    <w:pPr>
      <w:widowControl/>
      <w:spacing w:after="160" w:line="240" w:lineRule="exact"/>
      <w:ind w:firstLine="723" w:firstLineChars="200"/>
      <w:jc w:val="left"/>
    </w:pPr>
    <w:rPr>
      <w:rFonts w:ascii="Verdana" w:hAnsi="Verdana"/>
      <w:kern w:val="0"/>
      <w:sz w:val="20"/>
      <w:szCs w:val="20"/>
      <w:lang w:eastAsia="en-US"/>
    </w:rPr>
  </w:style>
  <w:style w:type="paragraph" w:customStyle="1" w:styleId="590">
    <w:name w:val="xl104"/>
    <w:basedOn w:val="1"/>
    <w:uiPriority w:val="0"/>
    <w:pPr>
      <w:widowControl/>
      <w:pBdr>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sz w:val="20"/>
      <w:szCs w:val="20"/>
    </w:rPr>
  </w:style>
  <w:style w:type="paragraph" w:customStyle="1" w:styleId="591">
    <w:name w:val="标2"/>
    <w:basedOn w:val="5"/>
    <w:qFormat/>
    <w:uiPriority w:val="0"/>
    <w:pPr>
      <w:spacing w:before="50" w:beforeLines="50" w:after="50" w:afterLines="50" w:line="360" w:lineRule="auto"/>
      <w:jc w:val="left"/>
    </w:pPr>
    <w:rPr>
      <w:rFonts w:ascii="Times New Roman" w:hAnsi="Times New Roman" w:eastAsia="仿宋"/>
      <w:b w:val="0"/>
      <w:kern w:val="0"/>
      <w:sz w:val="30"/>
    </w:rPr>
  </w:style>
  <w:style w:type="paragraph" w:customStyle="1" w:styleId="592">
    <w:name w:val="xl2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sz w:val="20"/>
      <w:szCs w:val="20"/>
    </w:rPr>
  </w:style>
  <w:style w:type="paragraph" w:customStyle="1" w:styleId="593">
    <w:name w:val="font9"/>
    <w:basedOn w:val="1"/>
    <w:qFormat/>
    <w:uiPriority w:val="0"/>
    <w:pPr>
      <w:widowControl/>
      <w:spacing w:before="100" w:beforeAutospacing="1" w:after="100" w:afterAutospacing="1"/>
      <w:jc w:val="left"/>
    </w:pPr>
    <w:rPr>
      <w:rFonts w:hint="eastAsia" w:ascii="宋体" w:hAnsi="宋体"/>
      <w:color w:val="FF0000"/>
      <w:kern w:val="0"/>
      <w:sz w:val="21"/>
      <w:szCs w:val="21"/>
    </w:rPr>
  </w:style>
  <w:style w:type="paragraph" w:customStyle="1" w:styleId="594">
    <w:name w:val="xl56"/>
    <w:basedOn w:val="1"/>
    <w:qFormat/>
    <w:uiPriority w:val="0"/>
    <w:pPr>
      <w:widowControl/>
      <w:spacing w:before="100" w:beforeAutospacing="1" w:after="100" w:afterAutospacing="1" w:line="460" w:lineRule="exact"/>
      <w:ind w:firstLine="723" w:firstLineChars="200"/>
      <w:jc w:val="center"/>
      <w:textAlignment w:val="center"/>
    </w:pPr>
    <w:rPr>
      <w:rFonts w:ascii="宋体" w:hAnsi="宋体"/>
      <w:b/>
      <w:bCs/>
      <w:kern w:val="0"/>
      <w:sz w:val="32"/>
      <w:szCs w:val="32"/>
    </w:rPr>
  </w:style>
  <w:style w:type="paragraph" w:customStyle="1" w:styleId="595">
    <w:name w:val="表名"/>
    <w:basedOn w:val="1"/>
    <w:uiPriority w:val="0"/>
    <w:pPr>
      <w:spacing w:before="156" w:beforeLines="50" w:line="360" w:lineRule="auto"/>
      <w:ind w:firstLine="723" w:firstLineChars="200"/>
    </w:pPr>
    <w:rPr>
      <w:rFonts w:eastAsia="黑体"/>
    </w:rPr>
  </w:style>
  <w:style w:type="paragraph" w:customStyle="1" w:styleId="596">
    <w:name w:val="xl27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left"/>
    </w:pPr>
    <w:rPr>
      <w:kern w:val="0"/>
      <w:sz w:val="20"/>
      <w:szCs w:val="20"/>
    </w:rPr>
  </w:style>
  <w:style w:type="paragraph" w:customStyle="1" w:styleId="597">
    <w:name w:val="Char2"/>
    <w:basedOn w:val="1"/>
    <w:uiPriority w:val="0"/>
    <w:pPr>
      <w:spacing w:line="460" w:lineRule="exact"/>
      <w:ind w:left="432" w:hanging="432" w:firstLineChars="200"/>
    </w:pPr>
    <w:rPr>
      <w:kern w:val="0"/>
      <w:szCs w:val="20"/>
    </w:rPr>
  </w:style>
  <w:style w:type="paragraph" w:customStyle="1" w:styleId="598">
    <w:name w:val="et1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color w:val="000000"/>
      <w:kern w:val="0"/>
    </w:rPr>
  </w:style>
  <w:style w:type="paragraph" w:customStyle="1" w:styleId="599">
    <w:name w:val="样式4"/>
    <w:basedOn w:val="6"/>
    <w:qFormat/>
    <w:uiPriority w:val="0"/>
    <w:pPr>
      <w:adjustRightInd w:val="0"/>
      <w:spacing w:before="60" w:after="60" w:line="360" w:lineRule="auto"/>
      <w:ind w:left="0" w:right="210" w:firstLine="723" w:firstLineChars="200"/>
      <w:jc w:val="left"/>
    </w:pPr>
  </w:style>
  <w:style w:type="paragraph" w:customStyle="1" w:styleId="600">
    <w:name w:val="font14"/>
    <w:basedOn w:val="1"/>
    <w:qFormat/>
    <w:uiPriority w:val="0"/>
    <w:pPr>
      <w:widowControl/>
      <w:spacing w:before="100" w:beforeAutospacing="1" w:after="100" w:afterAutospacing="1"/>
      <w:jc w:val="left"/>
    </w:pPr>
    <w:rPr>
      <w:color w:val="3366FF"/>
      <w:kern w:val="0"/>
      <w:sz w:val="21"/>
      <w:szCs w:val="21"/>
    </w:rPr>
  </w:style>
  <w:style w:type="paragraph" w:customStyle="1" w:styleId="601">
    <w:name w:val="b1"/>
    <w:basedOn w:val="1"/>
    <w:uiPriority w:val="0"/>
    <w:pPr>
      <w:widowControl/>
      <w:spacing w:before="100" w:beforeAutospacing="1" w:after="100" w:afterAutospacing="1" w:line="460" w:lineRule="exact"/>
      <w:ind w:firstLine="723" w:firstLineChars="200"/>
      <w:jc w:val="left"/>
    </w:pPr>
    <w:rPr>
      <w:rFonts w:hint="eastAsia" w:ascii="宋体" w:hAnsi="宋体"/>
      <w:color w:val="000000"/>
      <w:kern w:val="0"/>
      <w:sz w:val="18"/>
      <w:szCs w:val="18"/>
    </w:rPr>
  </w:style>
  <w:style w:type="paragraph" w:customStyle="1" w:styleId="602">
    <w:name w:val="xl8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sz w:val="20"/>
      <w:szCs w:val="20"/>
    </w:rPr>
  </w:style>
  <w:style w:type="paragraph" w:customStyle="1" w:styleId="603">
    <w:name w:val="样式 标题 2 + 首行缩进:  0 字符"/>
    <w:basedOn w:val="5"/>
    <w:qFormat/>
    <w:uiPriority w:val="0"/>
    <w:pPr>
      <w:adjustRightInd w:val="0"/>
      <w:snapToGrid w:val="0"/>
      <w:spacing w:line="240" w:lineRule="auto"/>
      <w:ind w:firstLine="562" w:firstLineChars="200"/>
    </w:pPr>
    <w:rPr>
      <w:rFonts w:ascii="宋体" w:hAnsi="宋体" w:cs="宋体"/>
      <w:b w:val="0"/>
      <w:szCs w:val="28"/>
    </w:rPr>
  </w:style>
  <w:style w:type="paragraph" w:customStyle="1" w:styleId="604">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sz w:val="20"/>
      <w:szCs w:val="20"/>
    </w:rPr>
  </w:style>
  <w:style w:type="paragraph" w:customStyle="1" w:styleId="605">
    <w:name w:val="样式 五号 黑色 居中 行距: 固定值 16 磅"/>
    <w:basedOn w:val="1"/>
    <w:qFormat/>
    <w:uiPriority w:val="0"/>
    <w:pPr>
      <w:spacing w:line="320" w:lineRule="exact"/>
      <w:ind w:firstLine="723" w:firstLineChars="200"/>
      <w:jc w:val="center"/>
    </w:pPr>
    <w:rPr>
      <w:rFonts w:eastAsia="华文中宋" w:cs="黑体"/>
      <w:color w:val="000000"/>
      <w:szCs w:val="20"/>
    </w:rPr>
  </w:style>
  <w:style w:type="paragraph" w:customStyle="1" w:styleId="606">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kern w:val="0"/>
      <w:szCs w:val="21"/>
    </w:rPr>
  </w:style>
  <w:style w:type="paragraph" w:customStyle="1" w:styleId="607">
    <w:name w:val="xl106"/>
    <w:basedOn w:val="1"/>
    <w:uiPriority w:val="0"/>
    <w:pPr>
      <w:widowControl/>
      <w:pBdr>
        <w:top w:val="single" w:color="auto" w:sz="4" w:space="0"/>
        <w:bottom w:val="single" w:color="auto" w:sz="4" w:space="0"/>
      </w:pBdr>
      <w:spacing w:before="100" w:beforeAutospacing="1" w:after="100" w:afterAutospacing="1" w:line="460" w:lineRule="exact"/>
      <w:ind w:firstLine="723" w:firstLineChars="200"/>
      <w:jc w:val="center"/>
    </w:pPr>
    <w:rPr>
      <w:rFonts w:ascii="宋体" w:hAnsi="宋体" w:cs="宋体"/>
      <w:b/>
      <w:bCs/>
      <w:kern w:val="0"/>
      <w:sz w:val="20"/>
      <w:szCs w:val="20"/>
    </w:rPr>
  </w:style>
  <w:style w:type="paragraph" w:customStyle="1" w:styleId="608">
    <w:name w:val="MTDisplayEquation"/>
    <w:basedOn w:val="1"/>
    <w:qFormat/>
    <w:uiPriority w:val="0"/>
    <w:pPr>
      <w:tabs>
        <w:tab w:val="center" w:pos="4540"/>
        <w:tab w:val="right" w:pos="9080"/>
      </w:tabs>
      <w:spacing w:before="240" w:line="600" w:lineRule="exact"/>
      <w:ind w:firstLine="640" w:firstLineChars="200"/>
    </w:pPr>
    <w:rPr>
      <w:rFonts w:ascii="仿宋_GB2312" w:eastAsia="仿宋_GB2312"/>
      <w:kern w:val="0"/>
      <w:sz w:val="32"/>
      <w:szCs w:val="20"/>
    </w:rPr>
  </w:style>
  <w:style w:type="paragraph" w:customStyle="1" w:styleId="609">
    <w:name w:val="Char"/>
    <w:basedOn w:val="1"/>
    <w:qFormat/>
    <w:uiPriority w:val="0"/>
    <w:pPr>
      <w:snapToGrid w:val="0"/>
      <w:spacing w:line="360" w:lineRule="auto"/>
      <w:ind w:firstLine="723" w:firstLineChars="200"/>
    </w:pPr>
    <w:rPr>
      <w:b/>
    </w:rPr>
  </w:style>
  <w:style w:type="paragraph" w:customStyle="1" w:styleId="610">
    <w:name w:val="00正文"/>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ind w:firstLine="200" w:firstLineChars="200"/>
    </w:pPr>
    <w:rPr>
      <w:sz w:val="28"/>
      <w:szCs w:val="28"/>
    </w:rPr>
  </w:style>
  <w:style w:type="paragraph" w:customStyle="1" w:styleId="611">
    <w:name w:val="表格居中"/>
    <w:basedOn w:val="1"/>
    <w:uiPriority w:val="0"/>
    <w:pPr>
      <w:adjustRightInd w:val="0"/>
      <w:snapToGrid w:val="0"/>
      <w:spacing w:line="280" w:lineRule="exact"/>
      <w:ind w:firstLine="723" w:firstLineChars="200"/>
      <w:jc w:val="center"/>
      <w:textAlignment w:val="baseline"/>
    </w:pPr>
    <w:rPr>
      <w:kern w:val="0"/>
      <w:szCs w:val="20"/>
    </w:rPr>
  </w:style>
  <w:style w:type="paragraph" w:customStyle="1" w:styleId="612">
    <w:name w:val="xl7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b/>
      <w:bCs/>
      <w:kern w:val="0"/>
      <w:sz w:val="20"/>
      <w:szCs w:val="20"/>
    </w:rPr>
  </w:style>
  <w:style w:type="paragraph" w:customStyle="1" w:styleId="613">
    <w:name w:val="8.1.1b Char Char Char Char Char Char Char Char Char Char"/>
    <w:next w:val="1"/>
    <w:qFormat/>
    <w:uiPriority w:val="0"/>
    <w:pPr>
      <w:snapToGrid w:val="0"/>
      <w:spacing w:before="156" w:beforeLines="50" w:after="156" w:afterLines="50"/>
    </w:pPr>
    <w:rPr>
      <w:rFonts w:ascii="Times New Roman" w:hAnsi="Times New Roman" w:eastAsia="华文中宋" w:cs="Times New Roman"/>
      <w:b/>
      <w:kern w:val="2"/>
      <w:sz w:val="28"/>
      <w:szCs w:val="28"/>
      <w:lang w:val="en-US" w:eastAsia="zh-CN" w:bidi="ar-SA"/>
    </w:rPr>
  </w:style>
  <w:style w:type="paragraph" w:customStyle="1" w:styleId="614">
    <w:name w:val="xl149"/>
    <w:basedOn w:val="1"/>
    <w:qFormat/>
    <w:uiPriority w:val="0"/>
    <w:pPr>
      <w:widowControl/>
      <w:pBdr>
        <w:top w:val="single" w:color="auto" w:sz="4" w:space="0"/>
        <w:left w:val="single" w:color="auto" w:sz="4" w:space="0"/>
        <w:bottom w:val="single" w:color="auto" w:sz="4" w:space="0"/>
      </w:pBdr>
      <w:spacing w:before="100" w:beforeAutospacing="1" w:after="100" w:afterAutospacing="1" w:line="460" w:lineRule="exact"/>
      <w:ind w:firstLine="723" w:firstLineChars="200"/>
      <w:jc w:val="right"/>
    </w:pPr>
    <w:rPr>
      <w:kern w:val="0"/>
      <w:szCs w:val="21"/>
    </w:rPr>
  </w:style>
  <w:style w:type="paragraph" w:customStyle="1" w:styleId="615">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color w:val="000000"/>
      <w:kern w:val="0"/>
      <w:sz w:val="20"/>
      <w:szCs w:val="20"/>
    </w:rPr>
  </w:style>
  <w:style w:type="paragraph" w:customStyle="1" w:styleId="616">
    <w:name w:val="et6"/>
    <w:basedOn w:val="1"/>
    <w:qFormat/>
    <w:uiPriority w:val="0"/>
    <w:pPr>
      <w:widowControl/>
      <w:pBdr>
        <w:bottom w:val="single" w:color="000000" w:sz="4" w:space="0"/>
      </w:pBdr>
      <w:spacing w:before="100" w:beforeAutospacing="1" w:after="100" w:afterAutospacing="1"/>
      <w:jc w:val="left"/>
    </w:pPr>
    <w:rPr>
      <w:rFonts w:ascii="宋体" w:hAnsi="宋体" w:cs="宋体"/>
      <w:kern w:val="0"/>
    </w:rPr>
  </w:style>
  <w:style w:type="paragraph" w:customStyle="1" w:styleId="617">
    <w:name w:val="样式 (中文) 黑体 初号 居中"/>
    <w:basedOn w:val="1"/>
    <w:uiPriority w:val="0"/>
    <w:pPr>
      <w:adjustRightInd w:val="0"/>
      <w:snapToGrid w:val="0"/>
      <w:spacing w:line="360" w:lineRule="auto"/>
      <w:ind w:firstLine="560" w:firstLineChars="200"/>
      <w:jc w:val="center"/>
    </w:pPr>
    <w:rPr>
      <w:rFonts w:ascii="宋体" w:eastAsia="黑体" w:cs="宋体"/>
      <w:snapToGrid w:val="0"/>
      <w:spacing w:val="40"/>
      <w:kern w:val="0"/>
      <w:sz w:val="84"/>
      <w:szCs w:val="84"/>
      <w:shd w:val="clear" w:color="auto" w:fill="FFFFFF"/>
    </w:rPr>
  </w:style>
  <w:style w:type="paragraph" w:customStyle="1" w:styleId="618">
    <w:name w:val="样式 标题 3 + 首行缩进:  2 字符"/>
    <w:basedOn w:val="6"/>
    <w:qFormat/>
    <w:uiPriority w:val="0"/>
    <w:pPr>
      <w:adjustRightInd w:val="0"/>
      <w:snapToGrid w:val="0"/>
      <w:spacing w:before="160" w:after="160" w:line="415" w:lineRule="auto"/>
      <w:ind w:left="0" w:firstLine="562" w:firstLineChars="200"/>
    </w:pPr>
    <w:rPr>
      <w:rFonts w:ascii="宋体" w:hAnsi="宋体" w:cs="宋体"/>
      <w:b w:val="0"/>
      <w:bCs w:val="0"/>
      <w:kern w:val="0"/>
      <w:sz w:val="24"/>
      <w:lang w:val="en-GB"/>
    </w:rPr>
  </w:style>
  <w:style w:type="paragraph" w:customStyle="1" w:styleId="619">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kern w:val="0"/>
      <w:szCs w:val="21"/>
    </w:rPr>
  </w:style>
  <w:style w:type="paragraph" w:customStyle="1" w:styleId="620">
    <w:name w:val="xl102"/>
    <w:basedOn w:val="1"/>
    <w:qFormat/>
    <w:uiPriority w:val="0"/>
    <w:pPr>
      <w:widowControl/>
      <w:pBdr>
        <w:top w:val="single" w:color="auto" w:sz="4" w:space="0"/>
        <w:left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sz w:val="20"/>
      <w:szCs w:val="20"/>
    </w:rPr>
  </w:style>
  <w:style w:type="paragraph" w:customStyle="1" w:styleId="621">
    <w:name w:val=" Char2 Char Char Char Char Char Char1 Char Char Char Char Char Char"/>
    <w:basedOn w:val="1"/>
    <w:qFormat/>
    <w:uiPriority w:val="0"/>
    <w:pPr>
      <w:spacing w:line="360" w:lineRule="auto"/>
      <w:ind w:firstLine="200" w:firstLineChars="200"/>
    </w:pPr>
    <w:rPr>
      <w:rFonts w:ascii="宋体" w:hAnsi="宋体" w:cs="宋体"/>
    </w:rPr>
  </w:style>
  <w:style w:type="paragraph" w:customStyle="1" w:styleId="622">
    <w:name w:val="大庆样式1"/>
    <w:basedOn w:val="1"/>
    <w:uiPriority w:val="0"/>
    <w:pPr>
      <w:autoSpaceDE w:val="0"/>
      <w:autoSpaceDN w:val="0"/>
      <w:adjustRightInd w:val="0"/>
      <w:spacing w:line="460" w:lineRule="exact"/>
      <w:ind w:firstLine="748" w:firstLineChars="200"/>
      <w:jc w:val="left"/>
      <w:textAlignment w:val="baseline"/>
    </w:pPr>
    <w:rPr>
      <w:spacing w:val="5"/>
      <w:kern w:val="0"/>
      <w:sz w:val="30"/>
      <w:szCs w:val="20"/>
    </w:rPr>
  </w:style>
  <w:style w:type="paragraph" w:customStyle="1" w:styleId="623">
    <w:name w:val="Table Paragraph"/>
    <w:basedOn w:val="1"/>
    <w:qFormat/>
    <w:uiPriority w:val="1"/>
    <w:pPr>
      <w:spacing w:before="8"/>
    </w:pPr>
    <w:rPr>
      <w:rFonts w:ascii="宋体" w:hAnsi="宋体" w:cs="宋体"/>
      <w:lang w:val="zh-CN" w:bidi="zh-CN"/>
    </w:rPr>
  </w:style>
  <w:style w:type="paragraph" w:customStyle="1" w:styleId="624">
    <w:name w:val="font7"/>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625">
    <w:name w:val="_Style 624"/>
    <w:basedOn w:val="4"/>
    <w:next w:val="1"/>
    <w:qFormat/>
    <w:uiPriority w:val="0"/>
    <w:pPr>
      <w:keepLines w:val="0"/>
      <w:widowControl/>
      <w:spacing w:before="240" w:after="60" w:line="240" w:lineRule="auto"/>
      <w:ind w:firstLine="723" w:firstLineChars="200"/>
      <w:jc w:val="left"/>
      <w:outlineLvl w:val="9"/>
    </w:pPr>
    <w:rPr>
      <w:rFonts w:ascii="Cambria" w:hAnsi="Cambria"/>
      <w:kern w:val="32"/>
      <w:sz w:val="32"/>
      <w:szCs w:val="32"/>
      <w:lang w:eastAsia="en-US" w:bidi="en-US"/>
    </w:rPr>
  </w:style>
  <w:style w:type="paragraph" w:customStyle="1" w:styleId="626">
    <w:name w:val="样式 首行缩进:  1.29 厘米"/>
    <w:basedOn w:val="1"/>
    <w:uiPriority w:val="0"/>
    <w:pPr>
      <w:spacing w:line="360" w:lineRule="auto"/>
      <w:ind w:firstLine="731" w:firstLineChars="200"/>
    </w:pPr>
    <w:rPr>
      <w:kern w:val="0"/>
      <w:szCs w:val="20"/>
    </w:rPr>
  </w:style>
  <w:style w:type="paragraph" w:customStyle="1" w:styleId="627">
    <w:name w:val="xl3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olor w:val="3366FF"/>
      <w:kern w:val="0"/>
      <w:sz w:val="21"/>
      <w:szCs w:val="21"/>
    </w:rPr>
  </w:style>
  <w:style w:type="paragraph" w:customStyle="1" w:styleId="628">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b/>
      <w:bCs/>
      <w:kern w:val="0"/>
      <w:sz w:val="20"/>
      <w:szCs w:val="20"/>
    </w:rPr>
  </w:style>
  <w:style w:type="paragraph" w:customStyle="1" w:styleId="629">
    <w:name w:val="表中文字"/>
    <w:basedOn w:val="1"/>
    <w:qFormat/>
    <w:uiPriority w:val="0"/>
    <w:pPr>
      <w:wordWrap w:val="0"/>
      <w:adjustRightInd w:val="0"/>
      <w:snapToGrid w:val="0"/>
      <w:spacing w:line="240" w:lineRule="exact"/>
      <w:ind w:firstLine="200" w:firstLineChars="200"/>
      <w:jc w:val="center"/>
    </w:pPr>
    <w:rPr>
      <w:rFonts w:ascii="仿宋_GB2312" w:hAnsi="仿宋_GB2312" w:eastAsia="仿宋_GB2312"/>
      <w:bCs/>
      <w:snapToGrid w:val="0"/>
      <w:kern w:val="0"/>
      <w:szCs w:val="22"/>
    </w:rPr>
  </w:style>
  <w:style w:type="paragraph" w:customStyle="1" w:styleId="630">
    <w:name w:val=" Char1 Char Char Char"/>
    <w:basedOn w:val="1"/>
    <w:uiPriority w:val="0"/>
    <w:pPr>
      <w:spacing w:line="460" w:lineRule="exact"/>
      <w:ind w:firstLine="723" w:firstLineChars="200"/>
    </w:pPr>
    <w:rPr>
      <w:rFonts w:eastAsia="楷体_GB2312"/>
      <w:kern w:val="0"/>
      <w:szCs w:val="20"/>
    </w:rPr>
  </w:style>
  <w:style w:type="paragraph" w:customStyle="1" w:styleId="631">
    <w:name w:val="xl99"/>
    <w:basedOn w:val="1"/>
    <w:qFormat/>
    <w:uiPriority w:val="0"/>
    <w:pPr>
      <w:widowControl/>
      <w:pBdr>
        <w:top w:val="single" w:color="auto" w:sz="4" w:space="0"/>
        <w:left w:val="single" w:color="auto" w:sz="4" w:space="0"/>
        <w:bottom w:val="single" w:color="auto" w:sz="4" w:space="0"/>
      </w:pBdr>
      <w:spacing w:before="100" w:beforeAutospacing="1" w:after="100" w:afterAutospacing="1" w:line="460" w:lineRule="exact"/>
      <w:ind w:firstLine="723" w:firstLineChars="200"/>
      <w:jc w:val="center"/>
    </w:pPr>
    <w:rPr>
      <w:rFonts w:ascii="宋体" w:hAnsi="宋体" w:cs="宋体"/>
      <w:kern w:val="0"/>
      <w:sz w:val="20"/>
      <w:szCs w:val="20"/>
    </w:rPr>
  </w:style>
  <w:style w:type="paragraph" w:customStyle="1" w:styleId="632">
    <w:name w:val="xl13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left"/>
    </w:pPr>
    <w:rPr>
      <w:b/>
      <w:bCs/>
      <w:color w:val="FF0000"/>
      <w:kern w:val="0"/>
      <w:szCs w:val="21"/>
    </w:rPr>
  </w:style>
  <w:style w:type="paragraph" w:customStyle="1" w:styleId="633">
    <w:name w:val="xl1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right"/>
    </w:pPr>
    <w:rPr>
      <w:kern w:val="0"/>
      <w:szCs w:val="21"/>
    </w:rPr>
  </w:style>
  <w:style w:type="paragraph" w:customStyle="1" w:styleId="634">
    <w:name w:val="xl51"/>
    <w:basedOn w:val="1"/>
    <w:qFormat/>
    <w:uiPriority w:val="0"/>
    <w:pPr>
      <w:widowControl/>
      <w:pBdr>
        <w:left w:val="single" w:color="auto" w:sz="4" w:space="0"/>
        <w:bottom w:val="single" w:color="auto" w:sz="4" w:space="0"/>
        <w:right w:val="single" w:color="auto" w:sz="8" w:space="0"/>
      </w:pBdr>
      <w:spacing w:before="100" w:beforeAutospacing="1" w:after="100" w:afterAutospacing="1" w:line="460" w:lineRule="exact"/>
      <w:ind w:firstLine="723" w:firstLineChars="200"/>
      <w:jc w:val="center"/>
      <w:textAlignment w:val="center"/>
    </w:pPr>
    <w:rPr>
      <w:rFonts w:ascii="宋体" w:hAnsi="宋体"/>
      <w:kern w:val="0"/>
    </w:rPr>
  </w:style>
  <w:style w:type="paragraph" w:customStyle="1" w:styleId="635">
    <w:name w:val="xl2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b/>
      <w:bCs/>
      <w:kern w:val="0"/>
      <w:sz w:val="20"/>
      <w:szCs w:val="20"/>
    </w:rPr>
  </w:style>
  <w:style w:type="paragraph" w:customStyle="1" w:styleId="636">
    <w:name w:val="xl58"/>
    <w:basedOn w:val="1"/>
    <w:uiPriority w:val="0"/>
    <w:pPr>
      <w:widowControl/>
      <w:spacing w:before="100" w:beforeAutospacing="1" w:after="100" w:afterAutospacing="1" w:line="460" w:lineRule="exact"/>
      <w:ind w:firstLine="723" w:firstLineChars="200"/>
      <w:jc w:val="left"/>
      <w:textAlignment w:val="center"/>
    </w:pPr>
    <w:rPr>
      <w:rFonts w:hint="eastAsia" w:ascii="华文中宋" w:hAnsi="华文中宋" w:eastAsia="华文中宋"/>
      <w:kern w:val="0"/>
      <w:sz w:val="20"/>
      <w:szCs w:val="20"/>
    </w:rPr>
  </w:style>
  <w:style w:type="paragraph" w:customStyle="1" w:styleId="637">
    <w:name w:val="xl98"/>
    <w:basedOn w:val="1"/>
    <w:uiPriority w:val="0"/>
    <w:pPr>
      <w:widowControl/>
      <w:pBdr>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sz w:val="20"/>
      <w:szCs w:val="20"/>
    </w:rPr>
  </w:style>
  <w:style w:type="paragraph" w:customStyle="1" w:styleId="638">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color w:val="000000"/>
      <w:kern w:val="0"/>
    </w:rPr>
  </w:style>
  <w:style w:type="paragraph" w:customStyle="1" w:styleId="639">
    <w:name w:val="默认段落字体 Para Char Char Char Char"/>
    <w:basedOn w:val="1"/>
    <w:qFormat/>
    <w:uiPriority w:val="0"/>
    <w:rPr>
      <w:sz w:val="21"/>
    </w:rPr>
  </w:style>
  <w:style w:type="paragraph" w:customStyle="1" w:styleId="640">
    <w:name w:val="样式 表格 + 字距调整8 磅"/>
    <w:basedOn w:val="188"/>
    <w:qFormat/>
    <w:uiPriority w:val="0"/>
    <w:pPr>
      <w:wordWrap w:val="0"/>
      <w:adjustRightInd w:val="0"/>
      <w:spacing w:line="300" w:lineRule="exact"/>
      <w:ind w:firstLine="34"/>
      <w:textAlignment w:val="baseline"/>
    </w:pPr>
    <w:rPr>
      <w:color w:val="000000"/>
      <w:kern w:val="16"/>
      <w:szCs w:val="21"/>
    </w:rPr>
  </w:style>
  <w:style w:type="paragraph" w:customStyle="1" w:styleId="641">
    <w:name w:val="et4"/>
    <w:basedOn w:val="1"/>
    <w:qFormat/>
    <w:uiPriority w:val="0"/>
    <w:pPr>
      <w:widowControl/>
      <w:spacing w:before="100" w:beforeAutospacing="1" w:after="100" w:afterAutospacing="1"/>
      <w:jc w:val="center"/>
      <w:textAlignment w:val="center"/>
    </w:pPr>
    <w:rPr>
      <w:rFonts w:ascii="宋体" w:hAnsi="宋体" w:cs="宋体"/>
      <w:b/>
      <w:bCs/>
      <w:kern w:val="0"/>
      <w:sz w:val="28"/>
      <w:szCs w:val="28"/>
    </w:rPr>
  </w:style>
  <w:style w:type="paragraph" w:customStyle="1" w:styleId="642">
    <w:name w:val="xl100"/>
    <w:basedOn w:val="1"/>
    <w:uiPriority w:val="0"/>
    <w:pPr>
      <w:widowControl/>
      <w:pBdr>
        <w:top w:val="single" w:color="auto" w:sz="4" w:space="0"/>
        <w:bottom w:val="single" w:color="auto" w:sz="4" w:space="0"/>
      </w:pBdr>
      <w:spacing w:before="100" w:beforeAutospacing="1" w:after="100" w:afterAutospacing="1" w:line="460" w:lineRule="exact"/>
      <w:ind w:firstLine="723" w:firstLineChars="200"/>
      <w:jc w:val="center"/>
    </w:pPr>
    <w:rPr>
      <w:rFonts w:ascii="宋体" w:hAnsi="宋体" w:cs="宋体"/>
      <w:kern w:val="0"/>
      <w:sz w:val="20"/>
      <w:szCs w:val="20"/>
    </w:rPr>
  </w:style>
  <w:style w:type="paragraph" w:customStyle="1" w:styleId="643">
    <w:name w:val="xl107"/>
    <w:basedOn w:val="1"/>
    <w:qFormat/>
    <w:uiPriority w:val="0"/>
    <w:pPr>
      <w:widowControl/>
      <w:pBdr>
        <w:top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b/>
      <w:bCs/>
      <w:kern w:val="0"/>
      <w:sz w:val="20"/>
      <w:szCs w:val="20"/>
    </w:rPr>
  </w:style>
  <w:style w:type="paragraph" w:customStyle="1" w:styleId="644">
    <w:name w:val="font1"/>
    <w:basedOn w:val="1"/>
    <w:qFormat/>
    <w:uiPriority w:val="0"/>
    <w:pPr>
      <w:widowControl/>
      <w:spacing w:before="100" w:beforeAutospacing="1" w:after="100" w:afterAutospacing="1"/>
      <w:jc w:val="left"/>
    </w:pPr>
    <w:rPr>
      <w:rFonts w:hint="eastAsia" w:ascii="宋体" w:hAnsi="宋体"/>
      <w:kern w:val="0"/>
    </w:rPr>
  </w:style>
  <w:style w:type="paragraph" w:customStyle="1" w:styleId="645">
    <w:name w:val="et7"/>
    <w:basedOn w:val="1"/>
    <w:qFormat/>
    <w:uiPriority w:val="0"/>
    <w:pPr>
      <w:widowControl/>
      <w:pBdr>
        <w:bottom w:val="single" w:color="000000" w:sz="4" w:space="0"/>
      </w:pBdr>
      <w:spacing w:before="100" w:beforeAutospacing="1" w:after="100" w:afterAutospacing="1"/>
      <w:jc w:val="center"/>
    </w:pPr>
    <w:rPr>
      <w:rFonts w:ascii="宋体" w:hAnsi="宋体" w:cs="宋体"/>
      <w:kern w:val="0"/>
    </w:rPr>
  </w:style>
  <w:style w:type="paragraph" w:customStyle="1" w:styleId="646">
    <w:name w:val="xl27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b/>
      <w:bCs/>
      <w:kern w:val="0"/>
      <w:sz w:val="20"/>
      <w:szCs w:val="20"/>
    </w:rPr>
  </w:style>
  <w:style w:type="paragraph" w:customStyle="1" w:styleId="647">
    <w:name w:val="封面2"/>
    <w:basedOn w:val="617"/>
    <w:uiPriority w:val="0"/>
    <w:pPr>
      <w:ind w:firstLine="0" w:firstLineChars="0"/>
    </w:pPr>
  </w:style>
  <w:style w:type="paragraph" w:customStyle="1" w:styleId="648">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textAlignment w:val="center"/>
    </w:pPr>
    <w:rPr>
      <w:rFonts w:ascii="宋体" w:hAnsi="宋体" w:cs="宋体"/>
      <w:kern w:val="0"/>
      <w:sz w:val="20"/>
      <w:szCs w:val="20"/>
    </w:rPr>
  </w:style>
  <w:style w:type="paragraph" w:customStyle="1" w:styleId="64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1"/>
      <w:szCs w:val="21"/>
    </w:rPr>
  </w:style>
  <w:style w:type="paragraph" w:customStyle="1" w:styleId="650">
    <w:name w:val="Heading #2|1"/>
    <w:basedOn w:val="1"/>
    <w:qFormat/>
    <w:uiPriority w:val="0"/>
    <w:pPr>
      <w:widowControl w:val="0"/>
      <w:shd w:val="clear" w:color="auto" w:fill="auto"/>
      <w:spacing w:after="330"/>
      <w:jc w:val="center"/>
      <w:outlineLvl w:val="1"/>
    </w:pPr>
    <w:rPr>
      <w:rFonts w:ascii="宋体" w:hAnsi="宋体" w:eastAsia="宋体" w:cs="宋体"/>
      <w:sz w:val="40"/>
      <w:szCs w:val="40"/>
      <w:u w:val="none"/>
      <w:shd w:val="clear" w:color="auto" w:fill="auto"/>
      <w:lang w:val="zh-TW" w:eastAsia="zh-TW" w:bidi="zh-TW"/>
    </w:rPr>
  </w:style>
  <w:style w:type="paragraph" w:customStyle="1" w:styleId="651">
    <w:name w:val="xl12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left"/>
    </w:pPr>
    <w:rPr>
      <w:b/>
      <w:bCs/>
      <w:color w:val="FF0000"/>
      <w:kern w:val="0"/>
      <w:szCs w:val="21"/>
    </w:rPr>
  </w:style>
  <w:style w:type="paragraph" w:customStyle="1" w:styleId="652">
    <w:name w:val="样式5"/>
    <w:basedOn w:val="4"/>
    <w:qFormat/>
    <w:uiPriority w:val="0"/>
    <w:pPr>
      <w:ind w:firstLine="723" w:firstLineChars="200"/>
    </w:pPr>
    <w:rPr>
      <w:rFonts w:ascii="仿宋_GB2312" w:eastAsia="仿宋_GB2312"/>
      <w:sz w:val="32"/>
      <w:szCs w:val="28"/>
    </w:rPr>
  </w:style>
  <w:style w:type="paragraph" w:customStyle="1" w:styleId="653">
    <w:name w:val="Char2 Char Char Char Char Char Char1 Char Char Char Char Char Char"/>
    <w:basedOn w:val="1"/>
    <w:qFormat/>
    <w:uiPriority w:val="0"/>
    <w:pPr>
      <w:spacing w:line="360" w:lineRule="auto"/>
      <w:ind w:firstLine="200" w:firstLineChars="200"/>
    </w:pPr>
    <w:rPr>
      <w:rFonts w:ascii="宋体" w:hAnsi="宋体" w:cs="宋体"/>
    </w:rPr>
  </w:style>
  <w:style w:type="paragraph" w:customStyle="1" w:styleId="654">
    <w:name w:val="正文文字缩进"/>
    <w:basedOn w:val="1"/>
    <w:qFormat/>
    <w:uiPriority w:val="0"/>
    <w:pPr>
      <w:spacing w:line="460" w:lineRule="exact"/>
      <w:ind w:firstLine="562" w:firstLineChars="200"/>
      <w:textAlignment w:val="baseline"/>
    </w:pPr>
    <w:rPr>
      <w:rFonts w:hint="eastAsia"/>
      <w:kern w:val="0"/>
      <w:szCs w:val="20"/>
    </w:rPr>
  </w:style>
  <w:style w:type="paragraph" w:customStyle="1" w:styleId="655">
    <w:name w:val="样式 宋体 小四 行距: 1.5 倍行距"/>
    <w:basedOn w:val="1"/>
    <w:uiPriority w:val="0"/>
    <w:pPr>
      <w:spacing w:line="360" w:lineRule="auto"/>
      <w:ind w:firstLine="480" w:firstLineChars="200"/>
    </w:pPr>
    <w:rPr>
      <w:rFonts w:ascii="宋体" w:hAnsi="宋体" w:cs="宋体"/>
      <w:szCs w:val="20"/>
    </w:rPr>
  </w:style>
  <w:style w:type="paragraph" w:customStyle="1" w:styleId="656">
    <w:name w:val="et3"/>
    <w:basedOn w:val="1"/>
    <w:uiPriority w:val="0"/>
    <w:pPr>
      <w:widowControl/>
      <w:spacing w:before="100" w:beforeAutospacing="1" w:after="100" w:afterAutospacing="1"/>
      <w:jc w:val="center"/>
      <w:textAlignment w:val="center"/>
    </w:pPr>
    <w:rPr>
      <w:rFonts w:ascii="宋体" w:hAnsi="宋体" w:cs="宋体"/>
      <w:b/>
      <w:bCs/>
      <w:color w:val="000000"/>
      <w:kern w:val="0"/>
      <w:sz w:val="28"/>
      <w:szCs w:val="28"/>
    </w:rPr>
  </w:style>
  <w:style w:type="paragraph" w:customStyle="1" w:styleId="657">
    <w:name w:val="xl3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olor w:val="0000FF"/>
      <w:kern w:val="0"/>
      <w:sz w:val="21"/>
      <w:szCs w:val="21"/>
    </w:rPr>
  </w:style>
  <w:style w:type="paragraph" w:customStyle="1" w:styleId="658">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left"/>
    </w:pPr>
    <w:rPr>
      <w:rFonts w:ascii="宋体" w:hAnsi="宋体" w:cs="宋体"/>
      <w:kern w:val="0"/>
      <w:sz w:val="20"/>
      <w:szCs w:val="20"/>
    </w:rPr>
  </w:style>
  <w:style w:type="paragraph" w:customStyle="1" w:styleId="659">
    <w:name w:val="xl48"/>
    <w:basedOn w:val="1"/>
    <w:qFormat/>
    <w:uiPriority w:val="0"/>
    <w:pPr>
      <w:widowControl/>
      <w:pBdr>
        <w:top w:val="single" w:color="auto" w:sz="4" w:space="0"/>
      </w:pBdr>
      <w:spacing w:before="100" w:beforeAutospacing="1" w:after="100" w:afterAutospacing="1"/>
      <w:jc w:val="left"/>
      <w:textAlignment w:val="center"/>
    </w:pPr>
    <w:rPr>
      <w:rFonts w:ascii="宋体" w:hAnsi="宋体"/>
      <w:kern w:val="0"/>
      <w:sz w:val="20"/>
      <w:szCs w:val="20"/>
    </w:rPr>
  </w:style>
  <w:style w:type="paragraph" w:customStyle="1" w:styleId="660">
    <w:name w:val="et1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rPr>
  </w:style>
  <w:style w:type="paragraph" w:customStyle="1" w:styleId="661">
    <w:name w:val="Char Char Char Char"/>
    <w:basedOn w:val="1"/>
    <w:uiPriority w:val="0"/>
    <w:pPr>
      <w:spacing w:line="460" w:lineRule="exact"/>
      <w:ind w:firstLine="723" w:firstLineChars="200"/>
    </w:pPr>
    <w:rPr>
      <w:szCs w:val="20"/>
    </w:rPr>
  </w:style>
  <w:style w:type="paragraph" w:customStyle="1" w:styleId="662">
    <w:name w:val="xl140"/>
    <w:basedOn w:val="1"/>
    <w:uiPriority w:val="0"/>
    <w:pPr>
      <w:widowControl/>
      <w:pBdr>
        <w:top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color w:val="993366"/>
      <w:kern w:val="0"/>
      <w:szCs w:val="21"/>
    </w:rPr>
  </w:style>
  <w:style w:type="paragraph" w:customStyle="1" w:styleId="663">
    <w:name w:val="样式 正文新 + 首行缩进:  2 字符"/>
    <w:basedOn w:val="1"/>
    <w:qFormat/>
    <w:uiPriority w:val="0"/>
    <w:pPr>
      <w:spacing w:line="360" w:lineRule="auto"/>
      <w:ind w:firstLine="200" w:firstLineChars="200"/>
      <w:jc w:val="left"/>
    </w:pPr>
    <w:rPr>
      <w:rFonts w:cs="宋体"/>
      <w:kern w:val="0"/>
      <w:szCs w:val="20"/>
    </w:rPr>
  </w:style>
  <w:style w:type="paragraph" w:customStyle="1" w:styleId="664">
    <w:name w:val="样式 正文1 表内数字 + 四号"/>
    <w:basedOn w:val="514"/>
    <w:qFormat/>
    <w:uiPriority w:val="0"/>
    <w:pPr>
      <w:ind w:left="-105" w:right="-21"/>
      <w:jc w:val="left"/>
    </w:pPr>
    <w:rPr>
      <w:spacing w:val="0"/>
    </w:rPr>
  </w:style>
  <w:style w:type="paragraph" w:customStyle="1" w:styleId="665">
    <w:name w:val="bhq标高"/>
    <w:basedOn w:val="188"/>
    <w:uiPriority w:val="0"/>
    <w:pPr>
      <w:wordWrap w:val="0"/>
      <w:adjustRightInd w:val="0"/>
      <w:snapToGrid w:val="0"/>
      <w:spacing w:line="240" w:lineRule="auto"/>
      <w:textAlignment w:val="baseline"/>
    </w:pPr>
    <w:rPr>
      <w:color w:val="000000"/>
      <w:kern w:val="16"/>
      <w:sz w:val="21"/>
      <w:szCs w:val="21"/>
    </w:rPr>
  </w:style>
  <w:style w:type="paragraph" w:customStyle="1" w:styleId="666">
    <w:name w:val="et10"/>
    <w:basedOn w:val="1"/>
    <w:uiPriority w:val="0"/>
    <w:pPr>
      <w:widowControl/>
      <w:pBdr>
        <w:top w:val="single" w:color="000000" w:sz="4" w:space="0"/>
        <w:left w:val="single" w:color="000000" w:sz="4" w:space="0"/>
        <w:right w:val="single" w:color="000000" w:sz="4" w:space="0"/>
      </w:pBdr>
      <w:spacing w:before="100" w:beforeAutospacing="1" w:after="100" w:afterAutospacing="1"/>
      <w:jc w:val="center"/>
      <w:textAlignment w:val="center"/>
    </w:pPr>
    <w:rPr>
      <w:rFonts w:ascii="宋体" w:hAnsi="宋体" w:cs="宋体"/>
      <w:color w:val="000000"/>
      <w:kern w:val="0"/>
    </w:rPr>
  </w:style>
  <w:style w:type="paragraph" w:customStyle="1" w:styleId="667">
    <w:name w:val="xl6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sz w:val="20"/>
      <w:szCs w:val="20"/>
    </w:rPr>
  </w:style>
  <w:style w:type="paragraph" w:customStyle="1" w:styleId="668">
    <w:name w:val="xl29"/>
    <w:basedOn w:val="1"/>
    <w:qFormat/>
    <w:uiPriority w:val="0"/>
    <w:pPr>
      <w:widowControl/>
      <w:pBdr>
        <w:bottom w:val="single" w:color="auto" w:sz="8" w:space="0"/>
        <w:right w:val="single" w:color="auto" w:sz="8" w:space="0"/>
      </w:pBdr>
      <w:spacing w:before="100" w:beforeAutospacing="1" w:after="100" w:afterAutospacing="1"/>
      <w:jc w:val="left"/>
    </w:pPr>
    <w:rPr>
      <w:kern w:val="0"/>
      <w:sz w:val="18"/>
      <w:szCs w:val="18"/>
    </w:rPr>
  </w:style>
  <w:style w:type="paragraph" w:customStyle="1" w:styleId="669">
    <w:name w:val=" Char3"/>
    <w:basedOn w:val="1"/>
    <w:qFormat/>
    <w:uiPriority w:val="0"/>
    <w:pPr>
      <w:tabs>
        <w:tab w:val="left" w:pos="360"/>
      </w:tabs>
      <w:spacing w:line="360" w:lineRule="auto"/>
      <w:ind w:firstLine="200" w:firstLineChars="200"/>
    </w:pPr>
    <w:rPr>
      <w:rFonts w:ascii="宋体" w:hAnsi="宋体" w:cs="宋体"/>
      <w:kern w:val="0"/>
      <w:szCs w:val="20"/>
    </w:rPr>
  </w:style>
  <w:style w:type="paragraph" w:customStyle="1" w:styleId="670">
    <w:name w:val="xl144"/>
    <w:basedOn w:val="1"/>
    <w:uiPriority w:val="0"/>
    <w:pPr>
      <w:widowControl/>
      <w:pBdr>
        <w:top w:val="single" w:color="auto" w:sz="4" w:space="0"/>
        <w:left w:val="single" w:color="auto" w:sz="4" w:space="0"/>
        <w:bottom w:val="single" w:color="auto" w:sz="4" w:space="0"/>
      </w:pBdr>
      <w:spacing w:before="100" w:beforeAutospacing="1" w:after="100" w:afterAutospacing="1" w:line="460" w:lineRule="exact"/>
      <w:ind w:firstLine="723" w:firstLineChars="200"/>
      <w:jc w:val="right"/>
    </w:pPr>
    <w:rPr>
      <w:color w:val="993366"/>
      <w:kern w:val="0"/>
      <w:szCs w:val="21"/>
    </w:rPr>
  </w:style>
  <w:style w:type="paragraph" w:customStyle="1" w:styleId="671">
    <w:name w:val="et12"/>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rPr>
  </w:style>
  <w:style w:type="paragraph" w:customStyle="1" w:styleId="672">
    <w:name w:val="xl137"/>
    <w:basedOn w:val="1"/>
    <w:uiPriority w:val="0"/>
    <w:pPr>
      <w:widowControl/>
      <w:pBdr>
        <w:top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color w:val="000000"/>
      <w:kern w:val="0"/>
      <w:szCs w:val="21"/>
    </w:rPr>
  </w:style>
  <w:style w:type="paragraph" w:customStyle="1" w:styleId="673">
    <w:name w:val="xl20"/>
    <w:basedOn w:val="1"/>
    <w:qFormat/>
    <w:uiPriority w:val="0"/>
    <w:pPr>
      <w:widowControl/>
      <w:spacing w:before="100" w:beforeAutospacing="1" w:after="100" w:afterAutospacing="1"/>
      <w:jc w:val="left"/>
    </w:pPr>
    <w:rPr>
      <w:rFonts w:hint="eastAsia" w:ascii="宋体" w:hAnsi="宋体"/>
      <w:kern w:val="0"/>
    </w:rPr>
  </w:style>
  <w:style w:type="paragraph" w:customStyle="1" w:styleId="674">
    <w:name w:val="xl84"/>
    <w:basedOn w:val="1"/>
    <w:qFormat/>
    <w:uiPriority w:val="0"/>
    <w:pPr>
      <w:widowControl/>
      <w:spacing w:before="100" w:beforeAutospacing="1" w:after="100" w:afterAutospacing="1" w:line="460" w:lineRule="exact"/>
      <w:ind w:firstLine="723" w:firstLineChars="200"/>
      <w:jc w:val="left"/>
    </w:pPr>
    <w:rPr>
      <w:rFonts w:ascii="宋体" w:hAnsi="宋体" w:cs="宋体"/>
      <w:kern w:val="0"/>
      <w:sz w:val="20"/>
      <w:szCs w:val="20"/>
    </w:rPr>
  </w:style>
  <w:style w:type="paragraph" w:customStyle="1" w:styleId="675">
    <w:name w:val="et1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rPr>
  </w:style>
  <w:style w:type="paragraph" w:customStyle="1" w:styleId="676">
    <w:name w:val="xl14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left"/>
    </w:pPr>
    <w:rPr>
      <w:kern w:val="0"/>
      <w:szCs w:val="21"/>
    </w:rPr>
  </w:style>
  <w:style w:type="paragraph" w:customStyle="1" w:styleId="677">
    <w:name w:val="et5"/>
    <w:basedOn w:val="1"/>
    <w:uiPriority w:val="0"/>
    <w:pPr>
      <w:widowControl/>
      <w:pBdr>
        <w:bottom w:val="single" w:color="000000" w:sz="4" w:space="0"/>
      </w:pBdr>
      <w:spacing w:before="100" w:beforeAutospacing="1" w:after="100" w:afterAutospacing="1"/>
      <w:jc w:val="left"/>
      <w:textAlignment w:val="center"/>
    </w:pPr>
    <w:rPr>
      <w:rFonts w:ascii="宋体" w:hAnsi="宋体" w:cs="宋体"/>
      <w:kern w:val="0"/>
    </w:rPr>
  </w:style>
  <w:style w:type="paragraph" w:customStyle="1" w:styleId="678">
    <w:name w:val="xl53"/>
    <w:basedOn w:val="1"/>
    <w:qFormat/>
    <w:uiPriority w:val="0"/>
    <w:pPr>
      <w:widowControl/>
      <w:pBdr>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textAlignment w:val="center"/>
    </w:pPr>
    <w:rPr>
      <w:rFonts w:ascii="宋体" w:hAnsi="宋体"/>
      <w:kern w:val="0"/>
    </w:rPr>
  </w:style>
  <w:style w:type="paragraph" w:customStyle="1" w:styleId="679">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textAlignment w:val="center"/>
    </w:pPr>
    <w:rPr>
      <w:rFonts w:ascii="宋体" w:hAnsi="宋体" w:cs="宋体"/>
      <w:kern w:val="0"/>
      <w:sz w:val="20"/>
      <w:szCs w:val="20"/>
    </w:rPr>
  </w:style>
  <w:style w:type="paragraph" w:customStyle="1" w:styleId="680">
    <w:name w:val="x正文"/>
    <w:basedOn w:val="1"/>
    <w:qFormat/>
    <w:uiPriority w:val="0"/>
    <w:pPr>
      <w:spacing w:line="460" w:lineRule="exact"/>
      <w:ind w:firstLine="480" w:firstLineChars="200"/>
      <w:jc w:val="left"/>
    </w:pPr>
    <w:rPr>
      <w:kern w:val="0"/>
    </w:rPr>
  </w:style>
  <w:style w:type="paragraph" w:customStyle="1" w:styleId="681">
    <w:name w:val="xl26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460" w:lineRule="exact"/>
      <w:ind w:firstLine="723" w:firstLineChars="200"/>
      <w:jc w:val="center"/>
    </w:pPr>
    <w:rPr>
      <w:rFonts w:ascii="宋体" w:hAnsi="宋体" w:cs="宋体"/>
      <w:kern w:val="0"/>
      <w:sz w:val="20"/>
      <w:szCs w:val="20"/>
    </w:rPr>
  </w:style>
  <w:style w:type="paragraph" w:customStyle="1" w:styleId="682">
    <w:name w:val="标题  3"/>
    <w:basedOn w:val="353"/>
    <w:uiPriority w:val="0"/>
    <w:pPr>
      <w:jc w:val="both"/>
    </w:pPr>
    <w:rPr>
      <w:rFonts w:eastAsia="黑体" w:cs="宋体"/>
      <w:b/>
      <w:bCs/>
      <w:color w:val="99CC00"/>
      <w:sz w:val="28"/>
      <w:szCs w:val="20"/>
    </w:rPr>
  </w:style>
  <w:style w:type="paragraph" w:customStyle="1" w:styleId="683">
    <w:name w:val=" Char Char Char2 Char Char Char Char Char Char"/>
    <w:basedOn w:val="1"/>
    <w:semiHidden/>
    <w:qFormat/>
    <w:uiPriority w:val="0"/>
    <w:rPr>
      <w:sz w:val="21"/>
    </w:rPr>
  </w:style>
  <w:style w:type="paragraph" w:customStyle="1" w:styleId="684">
    <w:name w:val="et8"/>
    <w:basedOn w:val="1"/>
    <w:qFormat/>
    <w:uiPriority w:val="0"/>
    <w:pPr>
      <w:widowControl/>
      <w:pBdr>
        <w:bottom w:val="single" w:color="000000" w:sz="4" w:space="0"/>
      </w:pBdr>
      <w:spacing w:before="100" w:beforeAutospacing="1" w:after="100" w:afterAutospacing="1"/>
      <w:jc w:val="center"/>
      <w:textAlignment w:val="center"/>
    </w:pPr>
    <w:rPr>
      <w:rFonts w:ascii="宋体" w:hAnsi="宋体" w:cs="宋体"/>
      <w:kern w:val="0"/>
    </w:rPr>
  </w:style>
  <w:style w:type="paragraph" w:customStyle="1" w:styleId="685">
    <w:name w:val="xl38"/>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kern w:val="0"/>
      <w:sz w:val="20"/>
      <w:szCs w:val="20"/>
    </w:rPr>
  </w:style>
  <w:style w:type="paragraph" w:customStyle="1" w:styleId="686">
    <w:name w:val="font3"/>
    <w:basedOn w:val="1"/>
    <w:uiPriority w:val="0"/>
    <w:pPr>
      <w:widowControl/>
      <w:spacing w:before="100" w:beforeAutospacing="1" w:after="100" w:afterAutospacing="1"/>
      <w:jc w:val="left"/>
    </w:pPr>
    <w:rPr>
      <w:rFonts w:ascii="宋体" w:hAnsi="宋体" w:cs="宋体"/>
      <w:b/>
      <w:bCs/>
      <w:color w:val="000000"/>
      <w:kern w:val="0"/>
      <w:sz w:val="28"/>
      <w:szCs w:val="28"/>
    </w:rPr>
  </w:style>
  <w:style w:type="paragraph" w:customStyle="1" w:styleId="687">
    <w:name w:val="font2"/>
    <w:basedOn w:val="1"/>
    <w:uiPriority w:val="0"/>
    <w:pPr>
      <w:widowControl/>
      <w:spacing w:before="100" w:beforeAutospacing="1" w:after="100" w:afterAutospacing="1"/>
      <w:jc w:val="left"/>
    </w:pPr>
    <w:rPr>
      <w:rFonts w:ascii="宋体" w:hAnsi="宋体" w:cs="宋体"/>
      <w:b/>
      <w:bCs/>
      <w:color w:val="000000"/>
      <w:kern w:val="0"/>
      <w:sz w:val="28"/>
      <w:szCs w:val="28"/>
    </w:rPr>
  </w:style>
  <w:style w:type="paragraph" w:customStyle="1" w:styleId="688">
    <w:name w:val="et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color w:val="000000"/>
      <w:kern w:val="0"/>
    </w:rPr>
  </w:style>
  <w:style w:type="paragraph" w:customStyle="1" w:styleId="689">
    <w:name w:val="et1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color w:val="000000"/>
      <w:kern w:val="0"/>
    </w:rPr>
  </w:style>
  <w:style w:type="paragraph" w:customStyle="1" w:styleId="690">
    <w:name w:val="et2"/>
    <w:basedOn w:val="1"/>
    <w:qFormat/>
    <w:uiPriority w:val="0"/>
    <w:pPr>
      <w:widowControl/>
      <w:spacing w:before="100" w:beforeAutospacing="1" w:after="100" w:afterAutospacing="1"/>
      <w:jc w:val="center"/>
    </w:pPr>
    <w:rPr>
      <w:rFonts w:ascii="宋体" w:hAnsi="宋体" w:cs="宋体"/>
      <w:kern w:val="0"/>
    </w:rPr>
  </w:style>
  <w:style w:type="paragraph" w:customStyle="1" w:styleId="691">
    <w:name w:val="et15"/>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color w:val="000000"/>
      <w:kern w:val="0"/>
    </w:rPr>
  </w:style>
  <w:style w:type="table" w:customStyle="1" w:styleId="692">
    <w:name w:val="报告表格样式"/>
    <w:basedOn w:val="86"/>
    <w:qFormat/>
    <w:uiPriority w:val="0"/>
    <w:pPr>
      <w:jc w:val="center"/>
    </w:pPr>
    <w:rPr>
      <w:sz w:val="18"/>
    </w:rPr>
    <w:tblPr>
      <w:tblBorders>
        <w:top w:val="single" w:color="auto" w:sz="12" w:space="0"/>
        <w:bottom w:val="single" w:color="auto" w:sz="12" w:space="0"/>
        <w:insideH w:val="single" w:color="auto" w:sz="4" w:space="0"/>
        <w:insideV w:val="single" w:color="auto" w:sz="4" w:space="0"/>
      </w:tblBorders>
    </w:tblPr>
    <w:tcPr>
      <w:vAlign w:val="center"/>
    </w:tcPr>
    <w:tblStylePr w:type="nwCell">
      <w:tcPr>
        <w:tcBorders>
          <w:top w:val="nil"/>
          <w:left w:val="nil"/>
          <w:bottom w:val="nil"/>
          <w:right w:val="nil"/>
          <w:insideH w:val="nil"/>
          <w:insideV w:val="nil"/>
          <w:tl2br w:val="nil"/>
          <w:tr2bl w:val="nil"/>
        </w:tcBorders>
      </w:tcPr>
    </w:tblStylePr>
  </w:style>
  <w:style w:type="character" w:customStyle="1" w:styleId="693">
    <w:name w:val="font191"/>
    <w:basedOn w:val="88"/>
    <w:uiPriority w:val="0"/>
    <w:rPr>
      <w:rFonts w:hint="eastAsia" w:ascii="宋体" w:hAnsi="宋体" w:eastAsia="宋体" w:cs="宋体"/>
      <w:color w:val="FF0000"/>
      <w:sz w:val="22"/>
      <w:szCs w:val="22"/>
      <w:u w:val="none"/>
    </w:rPr>
  </w:style>
  <w:style w:type="character" w:customStyle="1" w:styleId="694">
    <w:name w:val="font212"/>
    <w:basedOn w:val="88"/>
    <w:qFormat/>
    <w:uiPriority w:val="0"/>
    <w:rPr>
      <w:rFonts w:hint="default" w:ascii="仿宋_GB2312" w:eastAsia="仿宋_GB2312" w:cs="仿宋_GB2312"/>
      <w:color w:val="000000"/>
      <w:sz w:val="22"/>
      <w:szCs w:val="22"/>
      <w:u w:val="none"/>
      <w:vertAlign w:val="superscript"/>
    </w:rPr>
  </w:style>
  <w:style w:type="paragraph" w:customStyle="1" w:styleId="695">
    <w:name w:val="正文 首行缩进:  2 字符"/>
    <w:qFormat/>
    <w:uiPriority w:val="0"/>
    <w:pPr>
      <w:widowControl w:val="0"/>
      <w:spacing w:line="360" w:lineRule="auto"/>
      <w:ind w:firstLine="579" w:firstLineChars="200"/>
      <w:jc w:val="both"/>
    </w:pPr>
    <w:rPr>
      <w:rFonts w:ascii="Times New Roman" w:hAnsi="Times New Roman" w:eastAsia="宋体" w:cs="宋体"/>
      <w:kern w:val="2"/>
      <w:sz w:val="28"/>
      <w:lang w:val="en-US" w:eastAsia="zh-CN" w:bidi="ar-SA"/>
    </w:rPr>
  </w:style>
  <w:style w:type="character" w:customStyle="1" w:styleId="696">
    <w:name w:val="font132"/>
    <w:basedOn w:val="88"/>
    <w:qFormat/>
    <w:uiPriority w:val="0"/>
    <w:rPr>
      <w:rFonts w:hint="default" w:ascii="仿宋_GB2312" w:eastAsia="仿宋_GB2312" w:cs="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5.wmf"/><Relationship Id="rId26" Type="http://schemas.openxmlformats.org/officeDocument/2006/relationships/oleObject" Target="embeddings/oleObject5.bin"/><Relationship Id="rId25" Type="http://schemas.openxmlformats.org/officeDocument/2006/relationships/image" Target="media/image4.wmf"/><Relationship Id="rId24" Type="http://schemas.openxmlformats.org/officeDocument/2006/relationships/oleObject" Target="embeddings/oleObject4.bin"/><Relationship Id="rId23" Type="http://schemas.openxmlformats.org/officeDocument/2006/relationships/image" Target="media/image3.wmf"/><Relationship Id="rId22" Type="http://schemas.openxmlformats.org/officeDocument/2006/relationships/oleObject" Target="embeddings/oleObject3.bin"/><Relationship Id="rId21" Type="http://schemas.openxmlformats.org/officeDocument/2006/relationships/image" Target="media/image2.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1.wmf"/><Relationship Id="rId18" Type="http://schemas.openxmlformats.org/officeDocument/2006/relationships/oleObject" Target="embeddings/oleObject1.bin"/><Relationship Id="rId17" Type="http://schemas.openxmlformats.org/officeDocument/2006/relationships/theme" Target="theme/theme1.xml"/><Relationship Id="rId16" Type="http://schemas.openxmlformats.org/officeDocument/2006/relationships/footer" Target="footer9.xml"/><Relationship Id="rId15" Type="http://schemas.openxmlformats.org/officeDocument/2006/relationships/header" Target="header5.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 China</Company>
  <Pages>283</Pages>
  <Words>35199</Words>
  <Characters>200635</Characters>
  <Lines>1671</Lines>
  <Paragraphs>470</Paragraphs>
  <TotalTime>2</TotalTime>
  <ScaleCrop>false</ScaleCrop>
  <LinksUpToDate>false</LinksUpToDate>
  <CharactersWithSpaces>235364</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2020-02-07T06:38:00Z</dcterms:created>
  <dc:creator>jinma</dc:creator>
  <cp:lastModifiedBy>Administrator</cp:lastModifiedBy>
  <cp:lastPrinted>2021-09-08T06:28:00Z</cp:lastPrinted>
  <dcterms:modified xsi:type="dcterms:W3CDTF">2021-09-09T07:29:37Z</dcterms:modified>
  <dc:title>乐山市2006年中央预算内专项资金（国信）农村饮水安全项目</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DA01C5C3F9F149F3931777546E9B5F75</vt:lpwstr>
  </property>
</Properties>
</file>