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spacing w:line="560" w:lineRule="exact"/>
        <w:rPr>
          <w:sz w:val="32"/>
          <w:szCs w:val="32"/>
          <w:rFonts w:ascii="Times New Roman" w:hAnsi="Times New Roman" w:eastAsia="仿宋_GB2312"/>
        </w:rPr>
      </w:pPr>
      <w:r>
        <w:rPr>
          <w:sz w:val="32"/>
          <w:szCs w:val="32"/>
          <w:rFonts w:ascii="Times New Roman" w:hAnsi="Times New Roman" w:eastAsia="仿宋_GB2312"/>
        </w:rPr>
        <w:t xml:space="preserve">附件1</w:t>
      </w:r>
      <w:r>
        <w:rPr>
          <w:b w:val="0"/>
          <w:sz w:val="44"/>
          <w:szCs w:val="44"/>
          <w:kern w:val="0"/>
          <w:bCs w:val="0"/>
          <w:rFonts w:ascii="Times New Roman" w:hAnsi="Times New Roman" w:eastAsia="方正小标宋简体"/>
        </w:rPr>
      </w:r>
    </w:p>
    <w:p>
      <w:pPr>
        <w:pStyle w:val="Normal"/>
        <w:jc w:val="center"/>
        <w:spacing w:line="560" w:lineRule="exact"/>
        <w:rPr>
          <w:b w:val="0"/>
          <w:sz w:val="40"/>
          <w:szCs w:val="40"/>
          <w:kern w:val="0"/>
          <w:bCs w:val="0"/>
          <w:rFonts w:ascii="Times New Roman" w:hAnsi="Times New Roman" w:eastAsia="方正小标宋简体"/>
        </w:rPr>
      </w:pPr>
      <w:r>
        <w:rPr>
          <w:b w:val="0"/>
          <w:sz w:val="40"/>
          <w:szCs w:val="40"/>
          <w:kern w:val="0"/>
          <w:bCs w:val="0"/>
          <w:rFonts w:ascii="Times New Roman" w:hAnsi="Times New Roman" w:eastAsia="方正小标宋简体"/>
        </w:rPr>
        <w:t xml:space="preserve">四川省202</w:t>
      </w:r>
      <w:r>
        <w:rPr>
          <w:b w:val="0"/>
          <w:sz w:val="40"/>
          <w:lang w:val="en-US" w:eastAsia="zh-CN"/>
          <w:szCs w:val="40"/>
          <w:kern w:val="0"/>
          <w:bCs w:val="0"/>
          <w:rFonts w:ascii="Times New Roman" w:hAnsi="Times New Roman" w:eastAsia="方正小标宋简体"/>
        </w:rPr>
        <w:t xml:space="preserve">5</w:t>
      </w:r>
      <w:r>
        <w:rPr>
          <w:b w:val="0"/>
          <w:sz w:val="40"/>
          <w:szCs w:val="40"/>
          <w:kern w:val="0"/>
          <w:bCs w:val="0"/>
          <w:rFonts w:ascii="Times New Roman" w:hAnsi="Times New Roman" w:eastAsia="方正小标宋简体"/>
        </w:rPr>
        <w:t xml:space="preserve">年</w:t>
      </w:r>
      <w:r>
        <w:rPr>
          <w:b w:val="0"/>
          <w:sz w:val="40"/>
          <w:lang w:eastAsia="zh-CN"/>
          <w:szCs w:val="40"/>
          <w:kern w:val="0"/>
          <w:bCs w:val="0"/>
          <w:rFonts w:ascii="Times New Roman" w:hAnsi="Times New Roman" w:eastAsia="方正小标宋简体" w:hint="eastAsia"/>
        </w:rPr>
        <w:t xml:space="preserve">劳动节</w:t>
      </w:r>
      <w:r>
        <w:rPr>
          <w:b w:val="0"/>
          <w:sz w:val="40"/>
          <w:lang w:val="en-US" w:eastAsia="zh-CN"/>
          <w:szCs w:val="40"/>
          <w:kern w:val="0"/>
          <w:bCs w:val="0"/>
          <w:rFonts w:ascii="Times New Roman" w:hAnsi="Times New Roman" w:eastAsia="方正小标宋简体"/>
        </w:rPr>
        <w:t xml:space="preserve">期间</w:t>
      </w:r>
      <w:r>
        <w:rPr>
          <w:b w:val="0"/>
          <w:sz w:val="40"/>
          <w:szCs w:val="40"/>
          <w:kern w:val="0"/>
          <w:bCs w:val="0"/>
          <w:rFonts w:ascii="Times New Roman" w:hAnsi="Times New Roman" w:eastAsia="方正小标宋简体"/>
        </w:rPr>
        <w:t xml:space="preserve">相关商品价格监测表</w:t>
      </w:r>
      <w:r>
        <w:rPr>
          <w:sz w:val="24"/>
          <w:szCs w:val="24"/>
          <w:kern w:val="0"/>
          <w:rFonts w:ascii="Times New Roman" w:hAnsi="Times New Roman" w:eastAsia="仿宋_GB2312"/>
        </w:rPr>
      </w:r>
    </w:p>
    <w:p>
      <w:pPr>
        <w:pStyle w:val="Normal"/>
        <w:jc w:val="both"/>
        <w:spacing w:line="560" w:lineRule="exact"/>
        <w:ind w:firstLine="240" w:firstLineChars="100"/>
        <w:rPr>
          <w:sz w:val="24"/>
          <w:szCs w:val="24"/>
          <w:kern w:val="0"/>
          <w:rFonts w:ascii="Times New Roman" w:hAnsi="Times New Roman" w:eastAsia="仿宋_GB2312"/>
        </w:rPr>
      </w:pPr>
      <w:r>
        <w:rPr>
          <w:sz w:val="24"/>
          <w:szCs w:val="24"/>
          <w:kern w:val="0"/>
          <w:rFonts w:ascii="Times New Roman" w:hAnsi="Times New Roman" w:eastAsia="仿宋_GB2312"/>
        </w:rPr>
        <w:t xml:space="preserve">填报单位：       发改</w:t>
      </w:r>
      <w:r>
        <w:rPr>
          <w:sz w:val="24"/>
          <w:lang w:eastAsia="zh-CN"/>
          <w:szCs w:val="24"/>
          <w:kern w:val="0"/>
          <w:rFonts w:ascii="Times New Roman" w:hAnsi="Times New Roman" w:eastAsia="仿宋_GB2312" w:hint="eastAsia"/>
        </w:rPr>
        <w:t xml:space="preserve">局</w:t>
      </w:r>
      <w:r>
        <w:rPr>
          <w:sz w:val="24"/>
          <w:lang w:val="en-US" w:eastAsia="zh-CN"/>
          <w:szCs w:val="24"/>
          <w:kern w:val="0"/>
          <w:rFonts w:ascii="Times New Roman" w:hAnsi="Times New Roman"/>
        </w:rPr>
        <w:t xml:space="preserve">                       </w:t>
      </w:r>
      <w:r>
        <w:rPr>
          <w:sz w:val="24"/>
          <w:lang w:val="en-US" w:eastAsia="zh-CN"/>
          <w:szCs w:val="24"/>
          <w:kern w:val="0"/>
          <w:rFonts w:ascii="Times New Roman" w:hAnsi="Times New Roman" w:hint="eastAsia"/>
        </w:rPr>
        <w:t xml:space="preserve">2025</w:t>
      </w:r>
      <w:r>
        <w:rPr>
          <w:sz w:val="24"/>
          <w:szCs w:val="24"/>
          <w:kern w:val="0"/>
          <w:rFonts w:ascii="Times New Roman" w:hAnsi="Times New Roman" w:eastAsia="仿宋_GB2312"/>
        </w:rPr>
        <w:t xml:space="preserve">年 </w:t>
      </w:r>
      <w:r>
        <w:rPr>
          <w:sz w:val="24"/>
          <w:lang w:val="en-US" w:eastAsia="zh-CN"/>
          <w:szCs w:val="24"/>
          <w:kern w:val="0"/>
          <w:rFonts w:ascii="Times New Roman" w:hAnsi="Times New Roman" w:hint="eastAsia"/>
        </w:rPr>
        <w:t xml:space="preserve">5</w:t>
      </w:r>
      <w:r>
        <w:rPr>
          <w:sz w:val="24"/>
          <w:szCs w:val="24"/>
          <w:kern w:val="0"/>
          <w:rFonts w:ascii="Times New Roman" w:hAnsi="Times New Roman" w:eastAsia="仿宋_GB2312"/>
        </w:rPr>
        <w:t xml:space="preserve">月 </w:t>
      </w:r>
      <w:r>
        <w:rPr>
          <w:sz w:val="24"/>
          <w:lang w:val="en-US" w:eastAsia="zh-CN"/>
          <w:szCs w:val="24"/>
          <w:kern w:val="0"/>
          <w:rFonts w:ascii="Times New Roman" w:hAnsi="Times New Roman" w:eastAsia="仿宋_GB2312" w:hint="eastAsia"/>
        </w:rPr>
        <w:t xml:space="preserve">1</w:t>
      </w:r>
      <w:r>
        <w:rPr>
          <w:sz w:val="24"/>
          <w:szCs w:val="24"/>
          <w:kern w:val="0"/>
          <w:rFonts w:ascii="Times New Roman" w:hAnsi="Times New Roman" w:eastAsia="仿宋_GB2312"/>
        </w:rPr>
        <w:t xml:space="preserve">日</w:t>
      </w:r>
      <w:r>
        <w:rPr>
          <w:sz w:val="24"/>
          <w:szCs w:val="24"/>
          <w:rFonts w:ascii="Times New Roman" w:hAnsi="Times New Roman" w:eastAsia="黑体"/>
        </w:rPr>
      </w:r>
    </w:p>
    <w:tbl>
      <w:tblPr>
        <w:tblW w:w="9153" w:type="dxa"/>
        <w:jc w:val="center"/>
        <w:tblInd w:type="dxa" w:w="-108.000000"/>
        <w:tblLayout w:type="fixed"/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400.000000"/>
        <w:gridCol w:w="2204.000000"/>
        <w:gridCol w:w="2953.000000"/>
        <w:gridCol w:w="1470.000000"/>
        <w:gridCol w:w="1380.000000"/>
        <w:gridCol w:w="746.000000"/>
      </w:tblGrid>
      <w:tr>
        <w:trPr>
          <w:trHeight w:val="397" w:hRule="atLeast"/>
          <w:tblHeader/>
        </w:trPr>
        <w:tc>
          <w:tcPr>
            <w:tcW w:w="2604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黑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黑体"/>
              </w:rPr>
              <w:t xml:space="preserve">品种</w:t>
            </w:r>
            <w:r>
              <w:rPr>
                <w:sz w:val="18"/>
                <w:szCs w:val="18"/>
                <w:kern w:val="0"/>
                <w:rFonts w:ascii="Times New Roman" w:hAnsi="Times New Roman" w:eastAsia="黑体"/>
              </w:rPr>
            </w:r>
          </w:p>
        </w:tc>
        <w:tc>
          <w:tcPr>
            <w:tcW w:w="29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黑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黑体"/>
              </w:rPr>
              <w:t xml:space="preserve">规格等级</w:t>
            </w:r>
            <w:r>
              <w:rPr>
                <w:sz w:val="18"/>
                <w:szCs w:val="18"/>
                <w:kern w:val="0"/>
                <w:rFonts w:ascii="Times New Roman" w:hAnsi="Times New Roman" w:eastAsia="黑体"/>
              </w:rPr>
            </w:r>
          </w:p>
        </w:tc>
        <w:tc>
          <w:tcPr>
            <w:tcW w:w="147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黑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黑体"/>
              </w:rPr>
              <w:t xml:space="preserve">单位</w:t>
            </w:r>
            <w:r>
              <w:rPr>
                <w:sz w:val="18"/>
                <w:szCs w:val="18"/>
                <w:kern w:val="0"/>
                <w:rFonts w:ascii="Times New Roman" w:hAnsi="Times New Roman" w:eastAsia="黑体"/>
              </w:rPr>
            </w:r>
          </w:p>
        </w:tc>
        <w:tc>
          <w:tcPr>
            <w:tcW w:w="138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黑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黑体"/>
              </w:rPr>
              <w:t xml:space="preserve">价格</w:t>
            </w:r>
            <w:r>
              <w:rPr>
                <w:sz w:val="18"/>
                <w:szCs w:val="18"/>
                <w:kern w:val="0"/>
                <w:rFonts w:ascii="Times New Roman" w:hAnsi="Times New Roman" w:eastAsia="黑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黑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黑体"/>
              </w:rPr>
              <w:t xml:space="preserve">备注</w:t>
            </w:r>
            <w:r>
              <w:rPr>
                <w:sz w:val="18"/>
                <w:szCs w:val="18"/>
                <w:kern w:val="0"/>
                <w:rFonts w:ascii="Times New Roman" w:hAnsi="Times New Roman" w:eastAsia="黑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bookmarkStart w:name="OLE_LINK1" w:id="0"/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1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籼米散装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二级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2.56</w:t>
            </w:r>
            <w:r>
              <w:rPr>
                <w:b w:val="0"/>
                <w:sz w:val="18"/>
                <w:szCs w:val="18"/>
                <w:kern w:val="0"/>
                <w:bCs w:val="0"/>
                <w:rFonts w:ascii="Times New Roman" w:hAnsi="Times New Roman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2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籼米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袋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装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二级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2.56</w:t>
            </w:r>
            <w:r>
              <w:rPr>
                <w:b w:val="0"/>
                <w:highlight w:val="yellow"/>
                <w:sz w:val="18"/>
                <w:szCs w:val="18"/>
                <w:kern w:val="0"/>
                <w:bCs w:val="0"/>
                <w:rFonts w:ascii="Times New Roman" w:hAnsi="Times New Roman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</w:pP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  <w:t xml:space="preserve">3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</w:r>
          </w:p>
        </w:tc>
        <w:tc>
          <w:tcPr>
            <w:tcW w:w="22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面粉散装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标准粉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2.70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</w:pP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  <w:t xml:space="preserve">4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</w:r>
          </w:p>
        </w:tc>
        <w:tc>
          <w:tcPr>
            <w:tcW w:w="22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菜籽油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桶装一级压榨，当地主销品牌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元/5升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11.00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84" w:hRule="atLeast"/>
        </w:trPr>
        <w:tc>
          <w:tcPr>
            <w:tcW w:w="40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</w:pP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  <w:t xml:space="preserve">5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</w:r>
          </w:p>
        </w:tc>
        <w:tc>
          <w:tcPr>
            <w:tcW w:w="22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调和油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桶装一级，当地主销品牌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元/5升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79.90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84" w:hRule="atLeast"/>
        </w:trPr>
        <w:tc>
          <w:tcPr>
            <w:tcW w:w="40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6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猪肉—精瘦肉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鲜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12.00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</w:pP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  <w:t xml:space="preserve">7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</w:r>
          </w:p>
        </w:tc>
        <w:tc>
          <w:tcPr>
            <w:tcW w:w="2204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猪肉—带皮后腿肉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鲜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12.00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8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猪肉—肋条肉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五花肉，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鲜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13.00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9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猪肉—肋排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鲜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14.00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41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</w:pP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  <w:t xml:space="preserve">10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仔猪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收购（销售、成交）价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元/千克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27.00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</w:pP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  <w:t xml:space="preserve">11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生猪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三元，出栏肥猪，收购（出场）价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元/50千克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rFonts w:ascii="宋体" w:hAnsi="宋体" w:eastAsia="宋体" w:hint="eastAsia"/>
              </w:rPr>
              <w:t>810</w:t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</w:pP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  <w:t xml:space="preserve">12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玉米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混等，颗粒状，饲料用，批发价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元/千克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2.72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</w:pP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  <w:t xml:space="preserve">13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猪饲料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育肥猪配合饲料，批发价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元/千克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3.7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1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4</w:t>
            </w:r>
            <w:r>
              <w:rPr>
                <w:sz w:val="18"/>
                <w:lang w:val="en-US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鸡肉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白条鸡，开膛，鸡场鸡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15.00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1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5</w:t>
            </w:r>
            <w:r>
              <w:rPr>
                <w:sz w:val="18"/>
                <w:lang w:val="en-US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鸡蛋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鸡场蛋，普通鸡蛋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5.50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1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6</w:t>
            </w:r>
            <w:r>
              <w:rPr>
                <w:sz w:val="18"/>
                <w:lang w:val="en-US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牛奶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纯牛奶，盒装250ml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元/盒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3.00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1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7</w:t>
            </w:r>
            <w:r>
              <w:rPr>
                <w:sz w:val="18"/>
                <w:lang w:val="en-US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芹菜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rFonts w:ascii="宋体" w:hAnsi="宋体" w:eastAsia="宋体" w:hint="eastAsia"/>
              </w:rPr>
              <w:t>3.50</w:t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1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8</w:t>
            </w:r>
            <w:r>
              <w:rPr>
                <w:sz w:val="18"/>
                <w:lang w:val="en-US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大白菜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1.50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1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9</w:t>
            </w:r>
            <w:r>
              <w:rPr>
                <w:sz w:val="18"/>
                <w:lang w:val="en-US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小白菜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3.00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</w:pP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  <w:t xml:space="preserve">20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黄瓜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3.00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</w:pP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  <w:t xml:space="preserve">21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白萝卜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1.50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</w:pP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  <w:t xml:space="preserve">22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西红柿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rFonts w:ascii="宋体" w:hAnsi="宋体" w:eastAsia="宋体" w:hint="eastAsia"/>
              </w:rPr>
              <w:t>4.00</w:t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</w:pP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  <w:t xml:space="preserve">23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土豆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2.00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2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4</w:t>
            </w:r>
            <w:r>
              <w:rPr>
                <w:sz w:val="18"/>
                <w:lang w:val="en-US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青椒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新鲜一级，菜椒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rFonts w:ascii="宋体" w:hAnsi="宋体" w:eastAsia="宋体" w:hint="eastAsia"/>
              </w:rPr>
              <w:t>5.00</w:t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2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5</w:t>
            </w:r>
            <w:r>
              <w:rPr>
                <w:sz w:val="18"/>
                <w:lang w:val="en-US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圆白菜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新鲜一级，莲白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1.50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2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6</w:t>
            </w:r>
            <w:r>
              <w:rPr>
                <w:sz w:val="18"/>
                <w:lang w:val="en-US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莴笋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3.00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2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7</w:t>
            </w:r>
            <w:r>
              <w:rPr>
                <w:sz w:val="18"/>
                <w:lang w:val="en-US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四季豆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4.00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2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8</w:t>
            </w:r>
            <w:r>
              <w:rPr>
                <w:sz w:val="18"/>
                <w:lang w:val="en-US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茄子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4.00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2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9</w:t>
            </w:r>
            <w:r>
              <w:rPr>
                <w:sz w:val="18"/>
                <w:lang w:val="en-US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胡萝卜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3.00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 w:hint="eastAsia"/>
              </w:rPr>
            </w:pPr>
            <w:bookmarkEnd w:id="0"/>
            <w:bookmarkStart w:name="OLE_LINK2" w:id="1"/>
            <w:r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 w:hint="eastAsia"/>
              </w:rPr>
              <w:t xml:space="preserve">30</w:t>
            </w:r>
            <w:r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白花菜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3.00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 w:hint="eastAsia"/>
              </w:rPr>
            </w:pPr>
            <w:r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 w:hint="eastAsia"/>
              </w:rPr>
              <w:t xml:space="preserve">31</w:t>
            </w:r>
            <w:r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老南瓜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2.00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 w:hint="eastAsia"/>
              </w:rPr>
            </w:pPr>
            <w:r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 w:hint="eastAsia"/>
              </w:rPr>
              <w:t xml:space="preserve">32</w:t>
            </w:r>
            <w:r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冬瓜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lang w:eastAsia="zh-CN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2.00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 w:hint="eastAsia"/>
              </w:rPr>
            </w:pPr>
            <w:r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 w:hint="eastAsia"/>
              </w:rPr>
              <w:t xml:space="preserve">33</w:t>
            </w:r>
            <w:r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菠菜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4.00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 w:hint="eastAsia"/>
              </w:rPr>
            </w:pPr>
            <w:r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 w:hint="eastAsia"/>
              </w:rPr>
              <w:t xml:space="preserve">34</w:t>
            </w:r>
            <w:r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韭菜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4.00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3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5</w:t>
            </w:r>
            <w:r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藕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rFonts w:ascii="宋体" w:hAnsi="宋体" w:eastAsia="宋体" w:hint="eastAsia"/>
              </w:rPr>
              <w:t>4.50</w:t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3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6</w:t>
            </w:r>
            <w:r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上海青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3.00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3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7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苦瓜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4.00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3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8</w:t>
            </w:r>
            <w:r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口蘑</w:t>
            </w:r>
            <w:r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rFonts w:ascii="宋体" w:hAnsi="宋体" w:eastAsia="宋体" w:hint="eastAsia"/>
              </w:rPr>
              <w:t>/</w:t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3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9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香菇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8.00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</w:pP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  <w:t xml:space="preserve">40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油麦菜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rFonts w:ascii="宋体" w:hAnsi="宋体" w:eastAsia="宋体" w:hint="eastAsia"/>
              </w:rPr>
              <w:t>3.50</w:t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</w:pP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  <w:t xml:space="preserve">41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丝瓜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新鲜一级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元/500克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4.00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567" w:hRule="atLeast"/>
        </w:trPr>
        <w:tc>
          <w:tcPr>
            <w:tcW w:w="40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</w:pP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  <w:t xml:space="preserve">42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92号汽油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零售价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元/升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7.20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</w:pP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  <w:t xml:space="preserve">43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95号汽油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零售价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元/升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7.69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567" w:hRule="atLeast"/>
        </w:trPr>
        <w:tc>
          <w:tcPr>
            <w:tcW w:w="400" w:type="dxa"/>
            <w:vAlign w:val="center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/>
              </w:rPr>
              <w:t xml:space="preserve">4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 w:hint="eastAsia"/>
              </w:rPr>
              <w:t xml:space="preserve">4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98号汽油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零售价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元/升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/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4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5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0号柴油</w:t>
            </w:r>
            <w:r>
              <w:rPr>
                <w:sz w:val="18"/>
                <w:lang w:eastAsia="zh-CN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零售价</w:t>
            </w:r>
            <w:r>
              <w:rPr>
                <w:sz w:val="18"/>
                <w:lang w:eastAsia="zh-CN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元/升</w:t>
            </w: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6.80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4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6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长途客运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省内线路&lt;高速公路，没有的按高等级公路&gt;道路班车，中型高一级车；</w:t>
            </w:r>
            <w:r>
              <w:rPr>
                <w:sz w:val="18"/>
                <w:lang w:val="en-US" w:eastAsia="zh-CN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元/人公里</w:t>
            </w:r>
            <w:r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0.2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/>
              </w:rPr>
            </w:pPr>
            <w:r>
              <w:rPr>
                <w:sz w:val="18"/>
                <w:lang w:val="en-US" w:eastAsia="zh-CN" w:bidi="ar-SA"/>
                <w:szCs w:val="18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411" w:hRule="atLeast"/>
        </w:trPr>
        <w:tc>
          <w:tcPr>
            <w:tcW w:w="40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4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7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景点门票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当地著名旅游景点（AAAA景点，博物馆、湿地公园除外）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元/张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rFonts w:ascii="宋体" w:hAnsi="宋体" w:eastAsia="宋体" w:hint="eastAsia"/>
              </w:rPr>
              <w:t>/</w:t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6"/>
                <w:lang w:val="en-US" w:eastAsia="zh-CN" w:bidi="ar-SA"/>
                <w:szCs w:val="16"/>
                <w:kern w:val="0"/>
                <w:rFonts w:ascii="Times New Roman" w:hAnsi="Times New Roman" w:eastAsia="宋体"/>
              </w:rPr>
            </w:pPr>
            <w:r>
              <w:rPr>
                <w:sz w:val="16"/>
                <w:lang w:val="en-US" w:eastAsia="zh-CN" w:bidi="ar-SA"/>
                <w:szCs w:val="16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4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8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市区三星级宾馆住宿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标准间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元/间·日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rFonts w:ascii="宋体" w:hAnsi="宋体" w:eastAsia="宋体" w:hint="eastAsia"/>
              </w:rPr>
              <w:t>360</w:t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6"/>
                <w:lang w:val="en-US" w:eastAsia="zh-CN" w:bidi="ar-SA"/>
                <w:szCs w:val="16"/>
                <w:kern w:val="0"/>
                <w:rFonts w:ascii="Times New Roman" w:hAnsi="Times New Roman" w:eastAsia="宋体"/>
              </w:rPr>
            </w:pPr>
            <w:r>
              <w:rPr>
                <w:sz w:val="16"/>
                <w:lang w:val="en-US" w:eastAsia="zh-CN" w:bidi="ar-SA"/>
                <w:szCs w:val="16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4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9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市区快捷酒店住宿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标准间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元/间·日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rFonts w:ascii="宋体" w:hAnsi="宋体" w:eastAsia="宋体" w:hint="eastAsia"/>
              </w:rPr>
              <w:t>100</w:t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6"/>
                <w:lang w:val="en-US" w:eastAsia="zh-CN" w:bidi="ar-SA"/>
                <w:szCs w:val="16"/>
                <w:kern w:val="0"/>
                <w:rFonts w:ascii="Times New Roman" w:hAnsi="Times New Roman" w:eastAsia="宋体"/>
              </w:rPr>
            </w:pPr>
            <w:r>
              <w:rPr>
                <w:sz w:val="16"/>
                <w:lang w:val="en-US" w:eastAsia="zh-CN" w:bidi="ar-SA"/>
                <w:szCs w:val="16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50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主要景区酒店住宿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标准间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元/间·日</w:t>
            </w: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rFonts w:ascii="宋体" w:hAnsi="宋体" w:eastAsia="宋体" w:hint="eastAsia"/>
              </w:rPr>
              <w:t>360</w:t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6"/>
                <w:lang w:val="en-US" w:eastAsia="zh-CN" w:bidi="ar-SA"/>
                <w:szCs w:val="16"/>
                <w:kern w:val="0"/>
                <w:rFonts w:ascii="Times New Roman" w:hAnsi="Times New Roman" w:eastAsia="宋体"/>
              </w:rPr>
            </w:pPr>
            <w:r>
              <w:rPr>
                <w:sz w:val="16"/>
                <w:lang w:val="en-US" w:eastAsia="zh-CN" w:bidi="ar-SA"/>
                <w:szCs w:val="16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51</w:t>
            </w:r>
            <w:r>
              <w:rPr>
                <w:i w:val="0"/>
                <w:u w:val="none"/>
                <w:color w:val="000000"/>
                <w:sz w:val="11"/>
                <w:lang w:val="en-US" w:eastAsia="zh-CN" w:bidi="ar"/>
                <w:szCs w:val="11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停车费</w:t>
            </w:r>
            <w:r>
              <w:rPr>
                <w:i w:val="0"/>
                <w:u w:val="none"/>
                <w:color w:val="000000"/>
                <w:sz w:val="11"/>
                <w:lang w:val="en-US" w:eastAsia="zh-CN" w:bidi="ar"/>
                <w:szCs w:val="11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景区露天，白天</w:t>
            </w:r>
            <w:r>
              <w:rPr>
                <w:i w:val="0"/>
                <w:u w:val="none"/>
                <w:color w:val="000000"/>
                <w:sz w:val="11"/>
                <w:lang w:val="en-US" w:eastAsia="zh-CN" w:bidi="ar"/>
                <w:szCs w:val="11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元/天</w:t>
            </w:r>
            <w:r>
              <w:rPr>
                <w:i w:val="0"/>
                <w:u w:val="none"/>
                <w:color w:val="000000"/>
                <w:sz w:val="11"/>
                <w:lang w:val="en-US" w:eastAsia="zh-CN" w:bidi="ar"/>
                <w:szCs w:val="11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rFonts w:ascii="宋体" w:hAnsi="宋体" w:eastAsia="宋体" w:hint="eastAsia"/>
              </w:rPr>
              <w:t>2.00</w:t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6"/>
                <w:lang w:val="en-US" w:eastAsia="zh-CN" w:bidi="ar-SA"/>
                <w:szCs w:val="16"/>
                <w:kern w:val="0"/>
                <w:rFonts w:ascii="Times New Roman" w:hAnsi="Times New Roman" w:eastAsia="宋体"/>
              </w:rPr>
            </w:pPr>
            <w:r>
              <w:rPr>
                <w:sz w:val="16"/>
                <w:lang w:val="en-US" w:eastAsia="zh-CN" w:bidi="ar-SA"/>
                <w:szCs w:val="16"/>
                <w:kern w:val="0"/>
                <w:rFonts w:ascii="Times New Roman" w:hAnsi="Times New Roman" w:eastAsia="宋体"/>
              </w:rPr>
            </w:r>
          </w:p>
        </w:tc>
      </w:tr>
      <w:tr>
        <w:trPr>
          <w:trHeight w:val="397" w:hRule="atLeast"/>
        </w:trPr>
        <w:tc>
          <w:tcPr>
            <w:tcW w:w="40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 w:hint="eastAsia"/>
              </w:rPr>
              <w:t xml:space="preserve">52</w:t>
            </w:r>
            <w:r>
              <w:rPr>
                <w:i w:val="0"/>
                <w:u w:val="none"/>
                <w:color w:val="000000"/>
                <w:sz w:val="11"/>
                <w:lang w:val="en-US" w:eastAsia="zh-CN" w:bidi="ar"/>
                <w:szCs w:val="11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220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餐饮价格</w:t>
            </w:r>
            <w:r>
              <w:rPr>
                <w:i w:val="0"/>
                <w:u w:val="none"/>
                <w:color w:val="000000"/>
                <w:sz w:val="11"/>
                <w:lang w:val="en-US" w:eastAsia="zh-CN" w:bidi="ar"/>
                <w:szCs w:val="11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295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start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市区居民经常光顾的中等消费水平餐厅&lt;晚餐人均价格&gt;</w:t>
            </w:r>
            <w:r>
              <w:rPr>
                <w:i w:val="0"/>
                <w:u w:val="none"/>
                <w:color w:val="000000"/>
                <w:sz w:val="11"/>
                <w:lang w:val="en-US" w:eastAsia="zh-CN" w:bidi="ar"/>
                <w:szCs w:val="11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147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spacing w:line="340" w:lineRule="exact"/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</w:pPr>
            <w:r>
              <w:rPr>
                <w:i w:val="0"/>
                <w:u w:val="none"/>
                <w:color w:val="000000"/>
                <w:sz w:val="18"/>
                <w:lang w:val="en-US" w:eastAsia="zh-CN" w:bidi="ar"/>
                <w:szCs w:val="18"/>
                <w:kern w:val="0"/>
                <w:iCs w:val="0"/>
                <w:rFonts w:ascii="Times New Roman" w:hAnsi="Times New Roman" w:eastAsia="宋体"/>
              </w:rPr>
              <w:t xml:space="preserve">元/人</w:t>
            </w:r>
            <w:r>
              <w:rPr>
                <w:i w:val="0"/>
                <w:u w:val="none"/>
                <w:color w:val="000000"/>
                <w:sz w:val="11"/>
                <w:lang w:val="en-US" w:eastAsia="zh-CN" w:bidi="ar"/>
                <w:szCs w:val="11"/>
                <w:kern w:val="0"/>
                <w:iCs w:val="0"/>
                <w:rFonts w:ascii="Times New Roman" w:hAnsi="Times New Roman" w:eastAsia="宋体"/>
              </w:rPr>
            </w:r>
          </w:p>
        </w:tc>
        <w:tc>
          <w:tcPr>
            <w:tcW w:w="138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jc w:val="center"/>
              <w:suppressLineNumbers w:val="off"/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</w:pP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 w:hint="eastAsia"/>
              </w:rPr>
              <w:t xml:space="preserve">20.00 </w:t>
            </w:r>
            <w:r>
              <w:rPr>
                <w:b w:val="0"/>
                <w:i w:val="0"/>
                <w:u w:val="none"/>
                <w:color w:val="000000"/>
                <w:sz w:val="24"/>
                <w:lang w:val="en-US" w:eastAsia="zh-CN" w:bidi="ar"/>
                <w:szCs w:val="24"/>
                <w:kern w:val="0"/>
                <w:bCs w:val="0"/>
                <w:iCs w:val="0"/>
                <w:rFonts w:ascii="宋体" w:hAnsi="宋体" w:eastAsia="宋体"/>
              </w:rPr>
            </w:r>
          </w:p>
        </w:tc>
        <w:tc>
          <w:tcPr>
            <w:tcW w:w="74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</w:tcPr>
          <w:p>
            <w:pPr>
              <w:pStyle w:val="Normal"/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snapToGrid w:val="1"/>
              <w:jc w:val="center"/>
              <w:spacing w:line="340" w:lineRule="exact"/>
              <w:rPr>
                <w:sz w:val="16"/>
                <w:lang w:val="en-US" w:eastAsia="zh-CN" w:bidi="ar-SA"/>
                <w:szCs w:val="16"/>
                <w:kern w:val="0"/>
                <w:rFonts w:ascii="Times New Roman" w:hAnsi="Times New Roman" w:eastAsia="宋体"/>
              </w:rPr>
            </w:pPr>
            <w:r>
              <w:rPr>
                <w:sz w:val="16"/>
                <w:lang w:val="en-US" w:eastAsia="zh-CN" w:bidi="ar-SA"/>
                <w:szCs w:val="16"/>
                <w:kern w:val="0"/>
                <w:rFonts w:ascii="Times New Roman" w:hAnsi="Times New Roman" w:eastAsia="宋体"/>
              </w:rPr>
            </w:r>
          </w:p>
        </w:tc>
      </w:tr>
    </w:tbl>
    <w:sectPr>
      <w:type w:val="nextPage"/>
      <w:docGrid w:type="lines" w:linePitch="312"/>
      <w:pgSz w:w="11906" w:h="16838"/>
      <w:pgMar w:top="1440" w:right="1800" w:bottom="1440" w:left="1800" w:header="720" w:footer="720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1"/>
  <w:displayVerticalDrawingGridEvery w:val="1"/>
  <w:characterSpacingControl w:val="compressPunctuation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bidi w:val="0"/>
      <w:jc w:val="both"/>
      <w:suppressAutoHyphens/>
    </w:pPr>
    <w:rPr>
      <w:color w:val="000000"/>
      <w:sz w:val="21"/>
      <w:lang w:val="en-US" w:eastAsia="zh-CN" w:bidi="ar-SA"/>
      <w:szCs w:val="24"/>
      <w:kern w:val="2"/>
      <w:rFonts w:ascii="Calibri" w:hAnsi="Calibri" w:eastAsia="宋体"/>
    </w:rPr>
  </w:style>
  <w:style w:type="character" w:styleId="NormalCharacter">
    <w:name w:val="默认段落字体"/>
    <w:link w:val="Normal"/>
  </w:style>
  <w:style w:type="table" w:styleId="TableNormal">
    <w:name w:val="普通表格"/>
    <w:link w:val="Normal"/>
    <w:semiHidden/>
  </w:style>
  <w:style w:type="paragraph" w:styleId="Caption">
    <w:name w:val="题注"/>
    <w:basedOn w:val="Normal"/>
    <w:link w:val="Normal"/>
    <w:pPr>
      <w:widowControl w:val="0"/>
      <w:suppressLineNumbers/>
      <w:suppressAutoHyphens/>
      <w:spacing w:after="120" w:before="120"/>
    </w:pPr>
    <w:rPr>
      <w:i w:val="1"/>
      <w:sz w:val="24"/>
      <w:szCs w:val="24"/>
      <w:iCs/>
    </w:rPr>
  </w:style>
  <w:style w:type="paragraph" w:styleId="BodyText">
    <w:name w:val="正文文本"/>
    <w:basedOn w:val="Normal"/>
    <w:link w:val="Normal"/>
    <w:pPr>
      <w:spacing w:after="140" w:before="0" w:line="276" w:lineRule="auto"/>
    </w:pPr>
  </w:style>
  <w:style w:type="paragraph" w:styleId="Footer">
    <w:name w:val="页脚"/>
    <w:basedOn w:val="Normal"/>
    <w:link w:val="Normal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paragraph" w:styleId="List">
    <w:name w:val="列表"/>
    <w:basedOn w:val="BodyText"/>
    <w:link w:val="Normal"/>
  </w:style>
  <w:style w:type="character" w:styleId="PageNumber">
    <w:name w:val="页码"/>
    <w:basedOn w:val="NormalCharacter"/>
    <w:link w:val="Normal"/>
  </w:style>
  <w:style w:type="character" w:styleId="UserStyle_0">
    <w:name w:val="默认段落字体1"/>
    <w:link w:val="Normal"/>
  </w:style>
  <w:style w:type="paragraph" w:styleId="UserStyle_1">
    <w:name w:val="Heading"/>
    <w:basedOn w:val="Normal"/>
    <w:link w:val="Normal"/>
    <w:pPr>
      <w:widowControl w:val="0"/>
      <w:keepNext w:val="1"/>
      <w:suppressAutoHyphens/>
      <w:spacing w:after="120" w:before="240"/>
    </w:pPr>
    <w:rPr>
      <w:sz w:val="28"/>
      <w:lang w:bidi="ar-SA"/>
      <w:szCs w:val="28"/>
      <w:rFonts w:ascii="Liberation Sans" w:hAnsi="Liberation Sans" w:eastAsia="Noto Sans CJK SC Regular"/>
    </w:rPr>
  </w:style>
  <w:style w:type="paragraph" w:styleId="UserStyle_2">
    <w:name w:val="Index"/>
    <w:basedOn w:val="Normal"/>
    <w:link w:val="Normal"/>
    <w:pPr>
      <w:widowControl w:val="0"/>
      <w:suppressLineNumbers/>
      <w:suppressAutoHyphens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